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79"/>
        <w:spacing w:after="0"/>
        <w:rPr>
          <w:sz w:val="20"/>
          <w:szCs w:val="20"/>
          <w:color w:val="auto"/>
        </w:rPr>
      </w:pPr>
      <w:r>
        <w:rPr>
          <w:rFonts w:ascii="Arial" w:cs="Arial" w:eastAsia="Arial" w:hAnsi="Arial"/>
          <w:sz w:val="22"/>
          <w:szCs w:val="22"/>
          <w:b w:val="1"/>
          <w:bCs w:val="1"/>
          <w:color w:val="auto"/>
        </w:rPr>
        <w:t>UNITED STATES</w:t>
      </w:r>
    </w:p>
    <w:p>
      <w:pPr>
        <w:spacing w:after="0" w:line="233" w:lineRule="exact"/>
        <w:rPr>
          <w:sz w:val="24"/>
          <w:szCs w:val="24"/>
          <w:color w:val="auto"/>
        </w:rPr>
      </w:pPr>
    </w:p>
    <w:p>
      <w:pPr>
        <w:jc w:val="center"/>
        <w:ind w:right="-79"/>
        <w:spacing w:after="0"/>
        <w:rPr>
          <w:sz w:val="20"/>
          <w:szCs w:val="20"/>
          <w:color w:val="auto"/>
        </w:rPr>
      </w:pPr>
      <w:r>
        <w:rPr>
          <w:rFonts w:ascii="Arial" w:cs="Arial" w:eastAsia="Arial" w:hAnsi="Arial"/>
          <w:sz w:val="22"/>
          <w:szCs w:val="22"/>
          <w:b w:val="1"/>
          <w:bCs w:val="1"/>
          <w:color w:val="auto"/>
        </w:rPr>
        <w:t>SECURITIES AND EXCHANGE COMMISSION</w:t>
      </w:r>
    </w:p>
    <w:p>
      <w:pPr>
        <w:spacing w:after="0" w:line="233" w:lineRule="exact"/>
        <w:rPr>
          <w:sz w:val="24"/>
          <w:szCs w:val="24"/>
          <w:color w:val="auto"/>
        </w:rPr>
      </w:pPr>
    </w:p>
    <w:p>
      <w:pPr>
        <w:jc w:val="center"/>
        <w:ind w:right="-79"/>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2813685</wp:posOffset>
            </wp:positionH>
            <wp:positionV relativeFrom="paragraph">
              <wp:posOffset>290195</wp:posOffset>
            </wp:positionV>
            <wp:extent cx="1628775" cy="425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628775" cy="4254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72" w:lineRule="exact"/>
        <w:rPr>
          <w:sz w:val="24"/>
          <w:szCs w:val="24"/>
          <w:color w:val="auto"/>
        </w:rPr>
      </w:pPr>
    </w:p>
    <w:p>
      <w:pPr>
        <w:jc w:val="center"/>
        <w:ind w:right="-79"/>
        <w:spacing w:after="0"/>
        <w:rPr>
          <w:sz w:val="20"/>
          <w:szCs w:val="20"/>
          <w:color w:val="auto"/>
        </w:rPr>
      </w:pPr>
      <w:r>
        <w:rPr>
          <w:rFonts w:ascii="Arial" w:cs="Arial" w:eastAsia="Arial" w:hAnsi="Arial"/>
          <w:sz w:val="22"/>
          <w:szCs w:val="22"/>
          <w:b w:val="1"/>
          <w:bCs w:val="1"/>
          <w:color w:val="auto"/>
        </w:rPr>
        <w:t>FORM 8-K</w:t>
      </w:r>
    </w:p>
    <w:p>
      <w:pPr>
        <w:spacing w:after="0" w:line="233" w:lineRule="exact"/>
        <w:rPr>
          <w:sz w:val="24"/>
          <w:szCs w:val="24"/>
          <w:color w:val="auto"/>
        </w:rPr>
      </w:pPr>
    </w:p>
    <w:p>
      <w:pPr>
        <w:jc w:val="center"/>
        <w:ind w:right="-79"/>
        <w:spacing w:after="0"/>
        <w:rPr>
          <w:sz w:val="20"/>
          <w:szCs w:val="20"/>
          <w:color w:val="auto"/>
        </w:rPr>
      </w:pPr>
      <w:r>
        <w:rPr>
          <w:rFonts w:ascii="Arial" w:cs="Arial" w:eastAsia="Arial" w:hAnsi="Arial"/>
          <w:sz w:val="22"/>
          <w:szCs w:val="22"/>
          <w:b w:val="1"/>
          <w:bCs w:val="1"/>
          <w:color w:val="auto"/>
        </w:rPr>
        <w:t>CURRENT REPORT</w:t>
      </w:r>
    </w:p>
    <w:p>
      <w:pPr>
        <w:spacing w:after="0" w:line="233" w:lineRule="exact"/>
        <w:rPr>
          <w:sz w:val="24"/>
          <w:szCs w:val="24"/>
          <w:color w:val="auto"/>
        </w:rPr>
      </w:pPr>
    </w:p>
    <w:p>
      <w:pPr>
        <w:jc w:val="center"/>
        <w:ind w:right="-79"/>
        <w:spacing w:after="0"/>
        <w:rPr>
          <w:sz w:val="20"/>
          <w:szCs w:val="20"/>
          <w:color w:val="auto"/>
        </w:rPr>
      </w:pPr>
      <w:r>
        <w:rPr>
          <w:rFonts w:ascii="Arial" w:cs="Arial" w:eastAsia="Arial" w:hAnsi="Arial"/>
          <w:sz w:val="22"/>
          <w:szCs w:val="22"/>
          <w:b w:val="1"/>
          <w:bCs w:val="1"/>
          <w:color w:val="auto"/>
        </w:rPr>
        <w:t>PURSUANT TO SECTION 13 OR 15(d) OF</w:t>
      </w:r>
    </w:p>
    <w:p>
      <w:pPr>
        <w:spacing w:after="0" w:line="233" w:lineRule="exact"/>
        <w:rPr>
          <w:sz w:val="24"/>
          <w:szCs w:val="24"/>
          <w:color w:val="auto"/>
        </w:rPr>
      </w:pPr>
    </w:p>
    <w:p>
      <w:pPr>
        <w:jc w:val="center"/>
        <w:ind w:right="-79"/>
        <w:spacing w:after="0"/>
        <w:rPr>
          <w:sz w:val="20"/>
          <w:szCs w:val="20"/>
          <w:color w:val="auto"/>
        </w:rPr>
      </w:pPr>
      <w:r>
        <w:rPr>
          <w:rFonts w:ascii="Arial" w:cs="Arial" w:eastAsia="Arial" w:hAnsi="Arial"/>
          <w:sz w:val="22"/>
          <w:szCs w:val="22"/>
          <w:b w:val="1"/>
          <w:bCs w:val="1"/>
          <w:color w:val="auto"/>
        </w:rPr>
        <w:t>THE SECURITIES EXCHANGE ACT OF 1934</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2813685</wp:posOffset>
            </wp:positionH>
            <wp:positionV relativeFrom="paragraph">
              <wp:posOffset>290195</wp:posOffset>
            </wp:positionV>
            <wp:extent cx="1628775" cy="425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1628775" cy="4254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29" w:lineRule="exact"/>
        <w:rPr>
          <w:sz w:val="24"/>
          <w:szCs w:val="24"/>
          <w:color w:val="auto"/>
        </w:rPr>
      </w:pPr>
    </w:p>
    <w:p>
      <w:pPr>
        <w:jc w:val="center"/>
        <w:ind w:right="-79"/>
        <w:spacing w:after="0"/>
        <w:rPr>
          <w:sz w:val="20"/>
          <w:szCs w:val="20"/>
          <w:color w:val="auto"/>
        </w:rPr>
      </w:pPr>
      <w:r>
        <w:rPr>
          <w:rFonts w:ascii="Arial" w:cs="Arial" w:eastAsia="Arial" w:hAnsi="Arial"/>
          <w:sz w:val="18"/>
          <w:szCs w:val="18"/>
          <w:color w:val="auto"/>
        </w:rPr>
        <w:t>Date of Report (Date of earliest event reported): May 24, 2018</w:t>
      </w:r>
    </w:p>
    <w:p>
      <w:pPr>
        <w:spacing w:after="0" w:line="239" w:lineRule="exact"/>
        <w:rPr>
          <w:sz w:val="24"/>
          <w:szCs w:val="24"/>
          <w:color w:val="auto"/>
        </w:rPr>
      </w:pPr>
    </w:p>
    <w:p>
      <w:pPr>
        <w:jc w:val="center"/>
        <w:ind w:right="-79"/>
        <w:spacing w:after="0"/>
        <w:rPr>
          <w:sz w:val="20"/>
          <w:szCs w:val="20"/>
          <w:color w:val="auto"/>
        </w:rPr>
      </w:pPr>
      <w:r>
        <w:rPr>
          <w:rFonts w:ascii="Arial" w:cs="Arial" w:eastAsia="Arial" w:hAnsi="Arial"/>
          <w:sz w:val="22"/>
          <w:szCs w:val="22"/>
          <w:b w:val="1"/>
          <w:bCs w:val="1"/>
          <w:color w:val="auto"/>
        </w:rPr>
        <w:t>WORLD FUEL SERVICES CORPORATION</w:t>
      </w:r>
    </w:p>
    <w:p>
      <w:pPr>
        <w:spacing w:after="0" w:line="19" w:lineRule="exact"/>
        <w:rPr>
          <w:sz w:val="24"/>
          <w:szCs w:val="24"/>
          <w:color w:val="auto"/>
        </w:rPr>
      </w:pPr>
    </w:p>
    <w:p>
      <w:pPr>
        <w:jc w:val="center"/>
        <w:ind w:right="-79"/>
        <w:spacing w:after="0"/>
        <w:rPr>
          <w:sz w:val="20"/>
          <w:szCs w:val="20"/>
          <w:color w:val="auto"/>
        </w:rPr>
      </w:pPr>
      <w:r>
        <w:rPr>
          <w:rFonts w:ascii="Arial" w:cs="Arial" w:eastAsia="Arial" w:hAnsi="Arial"/>
          <w:sz w:val="18"/>
          <w:szCs w:val="18"/>
          <w:color w:val="auto"/>
        </w:rPr>
        <w:t>(Exact name of registrant as specified in its charter)</w:t>
      </w:r>
    </w:p>
    <w:p>
      <w:pPr>
        <w:spacing w:after="0" w:line="200" w:lineRule="exact"/>
        <w:rPr>
          <w:sz w:val="24"/>
          <w:szCs w:val="24"/>
          <w:color w:val="auto"/>
        </w:rPr>
      </w:pPr>
    </w:p>
    <w:p>
      <w:pPr>
        <w:spacing w:after="0" w:line="262" w:lineRule="exact"/>
        <w:rPr>
          <w:sz w:val="24"/>
          <w:szCs w:val="24"/>
          <w:color w:val="auto"/>
        </w:rPr>
      </w:pPr>
    </w:p>
    <w:tbl>
      <w:tblPr>
        <w:tblLayout w:type="fixed"/>
        <w:tblInd w:w="840" w:type="dxa"/>
        <w:tblCellMar>
          <w:top w:w="0" w:type="dxa"/>
          <w:left w:w="0" w:type="dxa"/>
          <w:bottom w:w="0" w:type="dxa"/>
          <w:right w:w="0" w:type="dxa"/>
        </w:tblCellMar>
      </w:tblPr>
      <w:tr>
        <w:trPr>
          <w:trHeight w:val="234"/>
        </w:trPr>
        <w:tc>
          <w:tcPr>
            <w:tcW w:w="2140" w:type="dxa"/>
            <w:vAlign w:val="bottom"/>
          </w:tcPr>
          <w:p>
            <w:pPr>
              <w:jc w:val="center"/>
              <w:spacing w:after="0"/>
              <w:rPr>
                <w:sz w:val="20"/>
                <w:szCs w:val="20"/>
                <w:color w:val="auto"/>
              </w:rPr>
            </w:pPr>
            <w:r>
              <w:rPr>
                <w:rFonts w:ascii="Arial" w:cs="Arial" w:eastAsia="Arial" w:hAnsi="Arial"/>
                <w:sz w:val="18"/>
                <w:szCs w:val="18"/>
                <w:b w:val="1"/>
                <w:bCs w:val="1"/>
                <w:color w:val="auto"/>
                <w:w w:val="96"/>
              </w:rPr>
              <w:t>Florida</w:t>
            </w:r>
          </w:p>
        </w:tc>
        <w:tc>
          <w:tcPr>
            <w:tcW w:w="4640" w:type="dxa"/>
            <w:vAlign w:val="bottom"/>
          </w:tcPr>
          <w:p>
            <w:pPr>
              <w:jc w:val="center"/>
              <w:ind w:left="750"/>
              <w:spacing w:after="0"/>
              <w:rPr>
                <w:sz w:val="20"/>
                <w:szCs w:val="20"/>
                <w:color w:val="auto"/>
              </w:rPr>
            </w:pPr>
            <w:r>
              <w:rPr>
                <w:rFonts w:ascii="Arial" w:cs="Arial" w:eastAsia="Arial" w:hAnsi="Arial"/>
                <w:sz w:val="18"/>
                <w:szCs w:val="18"/>
                <w:b w:val="1"/>
                <w:bCs w:val="1"/>
                <w:color w:val="auto"/>
                <w:w w:val="92"/>
              </w:rPr>
              <w:t>1-9533</w:t>
            </w:r>
          </w:p>
        </w:tc>
        <w:tc>
          <w:tcPr>
            <w:tcW w:w="2580" w:type="dxa"/>
            <w:vAlign w:val="bottom"/>
          </w:tcPr>
          <w:p>
            <w:pPr>
              <w:jc w:val="right"/>
              <w:ind w:right="130"/>
              <w:spacing w:after="0"/>
              <w:rPr>
                <w:sz w:val="20"/>
                <w:szCs w:val="20"/>
                <w:color w:val="auto"/>
              </w:rPr>
            </w:pPr>
            <w:r>
              <w:rPr>
                <w:rFonts w:ascii="Arial" w:cs="Arial" w:eastAsia="Arial" w:hAnsi="Arial"/>
                <w:sz w:val="18"/>
                <w:szCs w:val="18"/>
                <w:b w:val="1"/>
                <w:bCs w:val="1"/>
                <w:color w:val="auto"/>
              </w:rPr>
              <w:t>59-2459427</w:t>
            </w:r>
          </w:p>
        </w:tc>
      </w:tr>
      <w:tr>
        <w:trPr>
          <w:trHeight w:val="229"/>
        </w:trPr>
        <w:tc>
          <w:tcPr>
            <w:tcW w:w="2140" w:type="dxa"/>
            <w:vAlign w:val="bottom"/>
          </w:tcPr>
          <w:p>
            <w:pPr>
              <w:jc w:val="center"/>
              <w:spacing w:after="0"/>
              <w:rPr>
                <w:sz w:val="20"/>
                <w:szCs w:val="20"/>
                <w:color w:val="auto"/>
              </w:rPr>
            </w:pPr>
            <w:r>
              <w:rPr>
                <w:rFonts w:ascii="Arial" w:cs="Arial" w:eastAsia="Arial" w:hAnsi="Arial"/>
                <w:sz w:val="18"/>
                <w:szCs w:val="18"/>
                <w:color w:val="auto"/>
                <w:w w:val="93"/>
              </w:rPr>
              <w:t>(State or other jurisdiction of</w:t>
            </w:r>
          </w:p>
        </w:tc>
        <w:tc>
          <w:tcPr>
            <w:tcW w:w="4640" w:type="dxa"/>
            <w:vAlign w:val="bottom"/>
          </w:tcPr>
          <w:p>
            <w:pPr>
              <w:jc w:val="center"/>
              <w:ind w:left="730"/>
              <w:spacing w:after="0"/>
              <w:rPr>
                <w:sz w:val="20"/>
                <w:szCs w:val="20"/>
                <w:color w:val="auto"/>
              </w:rPr>
            </w:pPr>
            <w:r>
              <w:rPr>
                <w:rFonts w:ascii="Arial" w:cs="Arial" w:eastAsia="Arial" w:hAnsi="Arial"/>
                <w:sz w:val="18"/>
                <w:szCs w:val="18"/>
                <w:color w:val="auto"/>
                <w:w w:val="93"/>
              </w:rPr>
              <w:t>(Commission File</w:t>
            </w:r>
          </w:p>
        </w:tc>
        <w:tc>
          <w:tcPr>
            <w:tcW w:w="2580" w:type="dxa"/>
            <w:vAlign w:val="bottom"/>
          </w:tcPr>
          <w:p>
            <w:pPr>
              <w:jc w:val="center"/>
              <w:ind w:left="1170"/>
              <w:spacing w:after="0"/>
              <w:rPr>
                <w:sz w:val="20"/>
                <w:szCs w:val="20"/>
                <w:color w:val="auto"/>
              </w:rPr>
            </w:pPr>
            <w:r>
              <w:rPr>
                <w:rFonts w:ascii="Arial" w:cs="Arial" w:eastAsia="Arial" w:hAnsi="Arial"/>
                <w:sz w:val="18"/>
                <w:szCs w:val="18"/>
                <w:color w:val="auto"/>
                <w:w w:val="93"/>
              </w:rPr>
              <w:t>(I.R.S. Employer</w:t>
            </w:r>
          </w:p>
        </w:tc>
      </w:tr>
      <w:tr>
        <w:trPr>
          <w:trHeight w:val="230"/>
        </w:trPr>
        <w:tc>
          <w:tcPr>
            <w:tcW w:w="2140" w:type="dxa"/>
            <w:vAlign w:val="bottom"/>
          </w:tcPr>
          <w:p>
            <w:pPr>
              <w:jc w:val="center"/>
              <w:spacing w:after="0"/>
              <w:rPr>
                <w:sz w:val="20"/>
                <w:szCs w:val="20"/>
                <w:color w:val="auto"/>
              </w:rPr>
            </w:pPr>
            <w:r>
              <w:rPr>
                <w:rFonts w:ascii="Arial" w:cs="Arial" w:eastAsia="Arial" w:hAnsi="Arial"/>
                <w:sz w:val="18"/>
                <w:szCs w:val="18"/>
                <w:color w:val="auto"/>
                <w:w w:val="92"/>
              </w:rPr>
              <w:t>incorporation)</w:t>
            </w:r>
          </w:p>
        </w:tc>
        <w:tc>
          <w:tcPr>
            <w:tcW w:w="4640" w:type="dxa"/>
            <w:vAlign w:val="bottom"/>
          </w:tcPr>
          <w:p>
            <w:pPr>
              <w:jc w:val="center"/>
              <w:ind w:left="730"/>
              <w:spacing w:after="0"/>
              <w:rPr>
                <w:sz w:val="20"/>
                <w:szCs w:val="20"/>
                <w:color w:val="auto"/>
              </w:rPr>
            </w:pPr>
            <w:r>
              <w:rPr>
                <w:rFonts w:ascii="Arial" w:cs="Arial" w:eastAsia="Arial" w:hAnsi="Arial"/>
                <w:sz w:val="18"/>
                <w:szCs w:val="18"/>
                <w:color w:val="auto"/>
                <w:w w:val="94"/>
              </w:rPr>
              <w:t>Number)</w:t>
            </w:r>
          </w:p>
        </w:tc>
        <w:tc>
          <w:tcPr>
            <w:tcW w:w="2580" w:type="dxa"/>
            <w:vAlign w:val="bottom"/>
          </w:tcPr>
          <w:p>
            <w:pPr>
              <w:jc w:val="center"/>
              <w:ind w:left="1150"/>
              <w:spacing w:after="0"/>
              <w:rPr>
                <w:sz w:val="20"/>
                <w:szCs w:val="20"/>
                <w:color w:val="auto"/>
              </w:rPr>
            </w:pPr>
            <w:r>
              <w:rPr>
                <w:rFonts w:ascii="Arial" w:cs="Arial" w:eastAsia="Arial" w:hAnsi="Arial"/>
                <w:sz w:val="18"/>
                <w:szCs w:val="18"/>
                <w:color w:val="auto"/>
                <w:w w:val="95"/>
              </w:rPr>
              <w:t>Identification No.)</w:t>
            </w:r>
          </w:p>
        </w:tc>
      </w:tr>
      <w:tr>
        <w:trPr>
          <w:trHeight w:val="941"/>
        </w:trPr>
        <w:tc>
          <w:tcPr>
            <w:tcW w:w="2140" w:type="dxa"/>
            <w:vAlign w:val="bottom"/>
          </w:tcPr>
          <w:p>
            <w:pPr>
              <w:spacing w:after="0"/>
              <w:rPr>
                <w:sz w:val="24"/>
                <w:szCs w:val="24"/>
                <w:color w:val="auto"/>
              </w:rPr>
            </w:pPr>
          </w:p>
        </w:tc>
        <w:tc>
          <w:tcPr>
            <w:tcW w:w="4640" w:type="dxa"/>
            <w:vAlign w:val="bottom"/>
          </w:tcPr>
          <w:p>
            <w:pPr>
              <w:jc w:val="center"/>
              <w:ind w:right="2850"/>
              <w:spacing w:after="0"/>
              <w:rPr>
                <w:sz w:val="20"/>
                <w:szCs w:val="20"/>
                <w:color w:val="auto"/>
              </w:rPr>
            </w:pPr>
            <w:r>
              <w:rPr>
                <w:rFonts w:ascii="Arial" w:cs="Arial" w:eastAsia="Arial" w:hAnsi="Arial"/>
                <w:sz w:val="18"/>
                <w:szCs w:val="18"/>
                <w:b w:val="1"/>
                <w:bCs w:val="1"/>
                <w:color w:val="auto"/>
                <w:w w:val="88"/>
              </w:rPr>
              <w:t>9800 N.W. 41</w:t>
            </w:r>
            <w:r>
              <w:rPr>
                <w:rFonts w:ascii="Arial" w:cs="Arial" w:eastAsia="Arial" w:hAnsi="Arial"/>
                <w:sz w:val="30"/>
                <w:szCs w:val="30"/>
                <w:b w:val="1"/>
                <w:bCs w:val="1"/>
                <w:color w:val="auto"/>
                <w:w w:val="88"/>
                <w:vertAlign w:val="superscript"/>
              </w:rPr>
              <w:t>st</w:t>
            </w:r>
            <w:r>
              <w:rPr>
                <w:rFonts w:ascii="Arial" w:cs="Arial" w:eastAsia="Arial" w:hAnsi="Arial"/>
                <w:sz w:val="18"/>
                <w:szCs w:val="18"/>
                <w:b w:val="1"/>
                <w:bCs w:val="1"/>
                <w:color w:val="auto"/>
                <w:w w:val="88"/>
              </w:rPr>
              <w:t xml:space="preserve"> Street</w:t>
            </w:r>
          </w:p>
        </w:tc>
        <w:tc>
          <w:tcPr>
            <w:tcW w:w="2580" w:type="dxa"/>
            <w:vAlign w:val="bottom"/>
          </w:tcPr>
          <w:p>
            <w:pPr>
              <w:spacing w:after="0"/>
              <w:rPr>
                <w:sz w:val="24"/>
                <w:szCs w:val="24"/>
                <w:color w:val="auto"/>
              </w:rPr>
            </w:pPr>
          </w:p>
        </w:tc>
      </w:tr>
      <w:tr>
        <w:trPr>
          <w:trHeight w:val="234"/>
        </w:trPr>
        <w:tc>
          <w:tcPr>
            <w:tcW w:w="2140" w:type="dxa"/>
            <w:vAlign w:val="bottom"/>
          </w:tcPr>
          <w:p>
            <w:pPr>
              <w:spacing w:after="0"/>
              <w:rPr>
                <w:sz w:val="20"/>
                <w:szCs w:val="20"/>
                <w:color w:val="auto"/>
              </w:rPr>
            </w:pPr>
          </w:p>
        </w:tc>
        <w:tc>
          <w:tcPr>
            <w:tcW w:w="4640" w:type="dxa"/>
            <w:vAlign w:val="bottom"/>
          </w:tcPr>
          <w:p>
            <w:pPr>
              <w:jc w:val="center"/>
              <w:ind w:right="2850"/>
              <w:spacing w:after="0"/>
              <w:rPr>
                <w:sz w:val="20"/>
                <w:szCs w:val="20"/>
                <w:color w:val="auto"/>
              </w:rPr>
            </w:pPr>
            <w:r>
              <w:rPr>
                <w:rFonts w:ascii="Arial" w:cs="Arial" w:eastAsia="Arial" w:hAnsi="Arial"/>
                <w:sz w:val="18"/>
                <w:szCs w:val="18"/>
                <w:b w:val="1"/>
                <w:bCs w:val="1"/>
                <w:color w:val="auto"/>
                <w:w w:val="98"/>
              </w:rPr>
              <w:t>Miami, FL</w:t>
            </w:r>
          </w:p>
        </w:tc>
        <w:tc>
          <w:tcPr>
            <w:tcW w:w="2580" w:type="dxa"/>
            <w:vAlign w:val="bottom"/>
          </w:tcPr>
          <w:p>
            <w:pPr>
              <w:jc w:val="right"/>
              <w:ind w:right="350"/>
              <w:spacing w:after="0"/>
              <w:rPr>
                <w:sz w:val="20"/>
                <w:szCs w:val="20"/>
                <w:color w:val="auto"/>
              </w:rPr>
            </w:pPr>
            <w:r>
              <w:rPr>
                <w:rFonts w:ascii="Arial" w:cs="Arial" w:eastAsia="Arial" w:hAnsi="Arial"/>
                <w:sz w:val="18"/>
                <w:szCs w:val="18"/>
                <w:b w:val="1"/>
                <w:bCs w:val="1"/>
                <w:color w:val="auto"/>
              </w:rPr>
              <w:t>33178</w:t>
            </w:r>
          </w:p>
        </w:tc>
      </w:tr>
      <w:tr>
        <w:trPr>
          <w:trHeight w:val="243"/>
        </w:trPr>
        <w:tc>
          <w:tcPr>
            <w:tcW w:w="6780" w:type="dxa"/>
            <w:vAlign w:val="bottom"/>
            <w:gridSpan w:val="2"/>
          </w:tcPr>
          <w:p>
            <w:pPr>
              <w:jc w:val="center"/>
              <w:ind w:right="710"/>
              <w:spacing w:after="0"/>
              <w:rPr>
                <w:sz w:val="20"/>
                <w:szCs w:val="20"/>
                <w:color w:val="auto"/>
              </w:rPr>
            </w:pPr>
            <w:r>
              <w:rPr>
                <w:rFonts w:ascii="Arial" w:cs="Arial" w:eastAsia="Arial" w:hAnsi="Arial"/>
                <w:sz w:val="18"/>
                <w:szCs w:val="18"/>
                <w:color w:val="auto"/>
                <w:w w:val="92"/>
              </w:rPr>
              <w:t>(Address of principal executive offices)</w:t>
            </w:r>
          </w:p>
        </w:tc>
        <w:tc>
          <w:tcPr>
            <w:tcW w:w="2580" w:type="dxa"/>
            <w:vAlign w:val="bottom"/>
          </w:tcPr>
          <w:p>
            <w:pPr>
              <w:jc w:val="center"/>
              <w:ind w:left="1170"/>
              <w:spacing w:after="0"/>
              <w:rPr>
                <w:sz w:val="20"/>
                <w:szCs w:val="20"/>
                <w:color w:val="auto"/>
              </w:rPr>
            </w:pPr>
            <w:r>
              <w:rPr>
                <w:rFonts w:ascii="Arial" w:cs="Arial" w:eastAsia="Arial" w:hAnsi="Arial"/>
                <w:sz w:val="18"/>
                <w:szCs w:val="18"/>
                <w:color w:val="auto"/>
                <w:w w:val="94"/>
              </w:rPr>
              <w:t>(Zip Code)</w:t>
            </w:r>
          </w:p>
        </w:tc>
      </w:tr>
    </w:tbl>
    <w:p>
      <w:pPr>
        <w:spacing w:after="0" w:line="200" w:lineRule="exact"/>
        <w:rPr>
          <w:sz w:val="24"/>
          <w:szCs w:val="24"/>
          <w:color w:val="auto"/>
        </w:rPr>
      </w:pPr>
    </w:p>
    <w:p>
      <w:pPr>
        <w:spacing w:after="0" w:line="254" w:lineRule="exact"/>
        <w:rPr>
          <w:sz w:val="24"/>
          <w:szCs w:val="24"/>
          <w:color w:val="auto"/>
        </w:rPr>
      </w:pPr>
    </w:p>
    <w:p>
      <w:pPr>
        <w:jc w:val="center"/>
        <w:ind w:right="-79"/>
        <w:spacing w:after="0"/>
        <w:rPr>
          <w:sz w:val="20"/>
          <w:szCs w:val="20"/>
          <w:color w:val="auto"/>
        </w:rPr>
      </w:pPr>
      <w:r>
        <w:rPr>
          <w:rFonts w:ascii="Arial" w:cs="Arial" w:eastAsia="Arial" w:hAnsi="Arial"/>
          <w:sz w:val="18"/>
          <w:szCs w:val="18"/>
          <w:color w:val="auto"/>
        </w:rPr>
        <w:t xml:space="preserve">Registrant’s telephone number, including area code: </w:t>
      </w:r>
      <w:r>
        <w:rPr>
          <w:rFonts w:ascii="Arial" w:cs="Arial" w:eastAsia="Arial" w:hAnsi="Arial"/>
          <w:sz w:val="18"/>
          <w:szCs w:val="18"/>
          <w:b w:val="1"/>
          <w:bCs w:val="1"/>
          <w:color w:val="auto"/>
        </w:rPr>
        <w:t>(305) 428-8000</w:t>
      </w:r>
    </w:p>
    <w:p>
      <w:pPr>
        <w:spacing w:after="0" w:line="229" w:lineRule="exact"/>
        <w:rPr>
          <w:sz w:val="24"/>
          <w:szCs w:val="24"/>
          <w:color w:val="auto"/>
        </w:rPr>
      </w:pPr>
    </w:p>
    <w:p>
      <w:pPr>
        <w:ind w:right="40"/>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197" w:lineRule="exact"/>
        <w:rPr>
          <w:sz w:val="24"/>
          <w:szCs w:val="24"/>
          <w:color w:val="auto"/>
        </w:rPr>
      </w:pPr>
    </w:p>
    <w:p>
      <w:pPr>
        <w:ind w:left="180"/>
        <w:spacing w:after="0"/>
        <w:rPr>
          <w:sz w:val="20"/>
          <w:szCs w:val="20"/>
          <w:color w:val="auto"/>
        </w:rPr>
      </w:pPr>
      <w:r>
        <w:rPr>
          <w:rFonts w:ascii="Arial" w:cs="Arial" w:eastAsia="Arial" w:hAnsi="Arial"/>
          <w:sz w:val="18"/>
          <w:szCs w:val="18"/>
          <w:color w:val="auto"/>
        </w:rPr>
        <w:t>Written communications pursuant to Rule 425 under the Securities Act (17 CFR 230.425)</w:t>
      </w:r>
    </w:p>
    <w:p>
      <w:pPr>
        <w:spacing w:after="0" w:line="36" w:lineRule="exact"/>
        <w:rPr>
          <w:sz w:val="24"/>
          <w:szCs w:val="24"/>
          <w:color w:val="auto"/>
        </w:rPr>
      </w:pPr>
    </w:p>
    <w:p>
      <w:pPr>
        <w:ind w:left="180"/>
        <w:spacing w:after="0"/>
        <w:rPr>
          <w:sz w:val="20"/>
          <w:szCs w:val="20"/>
          <w:color w:val="auto"/>
        </w:rPr>
      </w:pPr>
      <w:r>
        <w:rPr>
          <w:rFonts w:ascii="Arial" w:cs="Arial" w:eastAsia="Arial" w:hAnsi="Arial"/>
          <w:sz w:val="18"/>
          <w:szCs w:val="18"/>
          <w:color w:val="auto"/>
        </w:rPr>
        <w:t>Soliciting material pursuant to Rule 14a-12 under the Exchange Act (17 CFR 240.14a-12)</w:t>
      </w:r>
    </w:p>
    <w:p>
      <w:pPr>
        <w:spacing w:after="0" w:line="36" w:lineRule="exact"/>
        <w:rPr>
          <w:sz w:val="24"/>
          <w:szCs w:val="24"/>
          <w:color w:val="auto"/>
        </w:rPr>
      </w:pPr>
    </w:p>
    <w:p>
      <w:pPr>
        <w:ind w:left="180"/>
        <w:spacing w:after="0"/>
        <w:rPr>
          <w:sz w:val="20"/>
          <w:szCs w:val="20"/>
          <w:color w:val="auto"/>
        </w:rPr>
      </w:pPr>
      <w:r>
        <w:rPr>
          <w:rFonts w:ascii="Arial" w:cs="Arial" w:eastAsia="Arial" w:hAnsi="Arial"/>
          <w:sz w:val="18"/>
          <w:szCs w:val="18"/>
          <w:color w:val="auto"/>
        </w:rPr>
        <w:t>Pre-commencement communications pursuant to Rule 14d-2(b) under the Exchange Act (17 CFR 240.14d-2(b))</w:t>
      </w:r>
    </w:p>
    <w:p>
      <w:pPr>
        <w:spacing w:after="0" w:line="36" w:lineRule="exact"/>
        <w:rPr>
          <w:sz w:val="24"/>
          <w:szCs w:val="24"/>
          <w:color w:val="auto"/>
        </w:rPr>
      </w:pPr>
    </w:p>
    <w:p>
      <w:pPr>
        <w:ind w:left="180"/>
        <w:spacing w:after="0"/>
        <w:rPr>
          <w:sz w:val="20"/>
          <w:szCs w:val="20"/>
          <w:color w:val="auto"/>
        </w:rPr>
      </w:pPr>
      <w:r>
        <w:rPr>
          <w:rFonts w:ascii="Arial" w:cs="Arial" w:eastAsia="Arial" w:hAnsi="Arial"/>
          <w:sz w:val="18"/>
          <w:szCs w:val="18"/>
          <w:color w:val="auto"/>
        </w:rPr>
        <w:t>Pre-commencement communications pursuant to Rule 13e-4(c) under the Exchange Act (17 CFR 240.13e-4(c))</w:t>
      </w:r>
    </w:p>
    <w:p>
      <w:pPr>
        <w:spacing w:after="0" w:line="218" w:lineRule="exact"/>
        <w:rPr>
          <w:sz w:val="24"/>
          <w:szCs w:val="24"/>
          <w:color w:val="auto"/>
        </w:rPr>
      </w:pPr>
    </w:p>
    <w:p>
      <w:pPr>
        <w:spacing w:after="0" w:line="328" w:lineRule="auto"/>
        <w:rPr>
          <w:sz w:val="20"/>
          <w:szCs w:val="20"/>
          <w:color w:val="auto"/>
        </w:rPr>
      </w:pPr>
      <w:r>
        <w:rPr>
          <w:rFonts w:ascii="Arial" w:cs="Arial" w:eastAsia="Arial" w:hAnsi="Arial"/>
          <w:sz w:val="19"/>
          <w:szCs w:val="19"/>
          <w:color w:val="auto"/>
        </w:rPr>
        <w:t>Indicate by check mark whether the registrant is an emerging growth company as defined in Rule 405 of the Securities Act of 1933 (Â§230.405 of this chapter) or Rule 12b-2 of the Securities Exchange Act of 1934 (Â§240.12b-2 of this chapter).</w:t>
      </w:r>
    </w:p>
    <w:p>
      <w:pPr>
        <w:spacing w:after="0" w:line="105" w:lineRule="exact"/>
        <w:rPr>
          <w:sz w:val="24"/>
          <w:szCs w:val="24"/>
          <w:color w:val="auto"/>
        </w:rPr>
      </w:pPr>
    </w:p>
    <w:p>
      <w:pPr>
        <w:spacing w:after="0"/>
        <w:rPr>
          <w:sz w:val="20"/>
          <w:szCs w:val="20"/>
          <w:color w:val="auto"/>
        </w:rPr>
      </w:pPr>
      <w:r>
        <w:rPr>
          <w:rFonts w:ascii="Arial" w:cs="Arial" w:eastAsia="Arial" w:hAnsi="Arial"/>
          <w:sz w:val="22"/>
          <w:szCs w:val="22"/>
          <w:color w:val="auto"/>
        </w:rPr>
        <w:t>Emerging growth company [  ]</w:t>
      </w:r>
    </w:p>
    <w:p>
      <w:pPr>
        <w:spacing w:after="0" w:line="206" w:lineRule="exact"/>
        <w:rPr>
          <w:sz w:val="24"/>
          <w:szCs w:val="24"/>
          <w:color w:val="auto"/>
        </w:rPr>
      </w:pPr>
    </w:p>
    <w:p>
      <w:pPr>
        <w:jc w:val="both"/>
        <w:ind w:right="240"/>
        <w:spacing w:after="0" w:line="328" w:lineRule="auto"/>
        <w:rPr>
          <w:sz w:val="20"/>
          <w:szCs w:val="20"/>
          <w:color w:val="auto"/>
        </w:rPr>
      </w:pPr>
      <w:r>
        <w:rPr>
          <w:rFonts w:ascii="Arial" w:cs="Arial" w:eastAsia="Arial" w:hAnsi="Arial"/>
          <w:sz w:val="19"/>
          <w:szCs w:val="19"/>
          <w:color w:val="auto"/>
        </w:rPr>
        <w:t>If an emerging growth company, indicate by check mark if the registrant has elected not to use the extended transition period for complying with any new or revised financial accounting standards provided pursuant to Section 13(a) of the Exchange Act. [ ]</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67945</wp:posOffset>
            </wp:positionV>
            <wp:extent cx="7272020" cy="596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72020" cy="59690"/>
                    </a:xfrm>
                    <a:prstGeom prst="rect">
                      <a:avLst/>
                    </a:prstGeom>
                    <a:noFill/>
                  </pic:spPr>
                </pic:pic>
              </a:graphicData>
            </a:graphic>
          </wp:anchor>
        </w:drawing>
      </w:r>
    </w:p>
    <w:p>
      <w:pPr>
        <w:sectPr>
          <w:pgSz w:w="11900" w:h="16838" w:orient="portrait"/>
          <w:cols w:equalWidth="0" w:num="1">
            <w:col w:w="11340"/>
          </w:cols>
          <w:pgMar w:left="240" w:top="463" w:right="319" w:bottom="1440" w:gutter="0" w:footer="0" w:header="0"/>
        </w:sectPr>
      </w:pPr>
    </w:p>
    <w:bookmarkStart w:id="1" w:name="page2"/>
    <w:bookmarkEnd w:id="1"/>
    <w:p>
      <w:pPr>
        <w:spacing w:after="0"/>
        <w:tabs>
          <w:tab w:leader="none" w:pos="1180" w:val="left"/>
        </w:tabs>
        <w:rPr>
          <w:sz w:val="20"/>
          <w:szCs w:val="20"/>
          <w:color w:val="auto"/>
        </w:rPr>
      </w:pPr>
      <w:r>
        <w:rPr>
          <w:rFonts w:ascii="Arial" w:cs="Arial" w:eastAsia="Arial" w:hAnsi="Arial"/>
          <w:sz w:val="22"/>
          <w:szCs w:val="22"/>
          <w:b w:val="1"/>
          <w:bCs w:val="1"/>
          <w:color w:val="auto"/>
        </w:rPr>
        <w:t>Item 7.01.</w:t>
      </w:r>
      <w:r>
        <w:rPr>
          <w:sz w:val="20"/>
          <w:szCs w:val="20"/>
          <w:color w:val="auto"/>
        </w:rPr>
        <w:tab/>
      </w:r>
      <w:r>
        <w:rPr>
          <w:rFonts w:ascii="Arial" w:cs="Arial" w:eastAsia="Arial" w:hAnsi="Arial"/>
          <w:sz w:val="19"/>
          <w:szCs w:val="19"/>
          <w:b w:val="1"/>
          <w:bCs w:val="1"/>
          <w:color w:val="auto"/>
        </w:rPr>
        <w:t>Regulation FD Disclosure</w:t>
      </w:r>
    </w:p>
    <w:p>
      <w:pPr>
        <w:spacing w:after="0" w:line="213" w:lineRule="exact"/>
        <w:rPr>
          <w:sz w:val="20"/>
          <w:szCs w:val="20"/>
          <w:color w:val="auto"/>
        </w:rPr>
      </w:pPr>
    </w:p>
    <w:p>
      <w:pPr>
        <w:jc w:val="both"/>
        <w:ind w:firstLine="543"/>
        <w:spacing w:after="0"/>
        <w:rPr>
          <w:sz w:val="20"/>
          <w:szCs w:val="20"/>
          <w:color w:val="auto"/>
        </w:rPr>
      </w:pPr>
      <w:r>
        <w:rPr>
          <w:rFonts w:ascii="Arial" w:cs="Arial" w:eastAsia="Arial" w:hAnsi="Arial"/>
          <w:sz w:val="22"/>
          <w:szCs w:val="22"/>
          <w:color w:val="auto"/>
        </w:rPr>
        <w:t>World Fuel Services Corporation announced today that its board of directors has declared a quarterly cash dividend of $0.06 per share payable on July 6, 2018 to shareholders of record on June 8, 2018. A copy of the press release is attached hereto as Exhibit 99.1.</w:t>
      </w:r>
    </w:p>
    <w:p>
      <w:pPr>
        <w:spacing w:after="0" w:line="186" w:lineRule="exact"/>
        <w:rPr>
          <w:sz w:val="20"/>
          <w:szCs w:val="20"/>
          <w:color w:val="auto"/>
        </w:rPr>
      </w:pPr>
    </w:p>
    <w:p>
      <w:pPr>
        <w:jc w:val="both"/>
        <w:ind w:firstLine="530"/>
        <w:spacing w:after="0" w:line="297" w:lineRule="auto"/>
        <w:rPr>
          <w:sz w:val="20"/>
          <w:szCs w:val="20"/>
          <w:color w:val="auto"/>
        </w:rPr>
      </w:pPr>
      <w:r>
        <w:rPr>
          <w:rFonts w:ascii="Arial" w:cs="Arial" w:eastAsia="Arial" w:hAnsi="Arial"/>
          <w:sz w:val="19"/>
          <w:szCs w:val="19"/>
          <w:color w:val="auto"/>
        </w:rPr>
        <w:t>This information and the information contained in Exhibit 99.1 shall not be deemed “filed” for purposes of Section 18 of the Securities Exchange Act of 1934, as amended (the “Exchange Act”), or incorporated by reference in any filing under the Securities Act of 1933, as amended, or the Exchange Act, except as may be expressly set forth by specific reference in any such filing.</w:t>
      </w:r>
    </w:p>
    <w:p>
      <w:pPr>
        <w:spacing w:after="0" w:line="128" w:lineRule="exact"/>
        <w:rPr>
          <w:sz w:val="20"/>
          <w:szCs w:val="20"/>
          <w:color w:val="auto"/>
        </w:rPr>
      </w:pPr>
    </w:p>
    <w:p>
      <w:pPr>
        <w:spacing w:after="0"/>
        <w:tabs>
          <w:tab w:leader="none" w:pos="1120" w:val="left"/>
        </w:tabs>
        <w:rPr>
          <w:sz w:val="20"/>
          <w:szCs w:val="20"/>
          <w:color w:val="auto"/>
        </w:rPr>
      </w:pPr>
      <w:r>
        <w:rPr>
          <w:rFonts w:ascii="Arial" w:cs="Arial" w:eastAsia="Arial" w:hAnsi="Arial"/>
          <w:sz w:val="22"/>
          <w:szCs w:val="22"/>
          <w:b w:val="1"/>
          <w:bCs w:val="1"/>
          <w:color w:val="auto"/>
        </w:rPr>
        <w:t>Item 9.01.</w:t>
      </w:r>
      <w:r>
        <w:rPr>
          <w:sz w:val="20"/>
          <w:szCs w:val="20"/>
          <w:color w:val="auto"/>
        </w:rPr>
        <w:tab/>
      </w:r>
      <w:r>
        <w:rPr>
          <w:rFonts w:ascii="Arial" w:cs="Arial" w:eastAsia="Arial" w:hAnsi="Arial"/>
          <w:sz w:val="19"/>
          <w:szCs w:val="19"/>
          <w:b w:val="1"/>
          <w:bCs w:val="1"/>
          <w:color w:val="auto"/>
        </w:rPr>
        <w:t>Financial Statements and Exhibits</w:t>
      </w:r>
    </w:p>
    <w:p>
      <w:pPr>
        <w:spacing w:after="0" w:line="233"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1320" w:type="dxa"/>
            <w:vAlign w:val="bottom"/>
          </w:tcPr>
          <w:p>
            <w:pPr>
              <w:ind w:left="820"/>
              <w:spacing w:after="0"/>
              <w:rPr>
                <w:sz w:val="20"/>
                <w:szCs w:val="20"/>
                <w:color w:val="auto"/>
              </w:rPr>
            </w:pPr>
            <w:r>
              <w:rPr>
                <w:rFonts w:ascii="Arial" w:cs="Arial" w:eastAsia="Arial" w:hAnsi="Arial"/>
                <w:sz w:val="18"/>
                <w:szCs w:val="18"/>
                <w:color w:val="auto"/>
              </w:rPr>
              <w:t>(c)</w:t>
            </w:r>
          </w:p>
        </w:tc>
        <w:tc>
          <w:tcPr>
            <w:tcW w:w="1660" w:type="dxa"/>
            <w:vAlign w:val="bottom"/>
            <w:gridSpan w:val="3"/>
          </w:tcPr>
          <w:p>
            <w:pPr>
              <w:ind w:left="300"/>
              <w:spacing w:after="0"/>
              <w:rPr>
                <w:sz w:val="20"/>
                <w:szCs w:val="20"/>
                <w:color w:val="auto"/>
              </w:rPr>
            </w:pPr>
            <w:r>
              <w:rPr>
                <w:rFonts w:ascii="Arial" w:cs="Arial" w:eastAsia="Arial" w:hAnsi="Arial"/>
                <w:sz w:val="18"/>
                <w:szCs w:val="18"/>
                <w:color w:val="auto"/>
              </w:rPr>
              <w:t>Exhibits</w:t>
            </w:r>
          </w:p>
        </w:tc>
        <w:tc>
          <w:tcPr>
            <w:tcW w:w="840" w:type="dxa"/>
            <w:vAlign w:val="bottom"/>
          </w:tcPr>
          <w:p>
            <w:pPr>
              <w:spacing w:after="0"/>
              <w:rPr>
                <w:sz w:val="20"/>
                <w:szCs w:val="20"/>
                <w:color w:val="auto"/>
              </w:rPr>
            </w:pPr>
          </w:p>
        </w:tc>
        <w:tc>
          <w:tcPr>
            <w:tcW w:w="7600" w:type="dxa"/>
            <w:vAlign w:val="bottom"/>
          </w:tcPr>
          <w:p>
            <w:pPr>
              <w:spacing w:after="0"/>
              <w:rPr>
                <w:sz w:val="20"/>
                <w:szCs w:val="20"/>
                <w:color w:val="auto"/>
              </w:rPr>
            </w:pPr>
          </w:p>
        </w:tc>
      </w:tr>
      <w:tr>
        <w:trPr>
          <w:trHeight w:val="446"/>
        </w:trPr>
        <w:tc>
          <w:tcPr>
            <w:tcW w:w="13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360" w:type="dxa"/>
            <w:vAlign w:val="bottom"/>
            <w:gridSpan w:val="2"/>
          </w:tcPr>
          <w:p>
            <w:pPr>
              <w:spacing w:after="0"/>
              <w:rPr>
                <w:sz w:val="20"/>
                <w:szCs w:val="20"/>
                <w:color w:val="auto"/>
              </w:rPr>
            </w:pPr>
            <w:r>
              <w:rPr>
                <w:rFonts w:ascii="Arial" w:cs="Arial" w:eastAsia="Arial" w:hAnsi="Arial"/>
                <w:sz w:val="18"/>
                <w:szCs w:val="18"/>
                <w:color w:val="auto"/>
              </w:rPr>
              <w:t>Exhibit No.</w:t>
            </w:r>
          </w:p>
        </w:tc>
        <w:tc>
          <w:tcPr>
            <w:tcW w:w="8440" w:type="dxa"/>
            <w:vAlign w:val="bottom"/>
            <w:gridSpan w:val="2"/>
          </w:tcPr>
          <w:p>
            <w:pPr>
              <w:spacing w:after="0"/>
              <w:rPr>
                <w:sz w:val="20"/>
                <w:szCs w:val="20"/>
                <w:color w:val="auto"/>
              </w:rPr>
            </w:pPr>
            <w:r>
              <w:rPr>
                <w:rFonts w:ascii="Arial" w:cs="Arial" w:eastAsia="Arial" w:hAnsi="Arial"/>
                <w:sz w:val="18"/>
                <w:szCs w:val="18"/>
                <w:color w:val="auto"/>
              </w:rPr>
              <w:t>Description</w:t>
            </w:r>
          </w:p>
        </w:tc>
      </w:tr>
      <w:tr>
        <w:trPr>
          <w:trHeight w:val="20"/>
        </w:trPr>
        <w:tc>
          <w:tcPr>
            <w:tcW w:w="132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7600" w:type="dxa"/>
            <w:vAlign w:val="bottom"/>
          </w:tcPr>
          <w:p>
            <w:pPr>
              <w:spacing w:after="0" w:line="20" w:lineRule="exact"/>
              <w:rPr>
                <w:sz w:val="1"/>
                <w:szCs w:val="1"/>
                <w:color w:val="auto"/>
              </w:rPr>
            </w:pPr>
          </w:p>
        </w:tc>
      </w:tr>
      <w:tr>
        <w:trPr>
          <w:trHeight w:val="507"/>
        </w:trPr>
        <w:tc>
          <w:tcPr>
            <w:tcW w:w="13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840" w:type="dxa"/>
            <w:vAlign w:val="bottom"/>
          </w:tcPr>
          <w:p>
            <w:pPr>
              <w:jc w:val="right"/>
              <w:ind w:right="10"/>
              <w:spacing w:after="0"/>
              <w:rPr>
                <w:sz w:val="20"/>
                <w:szCs w:val="20"/>
                <w:color w:val="auto"/>
              </w:rPr>
            </w:pPr>
            <w:r>
              <w:rPr>
                <w:rFonts w:ascii="Arial" w:cs="Arial" w:eastAsia="Arial" w:hAnsi="Arial"/>
                <w:sz w:val="18"/>
                <w:szCs w:val="18"/>
                <w:color w:val="auto"/>
              </w:rPr>
              <w:t>99.1</w:t>
            </w:r>
          </w:p>
        </w:tc>
        <w:tc>
          <w:tcPr>
            <w:tcW w:w="520" w:type="dxa"/>
            <w:vAlign w:val="bottom"/>
          </w:tcPr>
          <w:p>
            <w:pPr>
              <w:spacing w:after="0"/>
              <w:rPr>
                <w:sz w:val="24"/>
                <w:szCs w:val="24"/>
                <w:color w:val="auto"/>
              </w:rPr>
            </w:pPr>
          </w:p>
        </w:tc>
        <w:tc>
          <w:tcPr>
            <w:tcW w:w="8440" w:type="dxa"/>
            <w:vAlign w:val="bottom"/>
            <w:gridSpan w:val="2"/>
          </w:tcPr>
          <w:p>
            <w:pPr>
              <w:spacing w:after="0"/>
              <w:rPr>
                <w:sz w:val="20"/>
                <w:szCs w:val="20"/>
                <w:color w:val="auto"/>
              </w:rPr>
            </w:pPr>
            <w:r>
              <w:rPr>
                <w:rFonts w:ascii="Arial" w:cs="Arial" w:eastAsia="Arial" w:hAnsi="Arial"/>
                <w:sz w:val="18"/>
                <w:szCs w:val="18"/>
                <w:color w:val="auto"/>
              </w:rPr>
              <w:t>Press Release, dated May 24, 2018.</w:t>
            </w:r>
          </w:p>
        </w:tc>
      </w:tr>
      <w:tr>
        <w:trPr>
          <w:trHeight w:val="230"/>
        </w:trPr>
        <w:tc>
          <w:tcPr>
            <w:tcW w:w="1320" w:type="dxa"/>
            <w:vAlign w:val="bottom"/>
            <w:tcBorders>
              <w:bottom w:val="single" w:sz="8" w:color="9A9A9A"/>
            </w:tcBorders>
          </w:tcPr>
          <w:p>
            <w:pPr>
              <w:spacing w:after="0"/>
              <w:rPr>
                <w:sz w:val="19"/>
                <w:szCs w:val="19"/>
                <w:color w:val="auto"/>
              </w:rPr>
            </w:pPr>
          </w:p>
        </w:tc>
        <w:tc>
          <w:tcPr>
            <w:tcW w:w="300" w:type="dxa"/>
            <w:vAlign w:val="bottom"/>
            <w:tcBorders>
              <w:bottom w:val="single" w:sz="8" w:color="9A9A9A"/>
            </w:tcBorders>
          </w:tcPr>
          <w:p>
            <w:pPr>
              <w:spacing w:after="0"/>
              <w:rPr>
                <w:sz w:val="19"/>
                <w:szCs w:val="19"/>
                <w:color w:val="auto"/>
              </w:rPr>
            </w:pPr>
          </w:p>
        </w:tc>
        <w:tc>
          <w:tcPr>
            <w:tcW w:w="840" w:type="dxa"/>
            <w:vAlign w:val="bottom"/>
            <w:tcBorders>
              <w:bottom w:val="single" w:sz="8" w:color="9A9A9A"/>
            </w:tcBorders>
          </w:tcPr>
          <w:p>
            <w:pPr>
              <w:spacing w:after="0"/>
              <w:rPr>
                <w:sz w:val="19"/>
                <w:szCs w:val="19"/>
                <w:color w:val="auto"/>
              </w:rPr>
            </w:pPr>
          </w:p>
        </w:tc>
        <w:tc>
          <w:tcPr>
            <w:tcW w:w="520" w:type="dxa"/>
            <w:vAlign w:val="bottom"/>
            <w:tcBorders>
              <w:bottom w:val="single" w:sz="8" w:color="9A9A9A"/>
            </w:tcBorders>
          </w:tcPr>
          <w:p>
            <w:pPr>
              <w:spacing w:after="0"/>
              <w:rPr>
                <w:sz w:val="19"/>
                <w:szCs w:val="19"/>
                <w:color w:val="auto"/>
              </w:rPr>
            </w:pPr>
          </w:p>
        </w:tc>
        <w:tc>
          <w:tcPr>
            <w:tcW w:w="840" w:type="dxa"/>
            <w:vAlign w:val="bottom"/>
            <w:tcBorders>
              <w:bottom w:val="single" w:sz="8" w:color="9A9A9A"/>
            </w:tcBorders>
          </w:tcPr>
          <w:p>
            <w:pPr>
              <w:spacing w:after="0"/>
              <w:rPr>
                <w:sz w:val="19"/>
                <w:szCs w:val="19"/>
                <w:color w:val="auto"/>
              </w:rPr>
            </w:pPr>
          </w:p>
        </w:tc>
        <w:tc>
          <w:tcPr>
            <w:tcW w:w="7600" w:type="dxa"/>
            <w:vAlign w:val="bottom"/>
            <w:tcBorders>
              <w:bottom w:val="single" w:sz="8" w:color="9A9A9A"/>
            </w:tcBorders>
          </w:tcPr>
          <w:p>
            <w:pPr>
              <w:spacing w:after="0"/>
              <w:rPr>
                <w:sz w:val="19"/>
                <w:szCs w:val="19"/>
                <w:color w:val="auto"/>
              </w:rPr>
            </w:pPr>
          </w:p>
        </w:tc>
      </w:tr>
      <w:tr>
        <w:trPr>
          <w:trHeight w:val="21"/>
        </w:trPr>
        <w:tc>
          <w:tcPr>
            <w:tcW w:w="1320" w:type="dxa"/>
            <w:vAlign w:val="bottom"/>
            <w:tcBorders>
              <w:bottom w:val="single" w:sz="8" w:color="EEEEEE"/>
            </w:tcBorders>
          </w:tcPr>
          <w:p>
            <w:pPr>
              <w:spacing w:after="0" w:line="20" w:lineRule="exact"/>
              <w:rPr>
                <w:sz w:val="1"/>
                <w:szCs w:val="1"/>
                <w:color w:val="auto"/>
              </w:rPr>
            </w:pPr>
          </w:p>
        </w:tc>
        <w:tc>
          <w:tcPr>
            <w:tcW w:w="300" w:type="dxa"/>
            <w:vAlign w:val="bottom"/>
            <w:tcBorders>
              <w:bottom w:val="single" w:sz="8" w:color="EEEEEE"/>
            </w:tcBorders>
          </w:tcPr>
          <w:p>
            <w:pPr>
              <w:spacing w:after="0" w:line="20" w:lineRule="exact"/>
              <w:rPr>
                <w:sz w:val="1"/>
                <w:szCs w:val="1"/>
                <w:color w:val="auto"/>
              </w:rPr>
            </w:pPr>
          </w:p>
        </w:tc>
        <w:tc>
          <w:tcPr>
            <w:tcW w:w="840" w:type="dxa"/>
            <w:vAlign w:val="bottom"/>
            <w:tcBorders>
              <w:bottom w:val="single" w:sz="8" w:color="EEEEEE"/>
            </w:tcBorders>
          </w:tcPr>
          <w:p>
            <w:pPr>
              <w:spacing w:after="0" w:line="20" w:lineRule="exact"/>
              <w:rPr>
                <w:sz w:val="1"/>
                <w:szCs w:val="1"/>
                <w:color w:val="auto"/>
              </w:rPr>
            </w:pPr>
          </w:p>
        </w:tc>
        <w:tc>
          <w:tcPr>
            <w:tcW w:w="520" w:type="dxa"/>
            <w:vAlign w:val="bottom"/>
            <w:tcBorders>
              <w:bottom w:val="single" w:sz="8" w:color="EEEEEE"/>
            </w:tcBorders>
          </w:tcPr>
          <w:p>
            <w:pPr>
              <w:spacing w:after="0" w:line="20" w:lineRule="exact"/>
              <w:rPr>
                <w:sz w:val="1"/>
                <w:szCs w:val="1"/>
                <w:color w:val="auto"/>
              </w:rPr>
            </w:pPr>
          </w:p>
        </w:tc>
        <w:tc>
          <w:tcPr>
            <w:tcW w:w="840" w:type="dxa"/>
            <w:vAlign w:val="bottom"/>
            <w:tcBorders>
              <w:bottom w:val="single" w:sz="8" w:color="EEEEEE"/>
            </w:tcBorders>
          </w:tcPr>
          <w:p>
            <w:pPr>
              <w:spacing w:after="0" w:line="20" w:lineRule="exact"/>
              <w:rPr>
                <w:sz w:val="1"/>
                <w:szCs w:val="1"/>
                <w:color w:val="auto"/>
              </w:rPr>
            </w:pPr>
          </w:p>
        </w:tc>
        <w:tc>
          <w:tcPr>
            <w:tcW w:w="7600" w:type="dxa"/>
            <w:vAlign w:val="bottom"/>
            <w:tcBorders>
              <w:bottom w:val="single" w:sz="8" w:color="EEEEEE"/>
            </w:tcBorders>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7230110</wp:posOffset>
            </wp:positionH>
            <wp:positionV relativeFrom="paragraph">
              <wp:posOffset>-46355</wp:posOffset>
            </wp:positionV>
            <wp:extent cx="34290" cy="596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34290" cy="59690"/>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-46355</wp:posOffset>
            </wp:positionV>
            <wp:extent cx="34290" cy="596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34290" cy="59690"/>
                    </a:xfrm>
                    <a:prstGeom prst="rect">
                      <a:avLst/>
                    </a:prstGeom>
                    <a:noFill/>
                  </pic:spPr>
                </pic:pic>
              </a:graphicData>
            </a:graphic>
          </wp:anchor>
        </w:drawing>
      </w:r>
    </w:p>
    <w:p>
      <w:pPr>
        <w:sectPr>
          <w:pgSz w:w="11900" w:h="16838" w:orient="portrait"/>
          <w:cols w:equalWidth="0" w:num="1">
            <w:col w:w="11420"/>
          </w:cols>
          <w:pgMar w:left="240" w:top="111" w:right="239" w:bottom="1440" w:gutter="0" w:footer="0" w:header="0"/>
        </w:sectPr>
      </w:pPr>
    </w:p>
    <w:bookmarkStart w:id="2" w:name="page3"/>
    <w:bookmarkEnd w:id="2"/>
    <w:p>
      <w:pPr>
        <w:jc w:val="center"/>
        <w:ind w:right="-259"/>
        <w:spacing w:after="0"/>
        <w:rPr>
          <w:sz w:val="20"/>
          <w:szCs w:val="20"/>
          <w:color w:val="auto"/>
        </w:rPr>
      </w:pPr>
      <w:r>
        <w:rPr>
          <w:rFonts w:ascii="Arial" w:cs="Arial" w:eastAsia="Arial" w:hAnsi="Arial"/>
          <w:sz w:val="22"/>
          <w:szCs w:val="22"/>
          <w:b w:val="1"/>
          <w:bCs w:val="1"/>
          <w:color w:val="auto"/>
        </w:rPr>
        <w:t>SIGNATURES</w:t>
      </w:r>
    </w:p>
    <w:p>
      <w:pPr>
        <w:spacing w:after="0" w:line="213" w:lineRule="exact"/>
        <w:rPr>
          <w:sz w:val="20"/>
          <w:szCs w:val="20"/>
          <w:color w:val="auto"/>
        </w:rPr>
      </w:pPr>
    </w:p>
    <w:p>
      <w:pPr>
        <w:spacing w:after="0" w:line="251" w:lineRule="auto"/>
        <w:rPr>
          <w:sz w:val="20"/>
          <w:szCs w:val="20"/>
          <w:color w:val="auto"/>
        </w:rPr>
      </w:pPr>
      <w:r>
        <w:rPr>
          <w:rFonts w:ascii="Arial" w:cs="Arial" w:eastAsia="Arial" w:hAnsi="Arial"/>
          <w:sz w:val="22"/>
          <w:szCs w:val="22"/>
          <w:color w:val="auto"/>
        </w:rPr>
        <w:t>Pursuant to the requirements of the Securities Exchange Act of 1934, the registrant has duly caused this report to be signed on its behalf by the undersigned, thereunto duly authorized.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2" w:lineRule="exact"/>
        <w:rPr>
          <w:sz w:val="20"/>
          <w:szCs w:val="20"/>
          <w:color w:val="auto"/>
        </w:rPr>
      </w:pPr>
    </w:p>
    <w:p>
      <w:pPr>
        <w:spacing w:after="0"/>
        <w:tabs>
          <w:tab w:leader="none" w:pos="560" w:val="left"/>
          <w:tab w:leader="none" w:pos="6520" w:val="left"/>
        </w:tabs>
        <w:rPr>
          <w:sz w:val="20"/>
          <w:szCs w:val="20"/>
          <w:color w:val="auto"/>
        </w:rPr>
      </w:pPr>
      <w:r>
        <w:rPr>
          <w:rFonts w:ascii="Arial" w:cs="Arial" w:eastAsia="Arial" w:hAnsi="Arial"/>
          <w:sz w:val="18"/>
          <w:szCs w:val="18"/>
          <w:color w:val="auto"/>
        </w:rPr>
        <w:t>Date:</w:t>
        <w:tab/>
        <w:t>May 24, 2018</w:t>
      </w:r>
      <w:r>
        <w:rPr>
          <w:sz w:val="20"/>
          <w:szCs w:val="20"/>
          <w:color w:val="auto"/>
        </w:rPr>
        <w:tab/>
      </w:r>
      <w:r>
        <w:rPr>
          <w:rFonts w:ascii="Arial" w:cs="Arial" w:eastAsia="Arial" w:hAnsi="Arial"/>
          <w:sz w:val="16"/>
          <w:szCs w:val="16"/>
          <w:b w:val="1"/>
          <w:bCs w:val="1"/>
          <w:color w:val="auto"/>
        </w:rPr>
        <w:t>World Fuel Services Corporation</w:t>
      </w:r>
    </w:p>
    <w:p>
      <w:pPr>
        <w:spacing w:after="0" w:line="200" w:lineRule="exact"/>
        <w:rPr>
          <w:sz w:val="20"/>
          <w:szCs w:val="20"/>
          <w:color w:val="auto"/>
        </w:rPr>
      </w:pPr>
    </w:p>
    <w:p>
      <w:pPr>
        <w:spacing w:after="0" w:line="200" w:lineRule="exact"/>
        <w:rPr>
          <w:sz w:val="20"/>
          <w:szCs w:val="20"/>
          <w:color w:val="auto"/>
        </w:rPr>
      </w:pPr>
    </w:p>
    <w:p>
      <w:pPr>
        <w:spacing w:after="0" w:line="369" w:lineRule="exact"/>
        <w:rPr>
          <w:sz w:val="20"/>
          <w:szCs w:val="20"/>
          <w:color w:val="auto"/>
        </w:rPr>
      </w:pPr>
    </w:p>
    <w:p>
      <w:pPr>
        <w:ind w:left="6540"/>
        <w:spacing w:after="0"/>
        <w:rPr>
          <w:sz w:val="20"/>
          <w:szCs w:val="20"/>
          <w:color w:val="auto"/>
        </w:rPr>
      </w:pPr>
      <w:r>
        <w:rPr>
          <w:rFonts w:ascii="Arial" w:cs="Arial" w:eastAsia="Arial" w:hAnsi="Arial"/>
          <w:sz w:val="18"/>
          <w:szCs w:val="18"/>
          <w:color w:val="auto"/>
        </w:rPr>
        <w:t>/s/ R. Alexander Lake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4147185</wp:posOffset>
            </wp:positionH>
            <wp:positionV relativeFrom="paragraph">
              <wp:posOffset>23495</wp:posOffset>
            </wp:positionV>
            <wp:extent cx="238379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2383790" cy="8890"/>
                    </a:xfrm>
                    <a:prstGeom prst="rect">
                      <a:avLst/>
                    </a:prstGeom>
                    <a:noFill/>
                  </pic:spPr>
                </pic:pic>
              </a:graphicData>
            </a:graphic>
          </wp:anchor>
        </w:drawing>
      </w:r>
    </w:p>
    <w:p>
      <w:pPr>
        <w:spacing w:after="0" w:line="30" w:lineRule="exact"/>
        <w:rPr>
          <w:sz w:val="20"/>
          <w:szCs w:val="20"/>
          <w:color w:val="auto"/>
        </w:rPr>
      </w:pPr>
    </w:p>
    <w:p>
      <w:pPr>
        <w:ind w:left="6540"/>
        <w:spacing w:after="0"/>
        <w:rPr>
          <w:sz w:val="20"/>
          <w:szCs w:val="20"/>
          <w:color w:val="auto"/>
        </w:rPr>
      </w:pPr>
      <w:r>
        <w:rPr>
          <w:rFonts w:ascii="Arial" w:cs="Arial" w:eastAsia="Arial" w:hAnsi="Arial"/>
          <w:sz w:val="18"/>
          <w:szCs w:val="18"/>
          <w:color w:val="auto"/>
        </w:rPr>
        <w:t>R. Alexander Lake</w:t>
      </w:r>
    </w:p>
    <w:p>
      <w:pPr>
        <w:spacing w:after="0" w:line="36" w:lineRule="exact"/>
        <w:rPr>
          <w:sz w:val="20"/>
          <w:szCs w:val="20"/>
          <w:color w:val="auto"/>
        </w:rPr>
      </w:pPr>
    </w:p>
    <w:p>
      <w:pPr>
        <w:ind w:left="6540"/>
        <w:spacing w:after="0"/>
        <w:rPr>
          <w:sz w:val="20"/>
          <w:szCs w:val="20"/>
          <w:color w:val="auto"/>
        </w:rPr>
      </w:pPr>
      <w:r>
        <w:rPr>
          <w:rFonts w:ascii="Arial" w:cs="Arial" w:eastAsia="Arial" w:hAnsi="Arial"/>
          <w:sz w:val="18"/>
          <w:szCs w:val="18"/>
          <w:color w:val="auto"/>
        </w:rPr>
        <w:t>Executive Vice President, Chief Legal Officer and</w:t>
      </w:r>
    </w:p>
    <w:p>
      <w:pPr>
        <w:spacing w:after="0" w:line="36" w:lineRule="exact"/>
        <w:rPr>
          <w:sz w:val="20"/>
          <w:szCs w:val="20"/>
          <w:color w:val="auto"/>
        </w:rPr>
      </w:pPr>
    </w:p>
    <w:p>
      <w:pPr>
        <w:ind w:left="6540"/>
        <w:spacing w:after="0"/>
        <w:rPr>
          <w:sz w:val="20"/>
          <w:szCs w:val="20"/>
          <w:color w:val="auto"/>
        </w:rPr>
      </w:pPr>
      <w:r>
        <w:rPr>
          <w:rFonts w:ascii="Arial" w:cs="Arial" w:eastAsia="Arial" w:hAnsi="Arial"/>
          <w:sz w:val="18"/>
          <w:szCs w:val="18"/>
          <w:color w:val="auto"/>
        </w:rPr>
        <w:t>Corporate Secretary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147955</wp:posOffset>
            </wp:positionV>
            <wp:extent cx="7272020" cy="596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72020" cy="59690"/>
                    </a:xfrm>
                    <a:prstGeom prst="rect">
                      <a:avLst/>
                    </a:prstGeom>
                    <a:noFill/>
                  </pic:spPr>
                </pic:pic>
              </a:graphicData>
            </a:graphic>
          </wp:anchor>
        </w:drawing>
      </w:r>
    </w:p>
    <w:p>
      <w:pPr>
        <w:sectPr>
          <w:pgSz w:w="11900" w:h="16838" w:orient="portrait"/>
          <w:cols w:equalWidth="0" w:num="1">
            <w:col w:w="11160"/>
          </w:cols>
          <w:pgMar w:left="240" w:top="111" w:right="499" w:bottom="1440" w:gutter="0" w:footer="0" w:header="0"/>
        </w:sectPr>
      </w:pPr>
    </w:p>
    <w:bookmarkStart w:id="3" w:name="page4"/>
    <w:bookmarkEnd w:id="3"/>
    <w:p>
      <w:pPr>
        <w:jc w:val="right"/>
        <w:ind w:right="3719"/>
        <w:spacing w:after="0"/>
        <w:rPr>
          <w:sz w:val="20"/>
          <w:szCs w:val="20"/>
          <w:color w:val="auto"/>
        </w:rPr>
      </w:pPr>
      <w:r>
        <w:rPr>
          <w:rFonts w:ascii="Arial" w:cs="Arial" w:eastAsia="Arial" w:hAnsi="Arial"/>
          <w:sz w:val="22"/>
          <w:szCs w:val="22"/>
          <w:color w:val="auto"/>
        </w:rPr>
        <w:t>EXHIBIT INDEX</w:t>
      </w:r>
    </w:p>
    <w:p>
      <w:pPr>
        <w:spacing w:after="0" w:line="200" w:lineRule="exact"/>
        <w:rPr>
          <w:sz w:val="20"/>
          <w:szCs w:val="20"/>
          <w:color w:val="auto"/>
        </w:rPr>
      </w:pPr>
    </w:p>
    <w:p>
      <w:pPr>
        <w:spacing w:after="0" w:line="270" w:lineRule="exact"/>
        <w:rPr>
          <w:sz w:val="20"/>
          <w:szCs w:val="20"/>
          <w:color w:val="auto"/>
        </w:rPr>
      </w:pPr>
    </w:p>
    <w:p>
      <w:pPr>
        <w:spacing w:after="0"/>
        <w:tabs>
          <w:tab w:leader="none" w:pos="1940" w:val="left"/>
        </w:tabs>
        <w:rPr>
          <w:sz w:val="20"/>
          <w:szCs w:val="20"/>
          <w:color w:val="auto"/>
        </w:rPr>
      </w:pPr>
      <w:r>
        <w:rPr>
          <w:rFonts w:ascii="Arial" w:cs="Arial" w:eastAsia="Arial" w:hAnsi="Arial"/>
          <w:sz w:val="18"/>
          <w:szCs w:val="18"/>
          <w:color w:val="auto"/>
        </w:rPr>
        <w:t>Exhibit</w:t>
      </w:r>
      <w:r>
        <w:rPr>
          <w:sz w:val="20"/>
          <w:szCs w:val="20"/>
          <w:color w:val="auto"/>
        </w:rPr>
        <w:tab/>
      </w:r>
      <w:r>
        <w:rPr>
          <w:rFonts w:ascii="Arial" w:cs="Arial" w:eastAsia="Arial" w:hAnsi="Arial"/>
          <w:sz w:val="18"/>
          <w:szCs w:val="18"/>
          <w:color w:val="auto"/>
        </w:rPr>
        <w:t>Description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23495</wp:posOffset>
            </wp:positionV>
            <wp:extent cx="6886575"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886575" cy="8890"/>
                    </a:xfrm>
                    <a:prstGeom prst="rect">
                      <a:avLst/>
                    </a:prstGeom>
                    <a:noFill/>
                  </pic:spPr>
                </pic:pic>
              </a:graphicData>
            </a:graphic>
          </wp:anchor>
        </w:drawing>
      </w:r>
    </w:p>
    <w:p>
      <w:pPr>
        <w:spacing w:after="0" w:line="30" w:lineRule="exact"/>
        <w:rPr>
          <w:sz w:val="20"/>
          <w:szCs w:val="20"/>
          <w:color w:val="auto"/>
        </w:rPr>
      </w:pPr>
    </w:p>
    <w:p>
      <w:pPr>
        <w:spacing w:after="0"/>
        <w:tabs>
          <w:tab w:leader="none" w:pos="1940" w:val="left"/>
        </w:tabs>
        <w:rPr>
          <w:rFonts w:ascii="Arial" w:cs="Arial" w:eastAsia="Arial" w:hAnsi="Arial"/>
          <w:sz w:val="15"/>
          <w:szCs w:val="15"/>
          <w:u w:val="single" w:color="auto"/>
          <w:color w:val="0000EE"/>
        </w:rPr>
      </w:pPr>
      <w:hyperlink w:anchor="page5">
        <w:r>
          <w:rPr>
            <w:rFonts w:ascii="Arial" w:cs="Arial" w:eastAsia="Arial" w:hAnsi="Arial"/>
            <w:sz w:val="18"/>
            <w:szCs w:val="18"/>
            <w:u w:val="single" w:color="auto"/>
            <w:color w:val="0000EE"/>
          </w:rPr>
          <w:t>99.1</w:t>
        </w:r>
      </w:hyperlink>
      <w:r>
        <w:rPr>
          <w:rFonts w:ascii="Arial" w:cs="Arial" w:eastAsia="Arial" w:hAnsi="Arial"/>
          <w:sz w:val="18"/>
          <w:szCs w:val="18"/>
          <w:u w:val="single" w:color="auto"/>
          <w:color w:val="0000EE"/>
        </w:rPr>
        <w:tab/>
      </w:r>
      <w:hyperlink w:anchor="page5">
        <w:r>
          <w:rPr>
            <w:rFonts w:ascii="Arial" w:cs="Arial" w:eastAsia="Arial" w:hAnsi="Arial"/>
            <w:sz w:val="15"/>
            <w:szCs w:val="15"/>
            <w:u w:val="single" w:color="auto"/>
            <w:color w:val="0000EE"/>
          </w:rPr>
          <w:t>Press Release, dated May 24, 2018.</w:t>
        </w:r>
      </w:hyperlink>
    </w:p>
    <w:p>
      <w:pPr>
        <w:sectPr>
          <w:pgSz w:w="11900" w:h="16838" w:orient="portrait"/>
          <w:cols w:equalWidth="0" w:num="1">
            <w:col w:w="10219"/>
          </w:cols>
          <w:pgMar w:left="240" w:top="118" w:right="1440" w:bottom="1440" w:gutter="0" w:footer="0" w:header="0"/>
        </w:sectPr>
      </w:pPr>
    </w:p>
    <w:bookmarkStart w:id="4" w:name="page5"/>
    <w:bookmarkEnd w:id="4"/>
    <w:p>
      <w:pPr>
        <w:jc w:val="right"/>
        <w:spacing w:after="0"/>
        <w:rPr>
          <w:sz w:val="20"/>
          <w:szCs w:val="20"/>
          <w:color w:val="auto"/>
        </w:rPr>
      </w:pPr>
      <w:r>
        <w:rPr>
          <w:rFonts w:ascii="Arial" w:cs="Arial" w:eastAsia="Arial" w:hAnsi="Arial"/>
          <w:sz w:val="22"/>
          <w:szCs w:val="22"/>
          <w:b w:val="1"/>
          <w:bCs w:val="1"/>
          <w:color w:val="auto"/>
        </w:rPr>
        <w:t>Exhibit 99.1</w:t>
      </w:r>
    </w:p>
    <w:p>
      <w:pPr>
        <w:spacing w:after="0" w:line="207"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World Fuel Services Corporation Declares Regular Quarterly Cash Dividend</w:t>
      </w:r>
    </w:p>
    <w:p>
      <w:pPr>
        <w:spacing w:after="0" w:line="212" w:lineRule="exact"/>
        <w:rPr>
          <w:sz w:val="20"/>
          <w:szCs w:val="20"/>
          <w:color w:val="auto"/>
        </w:rPr>
      </w:pPr>
    </w:p>
    <w:p>
      <w:pPr>
        <w:jc w:val="both"/>
        <w:ind w:right="340"/>
        <w:spacing w:after="0"/>
        <w:rPr>
          <w:sz w:val="20"/>
          <w:szCs w:val="20"/>
          <w:color w:val="auto"/>
        </w:rPr>
      </w:pPr>
      <w:r>
        <w:rPr>
          <w:rFonts w:ascii="Arial" w:cs="Arial" w:eastAsia="Arial" w:hAnsi="Arial"/>
          <w:sz w:val="22"/>
          <w:szCs w:val="22"/>
          <w:color w:val="auto"/>
        </w:rPr>
        <w:t>MIAMI--(BUSINESS WIRE)--May 24, 2018--World Fuel Services Corporation (NYSE:INT) announced today that its board of directors has declared a quarterly cash dividend of $0.06 per share payable on July 6, 2018 to shareholders of record on June 8, 2018.</w:t>
      </w:r>
    </w:p>
    <w:p>
      <w:pPr>
        <w:spacing w:after="0" w:line="186" w:lineRule="exact"/>
        <w:rPr>
          <w:sz w:val="20"/>
          <w:szCs w:val="20"/>
          <w:color w:val="auto"/>
        </w:rPr>
      </w:pPr>
    </w:p>
    <w:p>
      <w:pPr>
        <w:spacing w:after="0"/>
        <w:rPr>
          <w:sz w:val="20"/>
          <w:szCs w:val="20"/>
          <w:color w:val="auto"/>
        </w:rPr>
      </w:pPr>
      <w:r>
        <w:rPr>
          <w:rFonts w:ascii="Arial" w:cs="Arial" w:eastAsia="Arial" w:hAnsi="Arial"/>
          <w:sz w:val="22"/>
          <w:szCs w:val="22"/>
          <w:u w:val="single" w:color="auto"/>
          <w:color w:val="auto"/>
        </w:rPr>
        <w:t>About World Fuel Services Corporation</w:t>
      </w:r>
    </w:p>
    <w:p>
      <w:pPr>
        <w:spacing w:after="0" w:line="206" w:lineRule="exact"/>
        <w:rPr>
          <w:sz w:val="20"/>
          <w:szCs w:val="20"/>
          <w:color w:val="auto"/>
        </w:rPr>
      </w:pPr>
    </w:p>
    <w:p>
      <w:pPr>
        <w:spacing w:after="0" w:line="287" w:lineRule="auto"/>
        <w:rPr>
          <w:sz w:val="20"/>
          <w:szCs w:val="20"/>
          <w:color w:val="auto"/>
        </w:rPr>
      </w:pPr>
      <w:r>
        <w:rPr>
          <w:rFonts w:ascii="Arial" w:cs="Arial" w:eastAsia="Arial" w:hAnsi="Arial"/>
          <w:sz w:val="19"/>
          <w:szCs w:val="19"/>
          <w:color w:val="auto"/>
        </w:rPr>
        <w:t>Headquartered in Miami, Florida, World Fuel Services is a global energy management company involved in providing energy procurement advisory services, supply fulfillment and transaction and payment management solutions to commercial and industrial customers, principally in the aviation, marine and land transportation industries. World Fuel Services sells fuel and delivers services to its clients at more than 8,000 locations in more than 200 countries and territories worldwide.</w:t>
      </w:r>
    </w:p>
    <w:p>
      <w:pPr>
        <w:spacing w:after="0" w:line="143" w:lineRule="exact"/>
        <w:rPr>
          <w:sz w:val="20"/>
          <w:szCs w:val="20"/>
          <w:color w:val="auto"/>
        </w:rPr>
      </w:pPr>
    </w:p>
    <w:p>
      <w:pPr>
        <w:spacing w:after="0"/>
        <w:rPr>
          <w:sz w:val="20"/>
          <w:szCs w:val="20"/>
          <w:color w:val="auto"/>
        </w:rPr>
      </w:pPr>
      <w:r>
        <w:rPr>
          <w:rFonts w:ascii="Arial" w:cs="Arial" w:eastAsia="Arial" w:hAnsi="Arial"/>
          <w:sz w:val="22"/>
          <w:szCs w:val="22"/>
          <w:color w:val="auto"/>
        </w:rPr>
        <w:t xml:space="preserve">For more information, call 305-428-8000 or visit </w:t>
      </w:r>
      <w:r>
        <w:rPr>
          <w:rFonts w:ascii="Arial" w:cs="Arial" w:eastAsia="Arial" w:hAnsi="Arial"/>
          <w:sz w:val="22"/>
          <w:szCs w:val="22"/>
          <w:u w:val="single" w:color="auto"/>
          <w:color w:val="auto"/>
        </w:rPr>
        <w:t>www.wfscorp.com</w:t>
      </w:r>
      <w:r>
        <w:rPr>
          <w:rFonts w:ascii="Arial" w:cs="Arial" w:eastAsia="Arial" w:hAnsi="Arial"/>
          <w:sz w:val="22"/>
          <w:szCs w:val="22"/>
          <w:color w:val="auto"/>
        </w:rPr>
        <w:t>.</w:t>
      </w:r>
    </w:p>
    <w:p>
      <w:pPr>
        <w:spacing w:after="0" w:line="206" w:lineRule="exact"/>
        <w:rPr>
          <w:sz w:val="20"/>
          <w:szCs w:val="20"/>
          <w:color w:val="auto"/>
        </w:rPr>
      </w:pPr>
    </w:p>
    <w:p>
      <w:pPr>
        <w:spacing w:after="0"/>
        <w:rPr>
          <w:sz w:val="20"/>
          <w:szCs w:val="20"/>
          <w:color w:val="auto"/>
        </w:rPr>
      </w:pPr>
      <w:r>
        <w:rPr>
          <w:rFonts w:ascii="Arial" w:cs="Arial" w:eastAsia="Arial" w:hAnsi="Arial"/>
          <w:sz w:val="22"/>
          <w:szCs w:val="22"/>
          <w:color w:val="auto"/>
        </w:rPr>
        <w:t>CONTACT:</w:t>
      </w:r>
    </w:p>
    <w:p>
      <w:pPr>
        <w:spacing w:after="0" w:line="238" w:lineRule="auto"/>
        <w:rPr>
          <w:sz w:val="20"/>
          <w:szCs w:val="20"/>
          <w:color w:val="auto"/>
        </w:rPr>
      </w:pPr>
      <w:r>
        <w:rPr>
          <w:rFonts w:ascii="Arial" w:cs="Arial" w:eastAsia="Arial" w:hAnsi="Arial"/>
          <w:sz w:val="22"/>
          <w:szCs w:val="22"/>
          <w:color w:val="auto"/>
        </w:rPr>
        <w:t>World Fuel Services Corporation</w:t>
      </w:r>
    </w:p>
    <w:p>
      <w:pPr>
        <w:spacing w:after="0" w:line="230" w:lineRule="auto"/>
        <w:rPr>
          <w:sz w:val="20"/>
          <w:szCs w:val="20"/>
          <w:color w:val="auto"/>
        </w:rPr>
      </w:pPr>
      <w:r>
        <w:rPr>
          <w:rFonts w:ascii="Arial" w:cs="Arial" w:eastAsia="Arial" w:hAnsi="Arial"/>
          <w:sz w:val="22"/>
          <w:szCs w:val="22"/>
          <w:color w:val="auto"/>
        </w:rPr>
        <w:t>Ira M. Birns, Executive Vice President &amp; Chief Financial Officer</w:t>
      </w:r>
    </w:p>
    <w:p>
      <w:pPr>
        <w:spacing w:after="0" w:line="231" w:lineRule="auto"/>
        <w:rPr>
          <w:sz w:val="20"/>
          <w:szCs w:val="20"/>
          <w:color w:val="auto"/>
        </w:rPr>
      </w:pPr>
      <w:r>
        <w:rPr>
          <w:rFonts w:ascii="Arial" w:cs="Arial" w:eastAsia="Arial" w:hAnsi="Arial"/>
          <w:sz w:val="22"/>
          <w:szCs w:val="22"/>
          <w:color w:val="auto"/>
        </w:rPr>
        <w:t>or</w:t>
      </w:r>
    </w:p>
    <w:p>
      <w:pPr>
        <w:spacing w:after="0" w:line="231" w:lineRule="auto"/>
        <w:rPr>
          <w:sz w:val="20"/>
          <w:szCs w:val="20"/>
          <w:color w:val="auto"/>
        </w:rPr>
      </w:pPr>
      <w:r>
        <w:rPr>
          <w:rFonts w:ascii="Arial" w:cs="Arial" w:eastAsia="Arial" w:hAnsi="Arial"/>
          <w:sz w:val="22"/>
          <w:szCs w:val="22"/>
          <w:color w:val="auto"/>
        </w:rPr>
        <w:t>Glenn Klevitz, Vice President, Assistant Treasurer</w:t>
      </w:r>
    </w:p>
    <w:p>
      <w:pPr>
        <w:spacing w:after="0"/>
        <w:rPr>
          <w:sz w:val="20"/>
          <w:szCs w:val="20"/>
          <w:color w:val="auto"/>
        </w:rPr>
      </w:pPr>
      <w:r>
        <w:rPr>
          <w:rFonts w:ascii="Arial" w:cs="Arial" w:eastAsia="Arial" w:hAnsi="Arial"/>
          <w:sz w:val="22"/>
          <w:szCs w:val="22"/>
          <w:color w:val="auto"/>
        </w:rPr>
        <w:t>305-428-8000</w:t>
      </w:r>
    </w:p>
    <w:sectPr>
      <w:pgSz w:w="11900" w:h="16838" w:orient="portrait"/>
      <w:cols w:equalWidth="0" w:num="1">
        <w:col w:w="11420"/>
      </w:cols>
      <w:pgMar w:left="240" w:top="112"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2019-12-28T21:47:09Z</dcterms:created>
  <dcterms:modified xsi:type="dcterms:W3CDTF">2019-12-28T21:47:09Z</dcterms:modified>
</cp:coreProperties>
</file>