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19"/>
        <w:spacing w:after="0"/>
        <w:rPr>
          <w:sz w:val="20"/>
          <w:szCs w:val="20"/>
          <w:color w:val="auto"/>
        </w:rPr>
      </w:pPr>
      <w:r>
        <w:rPr>
          <w:rFonts w:ascii="Arial" w:cs="Arial" w:eastAsia="Arial" w:hAnsi="Arial"/>
          <w:sz w:val="32"/>
          <w:szCs w:val="32"/>
          <w:b w:val="1"/>
          <w:bCs w:val="1"/>
          <w:color w:val="auto"/>
        </w:rPr>
        <w:t>UNITED STATES</w:t>
      </w:r>
    </w:p>
    <w:p>
      <w:pPr>
        <w:spacing w:after="0" w:line="110" w:lineRule="exact"/>
        <w:rPr>
          <w:sz w:val="24"/>
          <w:szCs w:val="24"/>
          <w:color w:val="auto"/>
        </w:rPr>
      </w:pPr>
    </w:p>
    <w:p>
      <w:pPr>
        <w:jc w:val="center"/>
        <w:ind w:right="-2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4" w:lineRule="exact"/>
        <w:rPr>
          <w:sz w:val="24"/>
          <w:szCs w:val="24"/>
          <w:color w:val="auto"/>
        </w:rPr>
      </w:pPr>
    </w:p>
    <w:p>
      <w:pPr>
        <w:jc w:val="center"/>
        <w:ind w:right="-179"/>
        <w:spacing w:after="0"/>
        <w:rPr>
          <w:sz w:val="20"/>
          <w:szCs w:val="20"/>
          <w:color w:val="auto"/>
        </w:rPr>
      </w:pPr>
      <w:r>
        <w:rPr>
          <w:rFonts w:ascii="Arial" w:cs="Arial" w:eastAsia="Arial" w:hAnsi="Arial"/>
          <w:sz w:val="21"/>
          <w:szCs w:val="21"/>
          <w:b w:val="1"/>
          <w:bCs w:val="1"/>
          <w:color w:val="auto"/>
        </w:rPr>
        <w:t>WASHINGTON, D.C. 20549</w:t>
      </w:r>
    </w:p>
    <w:p>
      <w:pPr>
        <w:spacing w:after="0" w:line="200" w:lineRule="exact"/>
        <w:rPr>
          <w:sz w:val="24"/>
          <w:szCs w:val="24"/>
          <w:color w:val="auto"/>
        </w:rPr>
      </w:pPr>
    </w:p>
    <w:p>
      <w:pPr>
        <w:spacing w:after="0" w:line="262" w:lineRule="exact"/>
        <w:rPr>
          <w:sz w:val="24"/>
          <w:szCs w:val="24"/>
          <w:color w:val="auto"/>
        </w:rPr>
      </w:pPr>
    </w:p>
    <w:p>
      <w:pPr>
        <w:jc w:val="center"/>
        <w:ind w:right="-219"/>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82" w:lineRule="exact"/>
        <w:rPr>
          <w:sz w:val="24"/>
          <w:szCs w:val="24"/>
          <w:color w:val="auto"/>
        </w:rPr>
      </w:pPr>
    </w:p>
    <w:p>
      <w:pPr>
        <w:jc w:val="center"/>
        <w:ind w:right="-219"/>
        <w:spacing w:after="0"/>
        <w:rPr>
          <w:sz w:val="20"/>
          <w:szCs w:val="20"/>
          <w:color w:val="auto"/>
        </w:rPr>
      </w:pPr>
      <w:r>
        <w:rPr>
          <w:rFonts w:ascii="Arial" w:cs="Arial" w:eastAsia="Arial" w:hAnsi="Arial"/>
          <w:sz w:val="21"/>
          <w:szCs w:val="21"/>
          <w:b w:val="1"/>
          <w:bCs w:val="1"/>
          <w:color w:val="auto"/>
        </w:rPr>
        <w:t>CURRENT REPORT</w:t>
      </w:r>
    </w:p>
    <w:p>
      <w:pPr>
        <w:spacing w:after="0" w:line="383" w:lineRule="exact"/>
        <w:rPr>
          <w:sz w:val="24"/>
          <w:szCs w:val="24"/>
          <w:color w:val="auto"/>
        </w:rPr>
      </w:pPr>
    </w:p>
    <w:p>
      <w:pPr>
        <w:jc w:val="center"/>
        <w:ind w:right="-219"/>
        <w:spacing w:after="0"/>
        <w:rPr>
          <w:sz w:val="20"/>
          <w:szCs w:val="20"/>
          <w:color w:val="auto"/>
        </w:rPr>
      </w:pPr>
      <w:r>
        <w:rPr>
          <w:rFonts w:ascii="Arial" w:cs="Arial" w:eastAsia="Arial" w:hAnsi="Arial"/>
          <w:sz w:val="21"/>
          <w:szCs w:val="21"/>
          <w:b w:val="1"/>
          <w:bCs w:val="1"/>
          <w:color w:val="auto"/>
        </w:rPr>
        <w:t>PURSUANT TO SECTION 13 OR 15(d) OF</w:t>
      </w:r>
    </w:p>
    <w:p>
      <w:pPr>
        <w:spacing w:after="0" w:line="383" w:lineRule="exact"/>
        <w:rPr>
          <w:sz w:val="24"/>
          <w:szCs w:val="24"/>
          <w:color w:val="auto"/>
        </w:rPr>
      </w:pPr>
    </w:p>
    <w:p>
      <w:pPr>
        <w:jc w:val="center"/>
        <w:ind w:right="-219"/>
        <w:spacing w:after="0"/>
        <w:rPr>
          <w:sz w:val="20"/>
          <w:szCs w:val="20"/>
          <w:color w:val="auto"/>
        </w:rPr>
      </w:pPr>
      <w:r>
        <w:rPr>
          <w:rFonts w:ascii="Arial" w:cs="Arial" w:eastAsia="Arial" w:hAnsi="Arial"/>
          <w:sz w:val="21"/>
          <w:szCs w:val="21"/>
          <w:b w:val="1"/>
          <w:bCs w:val="1"/>
          <w:color w:val="auto"/>
        </w:rPr>
        <w:t>THE SECURITIES EXCHANGE ACT OF 1934</w:t>
      </w:r>
    </w:p>
    <w:p>
      <w:pPr>
        <w:spacing w:after="0" w:line="374" w:lineRule="exact"/>
        <w:rPr>
          <w:sz w:val="24"/>
          <w:szCs w:val="24"/>
          <w:color w:val="auto"/>
        </w:rPr>
      </w:pPr>
    </w:p>
    <w:p>
      <w:pPr>
        <w:jc w:val="center"/>
        <w:ind w:right="-219"/>
        <w:spacing w:after="0"/>
        <w:rPr>
          <w:sz w:val="20"/>
          <w:szCs w:val="20"/>
          <w:color w:val="auto"/>
        </w:rPr>
      </w:pPr>
      <w:r>
        <w:rPr>
          <w:rFonts w:ascii="Arial" w:cs="Arial" w:eastAsia="Arial" w:hAnsi="Arial"/>
          <w:sz w:val="19"/>
          <w:szCs w:val="19"/>
          <w:b w:val="1"/>
          <w:bCs w:val="1"/>
          <w:color w:val="auto"/>
        </w:rPr>
        <w:t>Date of Report (Date of earliest event reported): September 7, 2021</w:t>
      </w:r>
    </w:p>
    <w:p>
      <w:pPr>
        <w:spacing w:after="0" w:line="200" w:lineRule="exact"/>
        <w:rPr>
          <w:sz w:val="24"/>
          <w:szCs w:val="24"/>
          <w:color w:val="auto"/>
        </w:rPr>
      </w:pPr>
    </w:p>
    <w:p>
      <w:pPr>
        <w:spacing w:after="0" w:line="249" w:lineRule="exact"/>
        <w:rPr>
          <w:sz w:val="24"/>
          <w:szCs w:val="24"/>
          <w:color w:val="auto"/>
        </w:rPr>
      </w:pPr>
    </w:p>
    <w:p>
      <w:pPr>
        <w:ind w:left="2340"/>
        <w:spacing w:after="0"/>
        <w:rPr>
          <w:sz w:val="20"/>
          <w:szCs w:val="20"/>
          <w:color w:val="auto"/>
        </w:rPr>
      </w:pPr>
      <w:r>
        <w:rPr>
          <w:rFonts w:ascii="Arial" w:cs="Arial" w:eastAsia="Arial" w:hAnsi="Arial"/>
          <w:sz w:val="39"/>
          <w:szCs w:val="39"/>
          <w:b w:val="1"/>
          <w:bCs w:val="1"/>
          <w:color w:val="auto"/>
        </w:rPr>
        <w:t>WORLD FUEL SERVICES CORPORATION</w:t>
      </w:r>
    </w:p>
    <w:p>
      <w:pPr>
        <w:spacing w:after="0" w:line="136" w:lineRule="exact"/>
        <w:rPr>
          <w:sz w:val="24"/>
          <w:szCs w:val="24"/>
          <w:color w:val="auto"/>
        </w:rPr>
      </w:pPr>
    </w:p>
    <w:p>
      <w:pPr>
        <w:jc w:val="center"/>
        <w:ind w:right="-219"/>
        <w:spacing w:after="0"/>
        <w:rPr>
          <w:sz w:val="20"/>
          <w:szCs w:val="20"/>
          <w:color w:val="auto"/>
        </w:rPr>
      </w:pPr>
      <w:r>
        <w:rPr>
          <w:rFonts w:ascii="Arial" w:cs="Arial" w:eastAsia="Arial" w:hAnsi="Arial"/>
          <w:sz w:val="14"/>
          <w:szCs w:val="14"/>
          <w:color w:val="auto"/>
        </w:rPr>
        <w:t>(Exact name of registrant as specified in its charter)</w:t>
      </w:r>
    </w:p>
    <w:p>
      <w:pPr>
        <w:sectPr>
          <w:pgSz w:w="11900" w:h="16838" w:orient="portrait"/>
          <w:cols w:equalWidth="0" w:num="1">
            <w:col w:w="11340"/>
          </w:cols>
          <w:pgMar w:left="320" w:top="1081" w:right="239" w:bottom="1440" w:gutter="0" w:footer="0" w:header="0"/>
        </w:sectPr>
      </w:pPr>
    </w:p>
    <w:p>
      <w:pPr>
        <w:spacing w:after="0" w:line="200" w:lineRule="exact"/>
        <w:rPr>
          <w:sz w:val="24"/>
          <w:szCs w:val="24"/>
          <w:color w:val="auto"/>
        </w:rPr>
      </w:pPr>
    </w:p>
    <w:p>
      <w:pPr>
        <w:spacing w:after="0" w:line="294" w:lineRule="exact"/>
        <w:rPr>
          <w:sz w:val="24"/>
          <w:szCs w:val="24"/>
          <w:color w:val="auto"/>
        </w:rPr>
      </w:pPr>
    </w:p>
    <w:p>
      <w:pPr>
        <w:ind w:left="2040"/>
        <w:spacing w:after="0"/>
        <w:rPr>
          <w:sz w:val="20"/>
          <w:szCs w:val="20"/>
          <w:color w:val="auto"/>
        </w:rPr>
      </w:pPr>
      <w:r>
        <w:rPr>
          <w:rFonts w:ascii="Arial" w:cs="Arial" w:eastAsia="Arial" w:hAnsi="Arial"/>
          <w:sz w:val="20"/>
          <w:szCs w:val="20"/>
          <w:b w:val="1"/>
          <w:bCs w:val="1"/>
          <w:color w:val="auto"/>
        </w:rPr>
        <w:t>Florida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4"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1-9533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4"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59-2459427</w:t>
      </w:r>
    </w:p>
    <w:p>
      <w:pPr>
        <w:spacing w:after="0" w:line="58" w:lineRule="exact"/>
        <w:rPr>
          <w:sz w:val="24"/>
          <w:szCs w:val="24"/>
          <w:color w:val="auto"/>
        </w:rPr>
      </w:pPr>
    </w:p>
    <w:p>
      <w:pPr>
        <w:sectPr>
          <w:pgSz w:w="11900" w:h="16838" w:orient="portrait"/>
          <w:cols w:equalWidth="0" w:num="3">
            <w:col w:w="5260" w:space="720"/>
            <w:col w:w="2780" w:space="720"/>
            <w:col w:w="1860"/>
          </w:cols>
          <w:pgMar w:left="320" w:top="1081" w:right="239" w:bottom="1440" w:gutter="0" w:footer="0" w:header="0"/>
          <w:type w:val="continuous"/>
        </w:sectPr>
      </w:pPr>
    </w:p>
    <w:p>
      <w:pPr>
        <w:ind w:left="1040"/>
        <w:spacing w:after="0"/>
        <w:rPr>
          <w:sz w:val="20"/>
          <w:szCs w:val="20"/>
          <w:color w:val="auto"/>
        </w:rPr>
      </w:pPr>
      <w:r>
        <w:rPr>
          <w:rFonts w:ascii="Arial" w:cs="Arial" w:eastAsia="Arial" w:hAnsi="Arial"/>
          <w:sz w:val="12"/>
          <w:szCs w:val="12"/>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080"/>
        <w:spacing w:after="0"/>
        <w:rPr>
          <w:sz w:val="20"/>
          <w:szCs w:val="20"/>
          <w:color w:val="auto"/>
        </w:rPr>
      </w:pPr>
      <w:r>
        <w:rPr>
          <w:rFonts w:ascii="Arial" w:cs="Arial" w:eastAsia="Arial" w:hAnsi="Arial"/>
          <w:sz w:val="12"/>
          <w:szCs w:val="12"/>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(I.R.S. Employer Identification No.)</w:t>
      </w:r>
    </w:p>
    <w:p>
      <w:pPr>
        <w:spacing w:after="0" w:line="200" w:lineRule="exact"/>
        <w:rPr>
          <w:sz w:val="24"/>
          <w:szCs w:val="24"/>
          <w:color w:val="auto"/>
        </w:rPr>
      </w:pPr>
    </w:p>
    <w:p>
      <w:pPr>
        <w:sectPr>
          <w:pgSz w:w="11900" w:h="16838" w:orient="portrait"/>
          <w:cols w:equalWidth="0" w:num="3">
            <w:col w:w="4740" w:space="720"/>
            <w:col w:w="2720" w:space="720"/>
            <w:col w:w="2440"/>
          </w:cols>
          <w:pgMar w:left="320" w:top="1081" w:right="239" w:bottom="1440" w:gutter="0" w:footer="0" w:header="0"/>
          <w:type w:val="continuous"/>
        </w:sectPr>
      </w:pPr>
    </w:p>
    <w:p>
      <w:pPr>
        <w:spacing w:after="0" w:line="369" w:lineRule="exact"/>
        <w:rPr>
          <w:sz w:val="24"/>
          <w:szCs w:val="24"/>
          <w:color w:val="auto"/>
        </w:rPr>
      </w:pPr>
    </w:p>
    <w:p>
      <w:pPr>
        <w:ind w:left="880"/>
        <w:spacing w:after="0"/>
        <w:rPr>
          <w:sz w:val="20"/>
          <w:szCs w:val="20"/>
          <w:color w:val="auto"/>
        </w:rPr>
      </w:pPr>
      <w:r>
        <w:rPr>
          <w:rFonts w:ascii="Arial" w:cs="Arial" w:eastAsia="Arial" w:hAnsi="Arial"/>
          <w:sz w:val="19"/>
          <w:szCs w:val="19"/>
          <w:b w:val="1"/>
          <w:bCs w:val="1"/>
          <w:color w:val="auto"/>
        </w:rPr>
        <w:t>9800 N.W. 41st Street,</w:t>
      </w:r>
    </w:p>
    <w:p>
      <w:pPr>
        <w:spacing w:after="0" w:line="20" w:lineRule="exact"/>
        <w:rPr>
          <w:sz w:val="24"/>
          <w:szCs w:val="24"/>
          <w:color w:val="auto"/>
        </w:rPr>
      </w:pPr>
      <w:r>
        <w:rPr>
          <w:sz w:val="24"/>
          <w:szCs w:val="24"/>
          <w:color w:val="auto"/>
        </w:rPr>
        <w:br w:type="column"/>
      </w:r>
    </w:p>
    <w:p>
      <w:pPr>
        <w:spacing w:after="0" w:line="349" w:lineRule="exact"/>
        <w:rPr>
          <w:sz w:val="24"/>
          <w:szCs w:val="24"/>
          <w:color w:val="auto"/>
        </w:rPr>
      </w:pPr>
    </w:p>
    <w:p>
      <w:pPr>
        <w:spacing w:after="0"/>
        <w:rPr>
          <w:sz w:val="20"/>
          <w:szCs w:val="20"/>
          <w:color w:val="auto"/>
        </w:rPr>
      </w:pPr>
      <w:r>
        <w:rPr>
          <w:rFonts w:ascii="Arial" w:cs="Arial" w:eastAsia="Arial" w:hAnsi="Arial"/>
          <w:sz w:val="21"/>
          <w:szCs w:val="21"/>
          <w:b w:val="1"/>
          <w:bCs w:val="1"/>
          <w:color w:val="auto"/>
        </w:rPr>
        <w:t>Miami,</w:t>
      </w:r>
    </w:p>
    <w:p>
      <w:pPr>
        <w:spacing w:after="0" w:line="20" w:lineRule="exact"/>
        <w:rPr>
          <w:sz w:val="24"/>
          <w:szCs w:val="24"/>
          <w:color w:val="auto"/>
        </w:rPr>
      </w:pPr>
      <w:r>
        <w:rPr>
          <w:sz w:val="24"/>
          <w:szCs w:val="24"/>
          <w:color w:val="auto"/>
        </w:rPr>
        <w:br w:type="column"/>
      </w:r>
    </w:p>
    <w:p>
      <w:pPr>
        <w:spacing w:after="0" w:line="34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Florida</w:t>
      </w:r>
    </w:p>
    <w:p>
      <w:pPr>
        <w:spacing w:after="0" w:line="20" w:lineRule="exact"/>
        <w:rPr>
          <w:sz w:val="24"/>
          <w:szCs w:val="24"/>
          <w:color w:val="auto"/>
        </w:rPr>
      </w:pPr>
      <w:r>
        <w:rPr>
          <w:sz w:val="24"/>
          <w:szCs w:val="24"/>
          <w:color w:val="auto"/>
        </w:rPr>
        <w:br w:type="column"/>
      </w:r>
    </w:p>
    <w:p>
      <w:pPr>
        <w:spacing w:after="0" w:line="349"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33178</w:t>
      </w:r>
    </w:p>
    <w:p>
      <w:pPr>
        <w:spacing w:after="0" w:line="113" w:lineRule="exact"/>
        <w:rPr>
          <w:sz w:val="24"/>
          <w:szCs w:val="24"/>
          <w:color w:val="auto"/>
        </w:rPr>
      </w:pPr>
    </w:p>
    <w:p>
      <w:pPr>
        <w:sectPr>
          <w:pgSz w:w="11900" w:h="16838" w:orient="portrait"/>
          <w:cols w:equalWidth="0" w:num="4">
            <w:col w:w="2900" w:space="720"/>
            <w:col w:w="660" w:space="540"/>
            <w:col w:w="5160" w:space="720"/>
            <w:col w:w="640"/>
          </w:cols>
          <w:pgMar w:left="320" w:top="1081" w:right="239" w:bottom="1440" w:gutter="0" w:footer="0" w:header="0"/>
          <w:type w:val="continuous"/>
        </w:sectPr>
      </w:pPr>
    </w:p>
    <w:p>
      <w:pPr>
        <w:spacing w:after="0" w:line="18" w:lineRule="exact"/>
        <w:rPr>
          <w:sz w:val="24"/>
          <w:szCs w:val="24"/>
          <w:color w:val="auto"/>
        </w:rPr>
      </w:pPr>
    </w:p>
    <w:p>
      <w:pPr>
        <w:ind w:left="194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b w:val="1"/>
          <w:bCs w:val="1"/>
          <w:color w:val="auto"/>
        </w:rPr>
        <w:t>(Zip Code)</w:t>
      </w:r>
    </w:p>
    <w:p>
      <w:pPr>
        <w:spacing w:after="0" w:line="200" w:lineRule="exact"/>
        <w:rPr>
          <w:sz w:val="24"/>
          <w:szCs w:val="24"/>
          <w:color w:val="auto"/>
        </w:rPr>
      </w:pPr>
    </w:p>
    <w:p>
      <w:pPr>
        <w:sectPr>
          <w:pgSz w:w="11900" w:h="16838" w:orient="portrait"/>
          <w:cols w:equalWidth="0" w:num="2">
            <w:col w:w="9880" w:space="720"/>
            <w:col w:w="740"/>
          </w:cols>
          <w:pgMar w:left="320" w:top="1081" w:right="239" w:bottom="1440" w:gutter="0" w:footer="0" w:header="0"/>
          <w:type w:val="continuous"/>
        </w:sectPr>
      </w:pPr>
    </w:p>
    <w:p>
      <w:pPr>
        <w:spacing w:after="0" w:line="338"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Registrant’s telephone number, including area code: (305) 428-8000</w:t>
      </w:r>
    </w:p>
    <w:p>
      <w:pPr>
        <w:spacing w:after="0" w:line="118" w:lineRule="exact"/>
        <w:rPr>
          <w:sz w:val="24"/>
          <w:szCs w:val="24"/>
          <w:color w:val="auto"/>
        </w:rPr>
      </w:pPr>
    </w:p>
    <w:p>
      <w:pPr>
        <w:ind w:right="100" w:firstLine="319"/>
        <w:spacing w:after="0" w:line="26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2" w:lineRule="exact"/>
        <w:rPr>
          <w:sz w:val="24"/>
          <w:szCs w:val="24"/>
          <w:color w:val="auto"/>
        </w:rPr>
      </w:pPr>
    </w:p>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Written communications pursuant to Rule 425 under Securities Act (17 CFR 230.425)</w:t>
      </w:r>
    </w:p>
    <w:p>
      <w:pPr>
        <w:spacing w:after="0" w:line="53" w:lineRule="exact"/>
        <w:rPr>
          <w:sz w:val="24"/>
          <w:szCs w:val="24"/>
          <w:color w:val="auto"/>
        </w:rPr>
      </w:pPr>
    </w:p>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Soliciting material pursuant to Rule 14a-12 under the Exchange Act (17 CFR 240.14-12)</w:t>
      </w:r>
    </w:p>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Pre-commencement communications pursuant to Rule 14d-2(b) under the Exchange Act (17 CFR 240.14d-2(b))</w:t>
      </w:r>
    </w:p>
    <w:p>
      <w:pPr>
        <w:spacing w:after="0" w:line="12" w:lineRule="exact"/>
        <w:rPr>
          <w:sz w:val="24"/>
          <w:szCs w:val="24"/>
          <w:color w:val="auto"/>
        </w:rPr>
      </w:pPr>
    </w:p>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Pre-commencement communications pursuant to Rule 13e-4(c) under the Exchange Act (17 CFR 240.13e-4(c))</w:t>
      </w:r>
    </w:p>
    <w:p>
      <w:pPr>
        <w:spacing w:after="0" w:line="116" w:lineRule="exact"/>
        <w:rPr>
          <w:sz w:val="24"/>
          <w:szCs w:val="24"/>
          <w:color w:val="auto"/>
        </w:rPr>
      </w:pPr>
    </w:p>
    <w:tbl>
      <w:tblPr>
        <w:tblLayout w:type="fixed"/>
        <w:tblInd w:w="1520" w:type="dxa"/>
        <w:tblCellMar>
          <w:top w:w="0" w:type="dxa"/>
          <w:left w:w="0" w:type="dxa"/>
          <w:bottom w:w="0" w:type="dxa"/>
          <w:right w:w="0" w:type="dxa"/>
        </w:tblCellMar>
      </w:tblPr>
      <w:tr>
        <w:trPr>
          <w:trHeight w:val="207"/>
        </w:trPr>
        <w:tc>
          <w:tcPr>
            <w:tcW w:w="840" w:type="dxa"/>
            <w:vAlign w:val="bottom"/>
          </w:tcPr>
          <w:p>
            <w:pPr>
              <w:spacing w:after="0"/>
              <w:rPr>
                <w:sz w:val="18"/>
                <w:szCs w:val="18"/>
                <w:color w:val="auto"/>
              </w:rPr>
            </w:pPr>
          </w:p>
        </w:tc>
        <w:tc>
          <w:tcPr>
            <w:tcW w:w="2800" w:type="dxa"/>
            <w:vAlign w:val="bottom"/>
            <w:gridSpan w:val="2"/>
          </w:tcPr>
          <w:p>
            <w:pPr>
              <w:jc w:val="center"/>
              <w:ind w:right="1520"/>
              <w:spacing w:after="0"/>
              <w:rPr>
                <w:sz w:val="20"/>
                <w:szCs w:val="20"/>
                <w:color w:val="auto"/>
              </w:rPr>
            </w:pPr>
            <w:r>
              <w:rPr>
                <w:rFonts w:ascii="Arial" w:cs="Arial" w:eastAsia="Arial" w:hAnsi="Arial"/>
                <w:sz w:val="18"/>
                <w:szCs w:val="18"/>
                <w:color w:val="auto"/>
                <w:w w:val="88"/>
              </w:rPr>
              <w:t>Title of each class</w:t>
            </w:r>
          </w:p>
        </w:tc>
        <w:tc>
          <w:tcPr>
            <w:tcW w:w="2420" w:type="dxa"/>
            <w:vAlign w:val="bottom"/>
            <w:gridSpan w:val="3"/>
          </w:tcPr>
          <w:p>
            <w:pPr>
              <w:jc w:val="center"/>
              <w:ind w:left="151"/>
              <w:spacing w:after="0"/>
              <w:rPr>
                <w:sz w:val="20"/>
                <w:szCs w:val="20"/>
                <w:color w:val="auto"/>
              </w:rPr>
            </w:pPr>
            <w:r>
              <w:rPr>
                <w:rFonts w:ascii="Arial" w:cs="Arial" w:eastAsia="Arial" w:hAnsi="Arial"/>
                <w:sz w:val="18"/>
                <w:szCs w:val="18"/>
                <w:color w:val="auto"/>
                <w:w w:val="91"/>
              </w:rPr>
              <w:t>Trading Symbol(s)</w:t>
            </w:r>
          </w:p>
        </w:tc>
        <w:tc>
          <w:tcPr>
            <w:tcW w:w="3560" w:type="dxa"/>
            <w:vAlign w:val="bottom"/>
            <w:gridSpan w:val="2"/>
          </w:tcPr>
          <w:p>
            <w:pPr>
              <w:jc w:val="center"/>
              <w:ind w:left="331"/>
              <w:spacing w:after="0"/>
              <w:rPr>
                <w:sz w:val="20"/>
                <w:szCs w:val="20"/>
                <w:color w:val="auto"/>
              </w:rPr>
            </w:pPr>
            <w:r>
              <w:rPr>
                <w:rFonts w:ascii="Arial" w:cs="Arial" w:eastAsia="Arial" w:hAnsi="Arial"/>
                <w:sz w:val="18"/>
                <w:szCs w:val="18"/>
                <w:color w:val="auto"/>
                <w:w w:val="88"/>
              </w:rPr>
              <w:t>Name of each exchange on which registered</w:t>
            </w:r>
          </w:p>
        </w:tc>
      </w:tr>
      <w:tr>
        <w:trPr>
          <w:trHeight w:val="20"/>
        </w:trPr>
        <w:tc>
          <w:tcPr>
            <w:tcW w:w="84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140" w:type="dxa"/>
            <w:vAlign w:val="bottom"/>
            <w:shd w:val="clear" w:color="auto" w:fill="000000"/>
          </w:tcPr>
          <w:p>
            <w:pPr>
              <w:spacing w:after="0" w:line="20" w:lineRule="exact"/>
              <w:rPr>
                <w:sz w:val="1"/>
                <w:szCs w:val="1"/>
                <w:color w:val="auto"/>
              </w:rPr>
            </w:pPr>
          </w:p>
        </w:tc>
      </w:tr>
      <w:tr>
        <w:trPr>
          <w:trHeight w:val="391"/>
        </w:trPr>
        <w:tc>
          <w:tcPr>
            <w:tcW w:w="3640" w:type="dxa"/>
            <w:vAlign w:val="bottom"/>
            <w:gridSpan w:val="3"/>
          </w:tcPr>
          <w:p>
            <w:pPr>
              <w:jc w:val="center"/>
              <w:ind w:right="660"/>
              <w:spacing w:after="0"/>
              <w:rPr>
                <w:sz w:val="20"/>
                <w:szCs w:val="20"/>
                <w:color w:val="auto"/>
              </w:rPr>
            </w:pPr>
            <w:r>
              <w:rPr>
                <w:rFonts w:ascii="Arial" w:cs="Arial" w:eastAsia="Arial" w:hAnsi="Arial"/>
                <w:sz w:val="18"/>
                <w:szCs w:val="18"/>
                <w:color w:val="auto"/>
                <w:w w:val="88"/>
              </w:rPr>
              <w:t>Common Stock, par value $0.01 per share</w:t>
            </w:r>
          </w:p>
        </w:tc>
        <w:tc>
          <w:tcPr>
            <w:tcW w:w="660" w:type="dxa"/>
            <w:vAlign w:val="bottom"/>
          </w:tcPr>
          <w:p>
            <w:pPr>
              <w:spacing w:after="0"/>
              <w:rPr>
                <w:sz w:val="24"/>
                <w:szCs w:val="24"/>
                <w:color w:val="auto"/>
              </w:rPr>
            </w:pPr>
          </w:p>
        </w:tc>
        <w:tc>
          <w:tcPr>
            <w:tcW w:w="1760" w:type="dxa"/>
            <w:vAlign w:val="bottom"/>
            <w:gridSpan w:val="2"/>
          </w:tcPr>
          <w:p>
            <w:pPr>
              <w:jc w:val="center"/>
              <w:ind w:right="420"/>
              <w:spacing w:after="0"/>
              <w:rPr>
                <w:sz w:val="20"/>
                <w:szCs w:val="20"/>
                <w:color w:val="auto"/>
              </w:rPr>
            </w:pPr>
            <w:r>
              <w:rPr>
                <w:rFonts w:ascii="Arial" w:cs="Arial" w:eastAsia="Arial" w:hAnsi="Arial"/>
                <w:sz w:val="18"/>
                <w:szCs w:val="18"/>
                <w:color w:val="auto"/>
              </w:rPr>
              <w:t>INT</w:t>
            </w:r>
          </w:p>
        </w:tc>
        <w:tc>
          <w:tcPr>
            <w:tcW w:w="420" w:type="dxa"/>
            <w:vAlign w:val="bottom"/>
          </w:tcPr>
          <w:p>
            <w:pPr>
              <w:spacing w:after="0"/>
              <w:rPr>
                <w:sz w:val="24"/>
                <w:szCs w:val="24"/>
                <w:color w:val="auto"/>
              </w:rPr>
            </w:pPr>
          </w:p>
        </w:tc>
        <w:tc>
          <w:tcPr>
            <w:tcW w:w="3140" w:type="dxa"/>
            <w:vAlign w:val="bottom"/>
          </w:tcPr>
          <w:p>
            <w:pPr>
              <w:jc w:val="center"/>
              <w:spacing w:after="0"/>
              <w:rPr>
                <w:sz w:val="20"/>
                <w:szCs w:val="20"/>
                <w:color w:val="auto"/>
              </w:rPr>
            </w:pPr>
            <w:r>
              <w:rPr>
                <w:rFonts w:ascii="Arial" w:cs="Arial" w:eastAsia="Arial" w:hAnsi="Arial"/>
                <w:sz w:val="18"/>
                <w:szCs w:val="18"/>
                <w:color w:val="auto"/>
                <w:w w:val="89"/>
              </w:rPr>
              <w:t>New York Stock Exchange</w:t>
            </w:r>
          </w:p>
        </w:tc>
      </w:tr>
    </w:tbl>
    <w:p>
      <w:pPr>
        <w:spacing w:after="0" w:line="188" w:lineRule="exact"/>
        <w:rPr>
          <w:sz w:val="24"/>
          <w:szCs w:val="24"/>
          <w:color w:val="auto"/>
        </w:rPr>
      </w:pPr>
    </w:p>
    <w:p>
      <w:pPr>
        <w:ind w:right="120" w:firstLine="319"/>
        <w:spacing w:after="0" w:line="228"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18"/>
          <w:szCs w:val="18"/>
          <w:color w:val="auto"/>
        </w:rPr>
        <w:t>☐</w:t>
      </w:r>
    </w:p>
    <w:p>
      <w:pPr>
        <w:spacing w:after="0" w:line="76" w:lineRule="exact"/>
        <w:rPr>
          <w:sz w:val="24"/>
          <w:szCs w:val="24"/>
          <w:color w:val="auto"/>
        </w:rPr>
      </w:pPr>
    </w:p>
    <w:p>
      <w:pPr>
        <w:ind w:right="100" w:firstLine="319"/>
        <w:spacing w:after="0" w:line="22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wp:posOffset>
            </wp:positionH>
            <wp:positionV relativeFrom="paragraph">
              <wp:posOffset>591185</wp:posOffset>
            </wp:positionV>
            <wp:extent cx="716026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081"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1"/>
          <w:szCs w:val="21"/>
          <w:b w:val="1"/>
          <w:bCs w:val="1"/>
          <w:color w:val="auto"/>
        </w:rPr>
        <w:t>Item 7.01. Regulation FD Disclosure</w:t>
      </w:r>
    </w:p>
    <w:p>
      <w:pPr>
        <w:spacing w:after="0" w:line="225" w:lineRule="exact"/>
        <w:rPr>
          <w:sz w:val="20"/>
          <w:szCs w:val="20"/>
          <w:color w:val="auto"/>
        </w:rPr>
      </w:pPr>
    </w:p>
    <w:p>
      <w:pPr>
        <w:jc w:val="both"/>
        <w:ind w:firstLine="319"/>
        <w:spacing w:after="0" w:line="295" w:lineRule="auto"/>
        <w:rPr>
          <w:sz w:val="20"/>
          <w:szCs w:val="20"/>
          <w:color w:val="auto"/>
        </w:rPr>
      </w:pPr>
      <w:r>
        <w:rPr>
          <w:rFonts w:ascii="Arial" w:cs="Arial" w:eastAsia="Arial" w:hAnsi="Arial"/>
          <w:sz w:val="17"/>
          <w:szCs w:val="17"/>
          <w:color w:val="auto"/>
        </w:rPr>
        <w:t>World Fuel Services Corporation announced today that its board of directors has declared a quarterly cash dividend of $0.12 per share payable on October 8, 2021 to shareholders of record on September 17, 2021. A copy of the press release is attached hereto as Exhibit 99.1.</w:t>
      </w:r>
    </w:p>
    <w:p>
      <w:pPr>
        <w:spacing w:after="0" w:line="51" w:lineRule="exact"/>
        <w:rPr>
          <w:sz w:val="20"/>
          <w:szCs w:val="20"/>
          <w:color w:val="auto"/>
        </w:rPr>
      </w:pPr>
    </w:p>
    <w:p>
      <w:pPr>
        <w:jc w:val="both"/>
        <w:ind w:firstLine="319"/>
        <w:spacing w:after="0" w:line="256"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8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9.01. Financial Statements and Exhibits</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(d) Exhibits</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560" w:type="dxa"/>
            <w:vAlign w:val="bottom"/>
          </w:tcPr>
          <w:p>
            <w:pPr>
              <w:spacing w:after="0"/>
              <w:rPr>
                <w:sz w:val="17"/>
                <w:szCs w:val="17"/>
                <w:color w:val="auto"/>
              </w:rPr>
            </w:pPr>
          </w:p>
        </w:tc>
        <w:tc>
          <w:tcPr>
            <w:tcW w:w="1200" w:type="dxa"/>
            <w:vAlign w:val="bottom"/>
            <w:gridSpan w:val="3"/>
          </w:tcPr>
          <w:p>
            <w:pPr>
              <w:spacing w:after="0"/>
              <w:rPr>
                <w:sz w:val="20"/>
                <w:szCs w:val="20"/>
                <w:color w:val="auto"/>
              </w:rPr>
            </w:pPr>
            <w:r>
              <w:rPr>
                <w:rFonts w:ascii="Arial" w:cs="Arial" w:eastAsia="Arial" w:hAnsi="Arial"/>
                <w:sz w:val="18"/>
                <w:szCs w:val="18"/>
                <w:b w:val="1"/>
                <w:bCs w:val="1"/>
                <w:color w:val="auto"/>
              </w:rPr>
              <w:t>Exhibit No.</w:t>
            </w:r>
          </w:p>
        </w:tc>
        <w:tc>
          <w:tcPr>
            <w:tcW w:w="6480" w:type="dxa"/>
            <w:vAlign w:val="bottom"/>
            <w:gridSpan w:val="3"/>
          </w:tcPr>
          <w:p>
            <w:pPr>
              <w:ind w:left="1680"/>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35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r>
      <w:tr>
        <w:trPr>
          <w:trHeight w:val="206"/>
        </w:trPr>
        <w:tc>
          <w:tcPr>
            <w:tcW w:w="4420" w:type="dxa"/>
            <w:vAlign w:val="bottom"/>
            <w:gridSpan w:val="3"/>
          </w:tcPr>
          <w:p>
            <w:pPr>
              <w:ind w:left="3560"/>
              <w:spacing w:after="0" w:line="206" w:lineRule="exact"/>
              <w:rPr>
                <w:rFonts w:ascii="Arial" w:cs="Arial" w:eastAsia="Arial" w:hAnsi="Arial"/>
                <w:sz w:val="18"/>
                <w:szCs w:val="18"/>
                <w:color w:val="0000FF"/>
              </w:rPr>
            </w:pPr>
            <w:hyperlink w:anchor="page5">
              <w:r>
                <w:rPr>
                  <w:rFonts w:ascii="Arial" w:cs="Arial" w:eastAsia="Arial" w:hAnsi="Arial"/>
                  <w:sz w:val="18"/>
                  <w:szCs w:val="18"/>
                  <w:color w:val="0000FF"/>
                </w:rPr>
                <w:t>99.</w:t>
              </w:r>
              <w:r>
                <w:rPr>
                  <w:rFonts w:ascii="Arial" w:cs="Arial" w:eastAsia="Arial" w:hAnsi="Arial"/>
                  <w:sz w:val="18"/>
                  <w:szCs w:val="18"/>
                  <w:u w:val="single" w:color="auto"/>
                  <w:color w:val="0000FF"/>
                </w:rPr>
                <w:t>1</w:t>
              </w:r>
            </w:hyperlink>
          </w:p>
        </w:tc>
        <w:tc>
          <w:tcPr>
            <w:tcW w:w="340" w:type="dxa"/>
            <w:vAlign w:val="bottom"/>
          </w:tcPr>
          <w:p>
            <w:pPr>
              <w:spacing w:after="0"/>
              <w:rPr>
                <w:sz w:val="17"/>
                <w:szCs w:val="17"/>
                <w:color w:val="auto"/>
              </w:rPr>
            </w:pPr>
          </w:p>
        </w:tc>
        <w:tc>
          <w:tcPr>
            <w:tcW w:w="6480" w:type="dxa"/>
            <w:vAlign w:val="bottom"/>
            <w:gridSpan w:val="3"/>
          </w:tcPr>
          <w:p>
            <w:pPr>
              <w:ind w:left="1680"/>
              <w:spacing w:after="0" w:line="206" w:lineRule="exact"/>
              <w:rPr>
                <w:sz w:val="20"/>
                <w:szCs w:val="20"/>
                <w:color w:val="auto"/>
              </w:rPr>
            </w:pPr>
            <w:r>
              <w:rPr>
                <w:rFonts w:ascii="Arial" w:cs="Arial" w:eastAsia="Arial" w:hAnsi="Arial"/>
                <w:sz w:val="18"/>
                <w:szCs w:val="18"/>
                <w:color w:val="auto"/>
              </w:rPr>
              <w:t>Press Release, dated September</w:t>
            </w:r>
          </w:p>
        </w:tc>
      </w:tr>
      <w:tr>
        <w:trPr>
          <w:trHeight w:val="204"/>
        </w:trPr>
        <w:tc>
          <w:tcPr>
            <w:tcW w:w="3560" w:type="dxa"/>
            <w:vAlign w:val="bottom"/>
          </w:tcPr>
          <w:p>
            <w:pPr>
              <w:spacing w:after="0"/>
              <w:rPr>
                <w:sz w:val="17"/>
                <w:szCs w:val="17"/>
                <w:color w:val="auto"/>
              </w:rPr>
            </w:pPr>
          </w:p>
        </w:tc>
        <w:tc>
          <w:tcPr>
            <w:tcW w:w="300" w:type="dxa"/>
            <w:vAlign w:val="bottom"/>
            <w:tcBorders>
              <w:top w:val="single" w:sz="8" w:color="0000FF"/>
            </w:tcBorders>
          </w:tcPr>
          <w:p>
            <w:pPr>
              <w:spacing w:after="0"/>
              <w:rPr>
                <w:sz w:val="17"/>
                <w:szCs w:val="17"/>
                <w:color w:val="auto"/>
              </w:rPr>
            </w:pPr>
          </w:p>
        </w:tc>
        <w:tc>
          <w:tcPr>
            <w:tcW w:w="5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680" w:type="dxa"/>
            <w:vAlign w:val="bottom"/>
          </w:tcPr>
          <w:p>
            <w:pPr>
              <w:jc w:val="right"/>
              <w:ind w:right="731"/>
              <w:spacing w:after="0" w:line="204" w:lineRule="exact"/>
              <w:rPr>
                <w:sz w:val="20"/>
                <w:szCs w:val="20"/>
                <w:color w:val="auto"/>
              </w:rPr>
            </w:pPr>
            <w:r>
              <w:rPr>
                <w:rFonts w:ascii="Arial" w:cs="Arial" w:eastAsia="Arial" w:hAnsi="Arial"/>
                <w:sz w:val="18"/>
                <w:szCs w:val="18"/>
                <w:color w:val="auto"/>
              </w:rPr>
              <w:t>7, 2021</w:t>
            </w:r>
          </w:p>
        </w:tc>
        <w:tc>
          <w:tcPr>
            <w:tcW w:w="880" w:type="dxa"/>
            <w:vAlign w:val="bottom"/>
          </w:tcPr>
          <w:p>
            <w:pPr>
              <w:spacing w:after="0"/>
              <w:rPr>
                <w:sz w:val="17"/>
                <w:szCs w:val="17"/>
                <w:color w:val="auto"/>
              </w:rPr>
            </w:pPr>
          </w:p>
        </w:tc>
        <w:tc>
          <w:tcPr>
            <w:tcW w:w="3920" w:type="dxa"/>
            <w:vAlign w:val="bottom"/>
          </w:tcPr>
          <w:p>
            <w:pPr>
              <w:spacing w:after="0"/>
              <w:rPr>
                <w:sz w:val="17"/>
                <w:szCs w:val="17"/>
                <w:color w:val="auto"/>
              </w:rPr>
            </w:pPr>
          </w:p>
        </w:tc>
      </w:tr>
      <w:tr>
        <w:trPr>
          <w:trHeight w:val="1669"/>
        </w:trPr>
        <w:tc>
          <w:tcPr>
            <w:tcW w:w="356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168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39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01" w:right="33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21"/>
          <w:szCs w:val="21"/>
          <w:color w:val="auto"/>
        </w:rPr>
        <w:t>SIGNATURES</w:t>
      </w:r>
    </w:p>
    <w:p>
      <w:pPr>
        <w:spacing w:after="0" w:line="200" w:lineRule="exact"/>
        <w:rPr>
          <w:sz w:val="20"/>
          <w:szCs w:val="20"/>
          <w:color w:val="auto"/>
        </w:rPr>
      </w:pPr>
    </w:p>
    <w:p>
      <w:pPr>
        <w:spacing w:after="0" w:line="258" w:lineRule="exact"/>
        <w:rPr>
          <w:sz w:val="20"/>
          <w:szCs w:val="20"/>
          <w:color w:val="auto"/>
        </w:rPr>
      </w:pPr>
    </w:p>
    <w:p>
      <w:pPr>
        <w:ind w:right="100" w:firstLine="319"/>
        <w:spacing w:after="0" w:line="265"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660"/>
        <w:spacing w:after="0"/>
        <w:tabs>
          <w:tab w:leader="none" w:pos="6200" w:val="left"/>
        </w:tabs>
        <w:rPr>
          <w:sz w:val="20"/>
          <w:szCs w:val="20"/>
          <w:color w:val="auto"/>
        </w:rPr>
      </w:pPr>
      <w:r>
        <w:rPr>
          <w:rFonts w:ascii="Arial" w:cs="Arial" w:eastAsia="Arial" w:hAnsi="Arial"/>
          <w:sz w:val="18"/>
          <w:szCs w:val="18"/>
          <w:color w:val="auto"/>
        </w:rPr>
        <w:t>Date: September 7, 2021</w:t>
      </w:r>
      <w:r>
        <w:rPr>
          <w:sz w:val="20"/>
          <w:szCs w:val="20"/>
          <w:color w:val="auto"/>
        </w:rPr>
        <w:tab/>
      </w:r>
      <w:r>
        <w:rPr>
          <w:rFonts w:ascii="Arial" w:cs="Arial" w:eastAsia="Arial" w:hAnsi="Arial"/>
          <w:sz w:val="15"/>
          <w:szCs w:val="15"/>
          <w:b w:val="1"/>
          <w:bCs w:val="1"/>
          <w:color w:val="auto"/>
        </w:rPr>
        <w:t>World Fuel Services Corporation</w:t>
      </w:r>
    </w:p>
    <w:p>
      <w:pPr>
        <w:spacing w:after="0" w:line="200" w:lineRule="exact"/>
        <w:rPr>
          <w:sz w:val="20"/>
          <w:szCs w:val="20"/>
          <w:color w:val="auto"/>
        </w:rPr>
      </w:pPr>
    </w:p>
    <w:p>
      <w:pPr>
        <w:spacing w:after="0" w:line="210"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/s/ Amy Avalos Quintana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3731260</wp:posOffset>
            </wp:positionH>
            <wp:positionV relativeFrom="paragraph">
              <wp:posOffset>95885</wp:posOffset>
            </wp:positionV>
            <wp:extent cx="346964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69640" cy="8255"/>
                    </a:xfrm>
                    <a:prstGeom prst="rect">
                      <a:avLst/>
                    </a:prstGeom>
                    <a:noFill/>
                  </pic:spPr>
                </pic:pic>
              </a:graphicData>
            </a:graphic>
          </wp:anchor>
        </w:drawing>
      </w:r>
    </w:p>
    <w:p>
      <w:pPr>
        <w:spacing w:after="0" w:line="158"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Amy Avalos Quintana</w:t>
      </w:r>
    </w:p>
    <w:p>
      <w:pPr>
        <w:spacing w:after="0" w:line="5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Senior Vice President, Chief Corporate Counsel 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1128395</wp:posOffset>
            </wp:positionV>
            <wp:extent cx="716026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101"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71"/>
        </w:trPr>
        <w:tc>
          <w:tcPr>
            <w:tcW w:w="3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780" w:type="dxa"/>
            <w:vAlign w:val="bottom"/>
          </w:tcPr>
          <w:p>
            <w:pPr>
              <w:ind w:left="1440"/>
              <w:spacing w:after="0"/>
              <w:rPr>
                <w:sz w:val="20"/>
                <w:szCs w:val="20"/>
                <w:color w:val="auto"/>
              </w:rPr>
            </w:pPr>
            <w:r>
              <w:rPr>
                <w:rFonts w:ascii="Arial" w:cs="Arial" w:eastAsia="Arial" w:hAnsi="Arial"/>
                <w:sz w:val="21"/>
                <w:szCs w:val="21"/>
                <w:color w:val="auto"/>
              </w:rPr>
              <w:t>EXHIBIT INDEX</w:t>
            </w:r>
          </w:p>
        </w:tc>
      </w:tr>
      <w:tr>
        <w:trPr>
          <w:trHeight w:val="706"/>
        </w:trPr>
        <w:tc>
          <w:tcPr>
            <w:tcW w:w="340" w:type="dxa"/>
            <w:vAlign w:val="bottom"/>
          </w:tcPr>
          <w:p>
            <w:pPr>
              <w:spacing w:after="0"/>
              <w:rPr>
                <w:sz w:val="24"/>
                <w:szCs w:val="24"/>
                <w:color w:val="auto"/>
              </w:rPr>
            </w:pPr>
          </w:p>
        </w:tc>
        <w:tc>
          <w:tcPr>
            <w:tcW w:w="290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7780" w:type="dxa"/>
            <w:vAlign w:val="bottom"/>
          </w:tcPr>
          <w:p>
            <w:pPr>
              <w:ind w:left="320"/>
              <w:spacing w:after="0"/>
              <w:rPr>
                <w:sz w:val="20"/>
                <w:szCs w:val="20"/>
                <w:color w:val="auto"/>
              </w:rPr>
            </w:pPr>
            <w:r>
              <w:rPr>
                <w:rFonts w:ascii="Arial" w:cs="Arial" w:eastAsia="Arial" w:hAnsi="Arial"/>
                <w:sz w:val="18"/>
                <w:szCs w:val="18"/>
                <w:color w:val="auto"/>
              </w:rPr>
              <w:t>Description</w:t>
            </w:r>
          </w:p>
        </w:tc>
      </w:tr>
      <w:tr>
        <w:trPr>
          <w:trHeight w:val="180"/>
        </w:trPr>
        <w:tc>
          <w:tcPr>
            <w:tcW w:w="340" w:type="dxa"/>
            <w:vAlign w:val="bottom"/>
            <w:tcBorders>
              <w:top w:val="single" w:sz="8" w:color="auto"/>
              <w:bottom w:val="single" w:sz="8" w:color="auto"/>
            </w:tcBorders>
          </w:tcPr>
          <w:p>
            <w:pPr>
              <w:spacing w:after="0"/>
              <w:rPr>
                <w:sz w:val="15"/>
                <w:szCs w:val="15"/>
                <w:color w:val="auto"/>
              </w:rPr>
            </w:pPr>
          </w:p>
        </w:tc>
        <w:tc>
          <w:tcPr>
            <w:tcW w:w="320" w:type="dxa"/>
            <w:vAlign w:val="bottom"/>
            <w:tcBorders>
              <w:top w:val="single" w:sz="8" w:color="auto"/>
              <w:bottom w:val="single" w:sz="8" w:color="0000FF"/>
            </w:tcBorders>
          </w:tcPr>
          <w:p>
            <w:pPr>
              <w:spacing w:after="0" w:line="166" w:lineRule="exact"/>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2040" w:type="dxa"/>
            <w:vAlign w:val="bottom"/>
            <w:tcBorders>
              <w:top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7780" w:type="dxa"/>
            <w:vAlign w:val="bottom"/>
            <w:tcBorders>
              <w:top w:val="single" w:sz="8" w:color="auto"/>
              <w:bottom w:val="single" w:sz="8" w:color="auto"/>
            </w:tcBorders>
          </w:tcPr>
          <w:p>
            <w:pPr>
              <w:ind w:left="320"/>
              <w:spacing w:after="0" w:line="179" w:lineRule="exact"/>
              <w:rPr>
                <w:sz w:val="20"/>
                <w:szCs w:val="20"/>
                <w:color w:val="auto"/>
              </w:rPr>
            </w:pPr>
            <w:r>
              <w:rPr>
                <w:rFonts w:ascii="Arial" w:cs="Arial" w:eastAsia="Arial" w:hAnsi="Arial"/>
                <w:sz w:val="18"/>
                <w:szCs w:val="18"/>
                <w:color w:val="auto"/>
              </w:rPr>
              <w:t>Press Release, dated September 7, 2021</w:t>
            </w:r>
          </w:p>
        </w:tc>
      </w:tr>
    </w:tbl>
    <w:p>
      <w:pPr>
        <w:sectPr>
          <w:pgSz w:w="11900" w:h="16838" w:orient="portrait"/>
          <w:cols w:equalWidth="0" w:num="1">
            <w:col w:w="11020"/>
          </w:cols>
          <w:pgMar w:left="640" w:top="1101"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21"/>
          <w:szCs w:val="21"/>
          <w:b w:val="1"/>
          <w:bCs w:val="1"/>
          <w:color w:val="auto"/>
        </w:rPr>
        <w:t>Exhibit 99.1</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WORLD FUEL SERVICES CORPORATION DECLARES REGULAR QUARTERLY CASH DIVIDEND</w:t>
      </w:r>
    </w:p>
    <w:p>
      <w:pPr>
        <w:spacing w:after="0" w:line="200" w:lineRule="exact"/>
        <w:rPr>
          <w:sz w:val="20"/>
          <w:szCs w:val="20"/>
          <w:color w:val="auto"/>
        </w:rPr>
      </w:pPr>
    </w:p>
    <w:p>
      <w:pPr>
        <w:spacing w:after="0" w:line="215" w:lineRule="exact"/>
        <w:rPr>
          <w:sz w:val="20"/>
          <w:szCs w:val="20"/>
          <w:color w:val="auto"/>
        </w:rPr>
      </w:pPr>
    </w:p>
    <w:p>
      <w:pPr>
        <w:jc w:val="both"/>
        <w:spacing w:after="0" w:line="252" w:lineRule="auto"/>
        <w:rPr>
          <w:sz w:val="20"/>
          <w:szCs w:val="20"/>
          <w:color w:val="auto"/>
        </w:rPr>
      </w:pPr>
      <w:r>
        <w:rPr>
          <w:rFonts w:ascii="Arial" w:cs="Arial" w:eastAsia="Arial" w:hAnsi="Arial"/>
          <w:sz w:val="21"/>
          <w:szCs w:val="21"/>
          <w:color w:val="auto"/>
        </w:rPr>
        <w:t>MIAMI — (BUSINESS WIRE) — September 7, 2021 — World Fuel Services Corporation (NYSE:INT) announced today that its board of directors has declared a quarterly cash dividend of $0.12 per share payable on October 8, 2021 to shareholders of record on September 17, 2021.</w: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9"/>
          <w:szCs w:val="19"/>
          <w:u w:val="single" w:color="auto"/>
          <w:color w:val="auto"/>
        </w:rPr>
        <w:t>About World Fuel Services Corporation</w:t>
      </w:r>
    </w:p>
    <w:p>
      <w:pPr>
        <w:spacing w:after="0" w:line="87" w:lineRule="exact"/>
        <w:rPr>
          <w:sz w:val="20"/>
          <w:szCs w:val="20"/>
          <w:color w:val="auto"/>
        </w:rPr>
      </w:pPr>
    </w:p>
    <w:p>
      <w:pPr>
        <w:jc w:val="both"/>
        <w:spacing w:after="0" w:line="258"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375"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For more information, visit </w:t>
      </w:r>
      <w:r>
        <w:rPr>
          <w:rFonts w:ascii="Arial" w:cs="Arial" w:eastAsia="Arial" w:hAnsi="Arial"/>
          <w:sz w:val="19"/>
          <w:szCs w:val="19"/>
          <w:u w:val="single" w:color="auto"/>
          <w:color w:val="0000FF"/>
        </w:rPr>
        <w:t>www.wfscorp.com</w:t>
      </w:r>
      <w:r>
        <w:rPr>
          <w:rFonts w:ascii="Arial" w:cs="Arial" w:eastAsia="Arial" w:hAnsi="Arial"/>
          <w:sz w:val="19"/>
          <w:szCs w:val="19"/>
          <w:color w:val="auto"/>
        </w:rPr>
        <w:t>.</w:t>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Contacts</w:t>
      </w:r>
    </w:p>
    <w:p>
      <w:pPr>
        <w:spacing w:after="0" w:line="252" w:lineRule="exact"/>
        <w:rPr>
          <w:sz w:val="20"/>
          <w:szCs w:val="20"/>
          <w:color w:val="auto"/>
        </w:rPr>
      </w:pPr>
    </w:p>
    <w:p>
      <w:pPr>
        <w:spacing w:after="0"/>
        <w:rPr>
          <w:sz w:val="20"/>
          <w:szCs w:val="20"/>
          <w:color w:val="auto"/>
        </w:rPr>
      </w:pPr>
      <w:r>
        <w:rPr>
          <w:rFonts w:ascii="Arial" w:cs="Arial" w:eastAsia="Arial" w:hAnsi="Arial"/>
          <w:sz w:val="19"/>
          <w:szCs w:val="19"/>
          <w:color w:val="auto"/>
        </w:rPr>
        <w:t>Ira M. Birns</w:t>
      </w:r>
    </w:p>
    <w:p>
      <w:pPr>
        <w:spacing w:after="0" w:line="23" w:lineRule="exact"/>
        <w:rPr>
          <w:sz w:val="20"/>
          <w:szCs w:val="20"/>
          <w:color w:val="auto"/>
        </w:rPr>
      </w:pPr>
    </w:p>
    <w:p>
      <w:pPr>
        <w:spacing w:after="0"/>
        <w:rPr>
          <w:sz w:val="20"/>
          <w:szCs w:val="20"/>
          <w:color w:val="auto"/>
        </w:rPr>
      </w:pPr>
      <w:r>
        <w:rPr>
          <w:rFonts w:ascii="Arial" w:cs="Arial" w:eastAsia="Arial" w:hAnsi="Arial"/>
          <w:sz w:val="19"/>
          <w:szCs w:val="19"/>
          <w:color w:val="auto"/>
        </w:rPr>
        <w:t>Executive Vice President &amp; Chief Financial Officer</w:t>
      </w:r>
    </w:p>
    <w:p>
      <w:pPr>
        <w:spacing w:after="0" w:line="7" w:lineRule="exact"/>
        <w:rPr>
          <w:sz w:val="20"/>
          <w:szCs w:val="20"/>
          <w:color w:val="auto"/>
        </w:rPr>
      </w:pPr>
    </w:p>
    <w:p>
      <w:pPr>
        <w:spacing w:after="0"/>
        <w:rPr>
          <w:sz w:val="20"/>
          <w:szCs w:val="20"/>
          <w:color w:val="auto"/>
        </w:rPr>
      </w:pPr>
      <w:r>
        <w:rPr>
          <w:rFonts w:ascii="Arial" w:cs="Arial" w:eastAsia="Arial" w:hAnsi="Arial"/>
          <w:sz w:val="19"/>
          <w:szCs w:val="19"/>
          <w:color w:val="auto"/>
        </w:rPr>
        <w:t>or</w:t>
      </w:r>
    </w:p>
    <w:p>
      <w:pPr>
        <w:spacing w:after="0" w:line="7" w:lineRule="exact"/>
        <w:rPr>
          <w:sz w:val="20"/>
          <w:szCs w:val="20"/>
          <w:color w:val="auto"/>
        </w:rPr>
      </w:pPr>
    </w:p>
    <w:p>
      <w:pPr>
        <w:spacing w:after="0"/>
        <w:rPr>
          <w:sz w:val="20"/>
          <w:szCs w:val="20"/>
          <w:color w:val="auto"/>
        </w:rPr>
      </w:pPr>
      <w:r>
        <w:rPr>
          <w:rFonts w:ascii="Arial" w:cs="Arial" w:eastAsia="Arial" w:hAnsi="Arial"/>
          <w:sz w:val="19"/>
          <w:szCs w:val="19"/>
          <w:color w:val="auto"/>
        </w:rPr>
        <w:t>Glenn Klevitz</w:t>
      </w:r>
    </w:p>
    <w:p>
      <w:pPr>
        <w:spacing w:after="0" w:line="7" w:lineRule="exact"/>
        <w:rPr>
          <w:sz w:val="20"/>
          <w:szCs w:val="20"/>
          <w:color w:val="auto"/>
        </w:rPr>
      </w:pPr>
    </w:p>
    <w:p>
      <w:pPr>
        <w:spacing w:after="0"/>
        <w:rPr>
          <w:sz w:val="20"/>
          <w:szCs w:val="20"/>
          <w:color w:val="auto"/>
        </w:rPr>
      </w:pPr>
      <w:r>
        <w:rPr>
          <w:rFonts w:ascii="Arial" w:cs="Arial" w:eastAsia="Arial" w:hAnsi="Arial"/>
          <w:sz w:val="19"/>
          <w:szCs w:val="19"/>
          <w:color w:val="auto"/>
        </w:rPr>
        <w:t>Vice President, Treasurer and Investor Relations</w:t>
      </w:r>
    </w:p>
    <w:p>
      <w:pPr>
        <w:spacing w:after="0" w:line="7" w:lineRule="exact"/>
        <w:rPr>
          <w:sz w:val="20"/>
          <w:szCs w:val="20"/>
          <w:color w:val="auto"/>
        </w:rPr>
      </w:pPr>
    </w:p>
    <w:p>
      <w:pPr>
        <w:ind w:right="9340" w:firstLine="6"/>
        <w:spacing w:after="0" w:line="321" w:lineRule="auto"/>
        <w:tabs>
          <w:tab w:leader="none" w:pos="470" w:val="left"/>
        </w:tabs>
        <w:numPr>
          <w:ilvl w:val="0"/>
          <w:numId w:val="1"/>
        </w:numPr>
        <w:rPr>
          <w:rFonts w:ascii="Arial" w:cs="Arial" w:eastAsia="Arial" w:hAnsi="Arial"/>
          <w:sz w:val="17"/>
          <w:szCs w:val="17"/>
          <w:color w:val="auto"/>
        </w:rPr>
      </w:pPr>
      <w:r>
        <w:rPr>
          <w:rFonts w:ascii="Arial" w:cs="Arial" w:eastAsia="Arial" w:hAnsi="Arial"/>
          <w:sz w:val="17"/>
          <w:szCs w:val="17"/>
          <w:color w:val="auto"/>
        </w:rPr>
        <w:t>351-4763 investors@wfscorp.com</w:t>
      </w:r>
    </w:p>
    <w:sectPr>
      <w:pgSz w:w="11900" w:h="16838" w:orient="portrait"/>
      <w:cols w:equalWidth="0" w:num="1">
        <w:col w:w="11240"/>
      </w:cols>
      <w:pgMar w:left="320" w:top="97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305"/>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2021-09-07T16:10:20Z</dcterms:created>
  <dcterms:modified xsi:type="dcterms:W3CDTF">2021-09-07T16:10:20Z</dcterms:modified>
</cp:coreProperties>
</file>