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70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7002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Cherwoo Sharda</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60" w:type="dxa"/>
            <w:vAlign w:val="bottom"/>
            <w:tcBorders>
              <w:top w:val="single" w:sz="8" w:color="0000EE"/>
              <w:bottom w:val="single" w:sz="8" w:color="9A9A9A"/>
            </w:tcBorders>
          </w:tcPr>
          <w:p>
            <w:pPr>
              <w:spacing w:after="0"/>
              <w:rPr>
                <w:sz w:val="15"/>
                <w:szCs w:val="15"/>
                <w:color w:val="auto"/>
              </w:rPr>
            </w:pPr>
          </w:p>
        </w:tc>
        <w:tc>
          <w:tcPr>
            <w:tcW w:w="17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02/05/2020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WORLD FUEL SERVICES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INT</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18"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4"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WORLD FUEL SERVICES</w:t>
      </w:r>
    </w:p>
    <w:p>
      <w:pPr>
        <w:spacing w:after="0" w:line="15"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CORPORATION</w:t>
      </w:r>
    </w:p>
    <w:p>
      <w:pPr>
        <w:spacing w:after="0" w:line="57"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9800 NW 41ST STREET</w:t>
      </w:r>
    </w:p>
    <w:p>
      <w:pPr>
        <w:spacing w:after="0" w:line="300" w:lineRule="exact"/>
        <w:rPr>
          <w:sz w:val="24"/>
          <w:szCs w:val="24"/>
          <w:color w:val="auto"/>
        </w:rPr>
      </w:pPr>
    </w:p>
    <w:p>
      <w:pPr>
        <w:ind w:left="80"/>
        <w:spacing w:after="0"/>
        <w:rPr>
          <w:sz w:val="20"/>
          <w:szCs w:val="20"/>
          <w:color w:val="auto"/>
        </w:rPr>
      </w:pPr>
      <w:r>
        <w:rPr>
          <w:rFonts w:ascii="Arial" w:cs="Arial" w:eastAsia="Arial" w:hAnsi="Arial"/>
          <w:sz w:val="14"/>
          <w:szCs w:val="14"/>
          <w:color w:val="auto"/>
        </w:rPr>
        <w:t>(Street)</w:t>
      </w:r>
    </w:p>
    <w:p>
      <w:pPr>
        <w:spacing w:after="0" w:line="20"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8"/>
          <w:szCs w:val="18"/>
          <w:color w:val="0000FF"/>
        </w:rPr>
        <w:t>MIAMI</w:t>
      </w:r>
      <w:r>
        <w:rPr>
          <w:sz w:val="20"/>
          <w:szCs w:val="20"/>
          <w:color w:val="auto"/>
        </w:rPr>
        <w:tab/>
      </w:r>
      <w:r>
        <w:rPr>
          <w:rFonts w:ascii="Arial" w:cs="Arial" w:eastAsia="Arial" w:hAnsi="Arial"/>
          <w:sz w:val="18"/>
          <w:szCs w:val="18"/>
          <w:color w:val="0000FF"/>
        </w:rPr>
        <w:t>FL</w:t>
      </w:r>
      <w:r>
        <w:rPr>
          <w:sz w:val="20"/>
          <w:szCs w:val="20"/>
          <w:color w:val="auto"/>
        </w:rPr>
        <w:tab/>
      </w:r>
      <w:r>
        <w:rPr>
          <w:rFonts w:ascii="Arial" w:cs="Arial" w:eastAsia="Arial" w:hAnsi="Arial"/>
          <w:sz w:val="15"/>
          <w:szCs w:val="15"/>
          <w:color w:val="0000FF"/>
        </w:rPr>
        <w:t>33178</w:t>
      </w:r>
    </w:p>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38"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51"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4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3520" w:type="dxa"/>
            <w:vAlign w:val="bottom"/>
          </w:tcPr>
          <w:p>
            <w:pPr>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480" w:type="dxa"/>
            <w:vAlign w:val="bottom"/>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w w:val="95"/>
              </w:rPr>
              <w:t>Beneficial Ownership</w:t>
            </w: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2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48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52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240" w:type="dxa"/>
            <w:vAlign w:val="bottom"/>
            <w:tcBorders>
              <w:bottom w:val="single" w:sz="8" w:color="2C2C2C"/>
            </w:tcBorders>
          </w:tcPr>
          <w:p>
            <w:pPr>
              <w:spacing w:after="0"/>
              <w:rPr>
                <w:sz w:val="6"/>
                <w:szCs w:val="6"/>
                <w:color w:val="auto"/>
              </w:rPr>
            </w:pPr>
          </w:p>
        </w:tc>
        <w:tc>
          <w:tcPr>
            <w:tcW w:w="148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52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48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4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80" w:type="dxa"/>
            <w:vAlign w:val="bottom"/>
          </w:tcPr>
          <w:p>
            <w:pPr>
              <w:ind w:left="8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2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240" w:type="dxa"/>
            <w:vAlign w:val="bottom"/>
          </w:tcPr>
          <w:p>
            <w:pPr>
              <w:spacing w:after="0"/>
              <w:rPr>
                <w:sz w:val="12"/>
                <w:szCs w:val="12"/>
                <w:color w:val="auto"/>
              </w:rPr>
            </w:pPr>
          </w:p>
        </w:tc>
        <w:tc>
          <w:tcPr>
            <w:tcW w:w="1480" w:type="dxa"/>
            <w:vAlign w:val="bottom"/>
          </w:tcPr>
          <w:p>
            <w:pPr>
              <w:ind w:left="8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24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480" w:type="dxa"/>
            <w:vAlign w:val="bottom"/>
          </w:tcPr>
          <w:p>
            <w:pPr>
              <w:ind w:left="8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No securities are beneficially owned.</w:t>
      </w:r>
    </w:p>
    <w:p>
      <w:pPr>
        <w:ind w:left="6860"/>
        <w:spacing w:after="0" w:line="183" w:lineRule="auto"/>
        <w:rPr>
          <w:sz w:val="20"/>
          <w:szCs w:val="20"/>
          <w:color w:val="auto"/>
        </w:rPr>
      </w:pPr>
      <w:r>
        <w:rPr>
          <w:rFonts w:ascii="Arial" w:cs="Arial" w:eastAsia="Arial" w:hAnsi="Arial"/>
          <w:sz w:val="18"/>
          <w:szCs w:val="18"/>
          <w:color w:val="0000FF"/>
        </w:rPr>
        <w:t xml:space="preserve">Amy A. Quintana, Attorney-in- </w:t>
      </w:r>
      <w:r>
        <w:rPr>
          <w:rFonts w:ascii="Arial" w:cs="Arial" w:eastAsia="Arial" w:hAnsi="Arial"/>
          <w:sz w:val="35"/>
          <w:szCs w:val="35"/>
          <w:color w:val="0000FF"/>
          <w:vertAlign w:val="subscript"/>
        </w:rPr>
        <w:t>02/05/2020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40843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40843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917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1770"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632"/>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R. Alexander Lake and Amy A. Quintana, signing singly, the undersigned's true and lawful attorney-in-fact to:</w:t>
      </w:r>
    </w:p>
    <w:p>
      <w:pPr>
        <w:spacing w:after="0" w:line="209" w:lineRule="exact"/>
        <w:rPr>
          <w:sz w:val="20"/>
          <w:szCs w:val="20"/>
          <w:color w:val="auto"/>
        </w:rPr>
      </w:pPr>
    </w:p>
    <w:p>
      <w:pPr>
        <w:ind w:right="1779" w:firstLine="8"/>
        <w:spacing w:after="0" w:line="237"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World Fuel Services Corporation (the "Company"), Forms 3, 4, and 5 in accordance with Section 16(a) of the Securities Exchange Act of 1934, as amended, and the rules thereunder, and Form 144 in accordance with Rule 144 promulgated under the Securities Act of 1933, as amended, and any other forms or reports the undersigned may be required to file in connection with the undersigned's ownership, acquisition, or disposition of securities of the Company;</w:t>
      </w:r>
    </w:p>
    <w:p>
      <w:pPr>
        <w:spacing w:after="0" w:line="212" w:lineRule="exact"/>
        <w:rPr>
          <w:rFonts w:ascii="Courier New" w:cs="Courier New" w:eastAsia="Courier New" w:hAnsi="Courier New"/>
          <w:sz w:val="18"/>
          <w:szCs w:val="18"/>
          <w:color w:val="auto"/>
        </w:rPr>
      </w:pPr>
    </w:p>
    <w:p>
      <w:pPr>
        <w:ind w:right="1879" w:firstLine="8"/>
        <w:spacing w:after="0" w:line="237"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United States Securities and Exchange Commission and any stock exchange or similar authority; and</w:t>
      </w:r>
    </w:p>
    <w:p>
      <w:pPr>
        <w:spacing w:after="0" w:line="208" w:lineRule="exact"/>
        <w:rPr>
          <w:rFonts w:ascii="Courier New" w:cs="Courier New" w:eastAsia="Courier New" w:hAnsi="Courier New"/>
          <w:sz w:val="18"/>
          <w:szCs w:val="18"/>
          <w:color w:val="auto"/>
        </w:rPr>
      </w:pPr>
    </w:p>
    <w:p>
      <w:pPr>
        <w:ind w:right="1779" w:firstLine="8"/>
        <w:spacing w:after="0" w:line="237"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779" w:firstLine="632"/>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 or Rule 144 promulgated under the Securities Act of 1933, as amended.</w:t>
      </w:r>
    </w:p>
    <w:p>
      <w:pPr>
        <w:spacing w:after="0" w:line="389" w:lineRule="exact"/>
        <w:rPr>
          <w:sz w:val="20"/>
          <w:szCs w:val="20"/>
          <w:color w:val="auto"/>
        </w:rPr>
      </w:pPr>
    </w:p>
    <w:p>
      <w:pPr>
        <w:ind w:right="1779" w:firstLine="632"/>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5 and 144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999" w:firstLine="632"/>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effective as of the 5th day of February, 2020.</w:t>
      </w:r>
    </w:p>
    <w:p>
      <w:pPr>
        <w:spacing w:after="0" w:line="200" w:lineRule="exact"/>
        <w:rPr>
          <w:sz w:val="20"/>
          <w:szCs w:val="20"/>
          <w:color w:val="auto"/>
        </w:rPr>
      </w:pPr>
    </w:p>
    <w:p>
      <w:pPr>
        <w:spacing w:after="0" w:line="205"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/s/ Sharda Cherwoo</w:t>
      </w:r>
    </w:p>
    <w:p>
      <w:pPr>
        <w:ind w:left="5060"/>
        <w:spacing w:after="0"/>
        <w:tabs>
          <w:tab w:leader="none" w:pos="578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Sharda Cherwoo</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1" Type="http://schemas.openxmlformats.org/officeDocument/2006/relationships/hyperlink" Target="http://www.sec.gov/cgi-bin/browse-edgar?action=getcompany&amp;CIK=0001800831" TargetMode="External"/><Relationship Id="rId12"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2020-02-05T16:47:28Z</dcterms:created>
  <dcterms:modified xsi:type="dcterms:W3CDTF">2020-02-05T16:47:28Z</dcterms:modified>
</cp:coreProperties>
</file>