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60"/>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3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0" w:lineRule="exact"/>
        <w:rPr>
          <w:sz w:val="24"/>
          <w:szCs w:val="24"/>
          <w:color w:val="auto"/>
        </w:rPr>
      </w:pPr>
    </w:p>
    <w:p>
      <w:pPr>
        <w:spacing w:after="0" w:line="29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THE SECURITIES EXCHANGE ACT OF 1934</w:t>
      </w:r>
    </w:p>
    <w:p>
      <w:pPr>
        <w:spacing w:after="0" w:line="157"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 xml:space="preserve">Date of Report (Date of earliest event reported): </w:t>
      </w:r>
      <w:r>
        <w:rPr>
          <w:rFonts w:ascii="Arial" w:cs="Arial" w:eastAsia="Arial" w:hAnsi="Arial"/>
          <w:sz w:val="20"/>
          <w:szCs w:val="20"/>
          <w:b w:val="1"/>
          <w:bCs w:val="1"/>
          <w:u w:val="single" w:color="auto"/>
          <w:color w:val="0000FF"/>
        </w:rPr>
        <w:t>April 30, 2020</w:t>
      </w:r>
    </w:p>
    <w:p>
      <w:pPr>
        <w:spacing w:after="0" w:line="366" w:lineRule="exact"/>
        <w:rPr>
          <w:sz w:val="24"/>
          <w:szCs w:val="24"/>
          <w:color w:val="auto"/>
        </w:rPr>
      </w:pPr>
    </w:p>
    <w:p>
      <w:pPr>
        <w:jc w:val="center"/>
        <w:spacing w:after="0"/>
        <w:rPr>
          <w:sz w:val="20"/>
          <w:szCs w:val="20"/>
          <w:color w:val="auto"/>
        </w:rPr>
      </w:pPr>
      <w:r>
        <w:rPr>
          <w:rFonts w:ascii="Arial" w:cs="Arial" w:eastAsia="Arial" w:hAnsi="Arial"/>
          <w:sz w:val="40"/>
          <w:szCs w:val="40"/>
          <w:b w:val="1"/>
          <w:bCs w:val="1"/>
          <w:color w:val="auto"/>
        </w:rPr>
        <w:t>WORLD FUEL SERVICES CORPORATION</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(Exact name of registrant as specified in its charter)</w:t>
      </w:r>
    </w:p>
    <w:p>
      <w:pPr>
        <w:spacing w:after="0" w:line="399" w:lineRule="exact"/>
        <w:rPr>
          <w:sz w:val="24"/>
          <w:szCs w:val="24"/>
          <w:color w:val="auto"/>
        </w:rPr>
      </w:pPr>
    </w:p>
    <w:tbl>
      <w:tblPr>
        <w:tblLayout w:type="fixed"/>
        <w:tblInd w:w="400" w:type="dxa"/>
        <w:tblCellMar>
          <w:top w:w="0" w:type="dxa"/>
          <w:left w:w="0" w:type="dxa"/>
          <w:bottom w:w="0" w:type="dxa"/>
          <w:right w:w="0" w:type="dxa"/>
        </w:tblCellMar>
      </w:tblPr>
      <w:tr>
        <w:trPr>
          <w:trHeight w:val="280"/>
        </w:trPr>
        <w:tc>
          <w:tcPr>
            <w:tcW w:w="2400" w:type="dxa"/>
            <w:vAlign w:val="bottom"/>
          </w:tcPr>
          <w:p>
            <w:pPr>
              <w:ind w:left="1180"/>
              <w:spacing w:after="0"/>
              <w:rPr>
                <w:sz w:val="20"/>
                <w:szCs w:val="20"/>
                <w:color w:val="auto"/>
              </w:rPr>
            </w:pPr>
            <w:r>
              <w:rPr>
                <w:rFonts w:ascii="Arial" w:cs="Arial" w:eastAsia="Arial" w:hAnsi="Arial"/>
                <w:sz w:val="22"/>
                <w:szCs w:val="22"/>
                <w:b w:val="1"/>
                <w:bCs w:val="1"/>
                <w:color w:val="auto"/>
              </w:rPr>
              <w:t>Florida</w:t>
            </w:r>
          </w:p>
        </w:tc>
        <w:tc>
          <w:tcPr>
            <w:tcW w:w="1320" w:type="dxa"/>
            <w:vAlign w:val="bottom"/>
          </w:tcPr>
          <w:p>
            <w:pPr>
              <w:spacing w:after="0"/>
              <w:rPr>
                <w:sz w:val="24"/>
                <w:szCs w:val="24"/>
                <w:color w:val="auto"/>
              </w:rPr>
            </w:pPr>
          </w:p>
        </w:tc>
        <w:tc>
          <w:tcPr>
            <w:tcW w:w="3460" w:type="dxa"/>
            <w:vAlign w:val="bottom"/>
          </w:tcPr>
          <w:p>
            <w:pPr>
              <w:jc w:val="right"/>
              <w:ind w:right="1324"/>
              <w:spacing w:after="0"/>
              <w:rPr>
                <w:sz w:val="20"/>
                <w:szCs w:val="20"/>
                <w:color w:val="auto"/>
              </w:rPr>
            </w:pPr>
            <w:r>
              <w:rPr>
                <w:rFonts w:ascii="Arial" w:cs="Arial" w:eastAsia="Arial" w:hAnsi="Arial"/>
                <w:sz w:val="22"/>
                <w:szCs w:val="22"/>
                <w:b w:val="1"/>
                <w:bCs w:val="1"/>
                <w:color w:val="auto"/>
              </w:rPr>
              <w:t>1-9533</w:t>
            </w:r>
          </w:p>
        </w:tc>
        <w:tc>
          <w:tcPr>
            <w:tcW w:w="3300" w:type="dxa"/>
            <w:vAlign w:val="bottom"/>
          </w:tcPr>
          <w:p>
            <w:pPr>
              <w:jc w:val="right"/>
              <w:ind w:right="708"/>
              <w:spacing w:after="0"/>
              <w:rPr>
                <w:sz w:val="20"/>
                <w:szCs w:val="20"/>
                <w:color w:val="auto"/>
              </w:rPr>
            </w:pPr>
            <w:r>
              <w:rPr>
                <w:rFonts w:ascii="Arial" w:cs="Arial" w:eastAsia="Arial" w:hAnsi="Arial"/>
                <w:sz w:val="22"/>
                <w:szCs w:val="22"/>
                <w:b w:val="1"/>
                <w:bCs w:val="1"/>
                <w:color w:val="auto"/>
              </w:rPr>
              <w:t>59-2459427</w:t>
            </w:r>
          </w:p>
        </w:tc>
      </w:tr>
      <w:tr>
        <w:trPr>
          <w:trHeight w:val="207"/>
        </w:trPr>
        <w:tc>
          <w:tcPr>
            <w:tcW w:w="3720" w:type="dxa"/>
            <w:vAlign w:val="bottom"/>
            <w:gridSpan w:val="2"/>
          </w:tcPr>
          <w:p>
            <w:pPr>
              <w:jc w:val="right"/>
              <w:ind w:right="732"/>
              <w:spacing w:after="0"/>
              <w:rPr>
                <w:sz w:val="20"/>
                <w:szCs w:val="20"/>
                <w:color w:val="auto"/>
              </w:rPr>
            </w:pPr>
            <w:r>
              <w:rPr>
                <w:rFonts w:ascii="Arial" w:cs="Arial" w:eastAsia="Arial" w:hAnsi="Arial"/>
                <w:sz w:val="14"/>
                <w:szCs w:val="14"/>
                <w:b w:val="1"/>
                <w:bCs w:val="1"/>
                <w:color w:val="auto"/>
                <w:w w:val="98"/>
              </w:rPr>
              <w:t>(State or other jurisdiction of incorporation)</w:t>
            </w:r>
          </w:p>
        </w:tc>
        <w:tc>
          <w:tcPr>
            <w:tcW w:w="3460" w:type="dxa"/>
            <w:vAlign w:val="bottom"/>
          </w:tcPr>
          <w:p>
            <w:pPr>
              <w:jc w:val="center"/>
              <w:spacing w:after="0"/>
              <w:rPr>
                <w:sz w:val="20"/>
                <w:szCs w:val="20"/>
                <w:color w:val="auto"/>
              </w:rPr>
            </w:pPr>
            <w:r>
              <w:rPr>
                <w:rFonts w:ascii="Arial" w:cs="Arial" w:eastAsia="Arial" w:hAnsi="Arial"/>
                <w:sz w:val="14"/>
                <w:szCs w:val="14"/>
                <w:b w:val="1"/>
                <w:bCs w:val="1"/>
                <w:color w:val="auto"/>
                <w:w w:val="93"/>
              </w:rPr>
              <w:t>(Commission File Number)</w:t>
            </w:r>
          </w:p>
        </w:tc>
        <w:tc>
          <w:tcPr>
            <w:tcW w:w="3300" w:type="dxa"/>
            <w:vAlign w:val="bottom"/>
          </w:tcPr>
          <w:p>
            <w:pPr>
              <w:jc w:val="center"/>
              <w:ind w:left="568"/>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643"/>
        </w:trPr>
        <w:tc>
          <w:tcPr>
            <w:tcW w:w="2400" w:type="dxa"/>
            <w:vAlign w:val="bottom"/>
          </w:tcPr>
          <w:p>
            <w:pPr>
              <w:spacing w:after="0"/>
              <w:rPr>
                <w:sz w:val="20"/>
                <w:szCs w:val="20"/>
                <w:color w:val="auto"/>
              </w:rPr>
            </w:pPr>
            <w:r>
              <w:rPr>
                <w:rFonts w:ascii="Arial" w:cs="Arial" w:eastAsia="Arial" w:hAnsi="Arial"/>
                <w:sz w:val="22"/>
                <w:szCs w:val="22"/>
                <w:b w:val="1"/>
                <w:bCs w:val="1"/>
                <w:color w:val="auto"/>
              </w:rPr>
              <w:t>9800 N.W. 41st Street,</w:t>
            </w:r>
          </w:p>
        </w:tc>
        <w:tc>
          <w:tcPr>
            <w:tcW w:w="1320" w:type="dxa"/>
            <w:vAlign w:val="bottom"/>
          </w:tcPr>
          <w:p>
            <w:pPr>
              <w:jc w:val="right"/>
              <w:ind w:right="172"/>
              <w:spacing w:after="0"/>
              <w:rPr>
                <w:sz w:val="20"/>
                <w:szCs w:val="20"/>
                <w:color w:val="auto"/>
              </w:rPr>
            </w:pPr>
            <w:r>
              <w:rPr>
                <w:rFonts w:ascii="Arial" w:cs="Arial" w:eastAsia="Arial" w:hAnsi="Arial"/>
                <w:sz w:val="22"/>
                <w:szCs w:val="22"/>
                <w:b w:val="1"/>
                <w:bCs w:val="1"/>
                <w:color w:val="auto"/>
              </w:rPr>
              <w:t>Miami,</w:t>
            </w:r>
          </w:p>
        </w:tc>
        <w:tc>
          <w:tcPr>
            <w:tcW w:w="3460" w:type="dxa"/>
            <w:vAlign w:val="bottom"/>
          </w:tcPr>
          <w:p>
            <w:pPr>
              <w:ind w:left="280"/>
              <w:spacing w:after="0"/>
              <w:rPr>
                <w:sz w:val="20"/>
                <w:szCs w:val="20"/>
                <w:color w:val="auto"/>
              </w:rPr>
            </w:pPr>
            <w:r>
              <w:rPr>
                <w:rFonts w:ascii="Arial" w:cs="Arial" w:eastAsia="Arial" w:hAnsi="Arial"/>
                <w:sz w:val="22"/>
                <w:szCs w:val="22"/>
                <w:b w:val="1"/>
                <w:bCs w:val="1"/>
                <w:color w:val="auto"/>
              </w:rPr>
              <w:t>Florida</w:t>
            </w:r>
          </w:p>
        </w:tc>
        <w:tc>
          <w:tcPr>
            <w:tcW w:w="3300" w:type="dxa"/>
            <w:vAlign w:val="bottom"/>
          </w:tcPr>
          <w:p>
            <w:pPr>
              <w:jc w:val="right"/>
              <w:ind w:right="8"/>
              <w:spacing w:after="0"/>
              <w:rPr>
                <w:sz w:val="20"/>
                <w:szCs w:val="20"/>
                <w:color w:val="auto"/>
              </w:rPr>
            </w:pPr>
            <w:r>
              <w:rPr>
                <w:rFonts w:ascii="Arial" w:cs="Arial" w:eastAsia="Arial" w:hAnsi="Arial"/>
                <w:sz w:val="22"/>
                <w:szCs w:val="22"/>
                <w:b w:val="1"/>
                <w:bCs w:val="1"/>
                <w:color w:val="auto"/>
              </w:rPr>
              <w:t>33178</w:t>
            </w:r>
          </w:p>
        </w:tc>
      </w:tr>
      <w:tr>
        <w:trPr>
          <w:trHeight w:val="302"/>
        </w:trPr>
        <w:tc>
          <w:tcPr>
            <w:tcW w:w="3720" w:type="dxa"/>
            <w:vAlign w:val="bottom"/>
            <w:gridSpan w:val="2"/>
          </w:tcPr>
          <w:p>
            <w:pPr>
              <w:jc w:val="right"/>
              <w:ind w:right="172"/>
              <w:spacing w:after="0"/>
              <w:rPr>
                <w:sz w:val="20"/>
                <w:szCs w:val="20"/>
                <w:color w:val="auto"/>
              </w:rPr>
            </w:pPr>
            <w:r>
              <w:rPr>
                <w:rFonts w:ascii="Arial" w:cs="Arial" w:eastAsia="Arial" w:hAnsi="Arial"/>
                <w:sz w:val="14"/>
                <w:szCs w:val="14"/>
                <w:b w:val="1"/>
                <w:bCs w:val="1"/>
                <w:color w:val="auto"/>
              </w:rPr>
              <w:t>(Address of principal executive offices)</w:t>
            </w:r>
          </w:p>
        </w:tc>
        <w:tc>
          <w:tcPr>
            <w:tcW w:w="3460" w:type="dxa"/>
            <w:vAlign w:val="bottom"/>
          </w:tcPr>
          <w:p>
            <w:pPr>
              <w:spacing w:after="0"/>
              <w:rPr>
                <w:sz w:val="24"/>
                <w:szCs w:val="24"/>
                <w:color w:val="auto"/>
              </w:rPr>
            </w:pPr>
          </w:p>
        </w:tc>
        <w:tc>
          <w:tcPr>
            <w:tcW w:w="3300" w:type="dxa"/>
            <w:vAlign w:val="bottom"/>
          </w:tcPr>
          <w:p>
            <w:pPr>
              <w:jc w:val="center"/>
              <w:ind w:left="2468"/>
              <w:spacing w:after="0"/>
              <w:rPr>
                <w:sz w:val="20"/>
                <w:szCs w:val="20"/>
                <w:color w:val="auto"/>
              </w:rPr>
            </w:pPr>
            <w:r>
              <w:rPr>
                <w:rFonts w:ascii="Arial" w:cs="Arial" w:eastAsia="Arial" w:hAnsi="Arial"/>
                <w:sz w:val="16"/>
                <w:szCs w:val="16"/>
                <w:b w:val="1"/>
                <w:bCs w:val="1"/>
                <w:color w:val="auto"/>
                <w:w w:val="93"/>
              </w:rPr>
              <w:t>(Zip Code)</w:t>
            </w:r>
          </w:p>
        </w:tc>
      </w:tr>
    </w:tbl>
    <w:p>
      <w:pPr>
        <w:spacing w:after="0" w:line="21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(305) 428-8000</w:t>
      </w:r>
    </w:p>
    <w:p>
      <w:pPr>
        <w:spacing w:after="0" w:line="229" w:lineRule="exact"/>
        <w:rPr>
          <w:sz w:val="24"/>
          <w:szCs w:val="24"/>
          <w:color w:val="auto"/>
        </w:rPr>
      </w:pPr>
    </w:p>
    <w:p>
      <w:pPr>
        <w:ind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38"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Written communications pursuant to Rule 425 under Securities Act (17 CFR 230.425)</w:t>
      </w:r>
    </w:p>
    <w:p>
      <w:pPr>
        <w:spacing w:after="0" w:line="58"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Soliciting material pursuant to Rule 14a-12 under the Exchange Act (17 CFR 240.14-12)</w:t>
      </w:r>
    </w:p>
    <w:p>
      <w:pPr>
        <w:spacing w:after="0" w:line="2"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Pre-commencement communications pursuant to Rule 14d-2(b) under the Exchange Act (17 CFR 240.14d-2(b))</w:t>
      </w:r>
    </w:p>
    <w:p>
      <w:pPr>
        <w:spacing w:after="0" w:line="16" w:lineRule="exact"/>
        <w:rPr>
          <w:sz w:val="24"/>
          <w:szCs w:val="24"/>
          <w:color w:val="auto"/>
        </w:rPr>
      </w:pPr>
    </w:p>
    <w:p>
      <w:pPr>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Pre-commencement communications pursuant to Rule 13e-4(c) under the Exchange Act (17 CFR 240.13e-4(c))</w:t>
      </w:r>
    </w:p>
    <w:p>
      <w:pPr>
        <w:spacing w:after="0" w:line="394" w:lineRule="exact"/>
        <w:rPr>
          <w:sz w:val="24"/>
          <w:szCs w:val="24"/>
          <w:color w:val="auto"/>
        </w:rPr>
      </w:pPr>
    </w:p>
    <w:tbl>
      <w:tblPr>
        <w:tblLayout w:type="fixed"/>
        <w:tblInd w:w="1020" w:type="dxa"/>
        <w:tblCellMar>
          <w:top w:w="0" w:type="dxa"/>
          <w:left w:w="0" w:type="dxa"/>
          <w:bottom w:w="0" w:type="dxa"/>
          <w:right w:w="0" w:type="dxa"/>
        </w:tblCellMar>
      </w:tblPr>
      <w:tr>
        <w:trPr>
          <w:trHeight w:val="207"/>
        </w:trPr>
        <w:tc>
          <w:tcPr>
            <w:tcW w:w="880" w:type="dxa"/>
            <w:vAlign w:val="bottom"/>
          </w:tcPr>
          <w:p>
            <w:pPr>
              <w:spacing w:after="0"/>
              <w:rPr>
                <w:sz w:val="18"/>
                <w:szCs w:val="18"/>
                <w:color w:val="auto"/>
              </w:rPr>
            </w:pPr>
          </w:p>
        </w:tc>
        <w:tc>
          <w:tcPr>
            <w:tcW w:w="2800" w:type="dxa"/>
            <w:vAlign w:val="bottom"/>
            <w:gridSpan w:val="2"/>
          </w:tcPr>
          <w:p>
            <w:pPr>
              <w:jc w:val="center"/>
              <w:ind w:right="1520"/>
              <w:spacing w:after="0"/>
              <w:rPr>
                <w:sz w:val="20"/>
                <w:szCs w:val="20"/>
                <w:color w:val="auto"/>
              </w:rPr>
            </w:pPr>
            <w:r>
              <w:rPr>
                <w:rFonts w:ascii="Arial" w:cs="Arial" w:eastAsia="Arial" w:hAnsi="Arial"/>
                <w:sz w:val="18"/>
                <w:szCs w:val="18"/>
                <w:color w:val="auto"/>
                <w:w w:val="88"/>
              </w:rPr>
              <w:t>Title of each class</w:t>
            </w:r>
          </w:p>
        </w:tc>
        <w:tc>
          <w:tcPr>
            <w:tcW w:w="2820" w:type="dxa"/>
            <w:vAlign w:val="bottom"/>
            <w:gridSpan w:val="3"/>
          </w:tcPr>
          <w:p>
            <w:pPr>
              <w:jc w:val="center"/>
              <w:ind w:right="180"/>
              <w:spacing w:after="0"/>
              <w:rPr>
                <w:sz w:val="20"/>
                <w:szCs w:val="20"/>
                <w:color w:val="auto"/>
              </w:rPr>
            </w:pPr>
            <w:r>
              <w:rPr>
                <w:rFonts w:ascii="Arial" w:cs="Arial" w:eastAsia="Arial" w:hAnsi="Arial"/>
                <w:sz w:val="18"/>
                <w:szCs w:val="18"/>
                <w:color w:val="auto"/>
                <w:w w:val="92"/>
              </w:rPr>
              <w:t>Trading Symbol(s)</w:t>
            </w:r>
          </w:p>
        </w:tc>
        <w:tc>
          <w:tcPr>
            <w:tcW w:w="318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0"/>
        </w:trPr>
        <w:tc>
          <w:tcPr>
            <w:tcW w:w="88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3180" w:type="dxa"/>
            <w:vAlign w:val="bottom"/>
            <w:shd w:val="clear" w:color="auto" w:fill="000000"/>
          </w:tcPr>
          <w:p>
            <w:pPr>
              <w:spacing w:after="0" w:line="20" w:lineRule="exact"/>
              <w:rPr>
                <w:sz w:val="1"/>
                <w:szCs w:val="1"/>
                <w:color w:val="auto"/>
              </w:rPr>
            </w:pPr>
          </w:p>
        </w:tc>
      </w:tr>
      <w:tr>
        <w:trPr>
          <w:trHeight w:val="480"/>
        </w:trPr>
        <w:tc>
          <w:tcPr>
            <w:tcW w:w="3680" w:type="dxa"/>
            <w:vAlign w:val="bottom"/>
            <w:gridSpan w:val="3"/>
          </w:tcPr>
          <w:p>
            <w:pPr>
              <w:jc w:val="center"/>
              <w:ind w:right="640"/>
              <w:spacing w:after="0"/>
              <w:rPr>
                <w:sz w:val="20"/>
                <w:szCs w:val="20"/>
                <w:color w:val="auto"/>
              </w:rPr>
            </w:pPr>
            <w:r>
              <w:rPr>
                <w:rFonts w:ascii="Arial" w:cs="Arial" w:eastAsia="Arial" w:hAnsi="Arial"/>
                <w:sz w:val="18"/>
                <w:szCs w:val="18"/>
                <w:color w:val="auto"/>
                <w:w w:val="89"/>
              </w:rPr>
              <w:t>Common Stock, par value $0.01 per share</w:t>
            </w:r>
          </w:p>
        </w:tc>
        <w:tc>
          <w:tcPr>
            <w:tcW w:w="640" w:type="dxa"/>
            <w:vAlign w:val="bottom"/>
          </w:tcPr>
          <w:p>
            <w:pPr>
              <w:spacing w:after="0"/>
              <w:rPr>
                <w:sz w:val="24"/>
                <w:szCs w:val="24"/>
                <w:color w:val="auto"/>
              </w:rPr>
            </w:pPr>
          </w:p>
        </w:tc>
        <w:tc>
          <w:tcPr>
            <w:tcW w:w="2180" w:type="dxa"/>
            <w:vAlign w:val="bottom"/>
            <w:gridSpan w:val="2"/>
          </w:tcPr>
          <w:p>
            <w:pPr>
              <w:jc w:val="center"/>
              <w:ind w:right="800"/>
              <w:spacing w:after="0"/>
              <w:rPr>
                <w:sz w:val="20"/>
                <w:szCs w:val="20"/>
                <w:color w:val="auto"/>
              </w:rPr>
            </w:pPr>
            <w:r>
              <w:rPr>
                <w:rFonts w:ascii="Arial" w:cs="Arial" w:eastAsia="Arial" w:hAnsi="Arial"/>
                <w:sz w:val="18"/>
                <w:szCs w:val="18"/>
                <w:color w:val="auto"/>
              </w:rPr>
              <w:t>INT</w:t>
            </w:r>
          </w:p>
        </w:tc>
        <w:tc>
          <w:tcPr>
            <w:tcW w:w="3180" w:type="dxa"/>
            <w:vAlign w:val="bottom"/>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96" w:lineRule="exact"/>
        <w:rPr>
          <w:sz w:val="24"/>
          <w:szCs w:val="24"/>
          <w:color w:val="auto"/>
        </w:rPr>
      </w:pPr>
    </w:p>
    <w:p>
      <w:pPr>
        <w:ind w:firstLine="648"/>
        <w:spacing w:after="0" w:line="267" w:lineRule="exact"/>
        <w:rPr>
          <w:sz w:val="20"/>
          <w:szCs w:val="20"/>
          <w:color w:val="auto"/>
        </w:rPr>
      </w:pPr>
      <w:r>
        <w:rPr>
          <w:rFonts w:ascii="Arial" w:cs="Arial" w:eastAsia="Arial" w:hAnsi="Arial"/>
          <w:sz w:val="18"/>
          <w:szCs w:val="18"/>
          <w:color w:val="auto"/>
        </w:rPr>
        <w:t xml:space="preserve">Indicate by check mark whether the registrant is an emerging growth company as defined in Rule 405 of the Securities Act of 1933 (§230.405 of this chapter) or Rule 12b-2 of the Securities Exchange Act of 1934 (§240.12b-2 of this chapter). Emerging growth company </w:t>
      </w:r>
      <w:r>
        <w:rPr>
          <w:rFonts w:ascii="MS PGothic" w:cs="MS PGothic" w:eastAsia="MS PGothic" w:hAnsi="MS PGothic"/>
          <w:sz w:val="21"/>
          <w:szCs w:val="21"/>
          <w:color w:val="auto"/>
        </w:rPr>
        <w:t>☐</w:t>
      </w:r>
    </w:p>
    <w:p>
      <w:pPr>
        <w:spacing w:after="0" w:line="183" w:lineRule="exact"/>
        <w:rPr>
          <w:sz w:val="24"/>
          <w:szCs w:val="24"/>
          <w:color w:val="auto"/>
        </w:rPr>
      </w:pPr>
    </w:p>
    <w:p>
      <w:pPr>
        <w:ind w:firstLine="648"/>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240"/>
          </w:cols>
          <w:pgMar w:left="320" w:top="652" w:right="33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7.01. Regulation FD Disclosure</w:t>
      </w:r>
    </w:p>
    <w:p>
      <w:pPr>
        <w:spacing w:after="0" w:line="260"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following information is provided pursuant to Item 7.01 of Form 8-K, “Regulation FD Disclosure” and Item 2.02 of Form 8-K, “Results of Operations and Financial Condition.”</w:t>
      </w:r>
    </w:p>
    <w:p>
      <w:pPr>
        <w:spacing w:after="0" w:line="211"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April 30, 2020, World Fuel Services Corporation (the “Company”) issued a press release reporting its financial results for the first quarter ended March 31, 2020. A copy of the press release is attached hereto as Exhibit 99.1.</w:t>
      </w:r>
    </w:p>
    <w:p>
      <w:pPr>
        <w:spacing w:after="0" w:line="17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This information and the information contained in Exhibit 99.1 shall not be deemed “filed” for purposes of Section 18 of the Securities Exchange Act of 1934, as amended (the “Exchange Act”), or incorporated by reference in any filing under the Securities Act of 1933, as amended, or the Exchange Act, except as may be expressly set forth by specific reference in any such filing.</w:t>
      </w:r>
    </w:p>
    <w:p>
      <w:pPr>
        <w:spacing w:after="0" w:line="2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 Exhibits</w:t>
      </w:r>
    </w:p>
    <w:p>
      <w:pPr>
        <w:spacing w:after="0" w:line="200" w:lineRule="exact"/>
        <w:rPr>
          <w:sz w:val="20"/>
          <w:szCs w:val="20"/>
          <w:color w:val="auto"/>
        </w:rPr>
      </w:pPr>
    </w:p>
    <w:p>
      <w:pPr>
        <w:spacing w:after="0" w:line="332"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880" w:type="dxa"/>
            <w:vAlign w:val="bottom"/>
          </w:tcPr>
          <w:p>
            <w:pPr>
              <w:spacing w:after="0"/>
              <w:rPr>
                <w:sz w:val="20"/>
                <w:szCs w:val="20"/>
                <w:color w:val="auto"/>
              </w:rPr>
            </w:pPr>
            <w:r>
              <w:rPr>
                <w:rFonts w:ascii="Arial" w:cs="Arial" w:eastAsia="Arial" w:hAnsi="Arial"/>
                <w:sz w:val="18"/>
                <w:szCs w:val="18"/>
                <w:b w:val="1"/>
                <w:bCs w:val="1"/>
                <w:color w:val="auto"/>
                <w:w w:val="91"/>
              </w:rPr>
              <w:t>Exhibit No.</w:t>
            </w:r>
          </w:p>
        </w:tc>
        <w:tc>
          <w:tcPr>
            <w:tcW w:w="2060" w:type="dxa"/>
            <w:vAlign w:val="bottom"/>
          </w:tcPr>
          <w:p>
            <w:pPr>
              <w:spacing w:after="0"/>
              <w:rPr>
                <w:sz w:val="17"/>
                <w:szCs w:val="17"/>
                <w:color w:val="auto"/>
              </w:rPr>
            </w:pPr>
          </w:p>
        </w:tc>
        <w:tc>
          <w:tcPr>
            <w:tcW w:w="256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880" w:type="dxa"/>
            <w:vAlign w:val="bottom"/>
            <w:shd w:val="clear" w:color="auto" w:fill="000000"/>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r>
      <w:tr>
        <w:trPr>
          <w:trHeight w:val="290"/>
        </w:trPr>
        <w:tc>
          <w:tcPr>
            <w:tcW w:w="880" w:type="dxa"/>
            <w:vAlign w:val="bottom"/>
          </w:tcPr>
          <w:p>
            <w:pPr>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99.1</w:t>
              </w:r>
            </w:hyperlink>
          </w:p>
        </w:tc>
        <w:tc>
          <w:tcPr>
            <w:tcW w:w="2060" w:type="dxa"/>
            <w:vAlign w:val="bottom"/>
          </w:tcPr>
          <w:p>
            <w:pPr>
              <w:spacing w:after="0"/>
              <w:rPr>
                <w:sz w:val="24"/>
                <w:szCs w:val="24"/>
                <w:color w:val="auto"/>
              </w:rPr>
            </w:pPr>
          </w:p>
        </w:tc>
        <w:tc>
          <w:tcPr>
            <w:tcW w:w="2560" w:type="dxa"/>
            <w:vAlign w:val="bottom"/>
            <w:gridSpan w:val="2"/>
          </w:tcPr>
          <w:p>
            <w:pPr>
              <w:spacing w:after="0"/>
              <w:rPr>
                <w:sz w:val="20"/>
                <w:szCs w:val="20"/>
                <w:color w:val="auto"/>
              </w:rPr>
            </w:pPr>
            <w:r>
              <w:rPr>
                <w:rFonts w:ascii="Arial" w:cs="Arial" w:eastAsia="Arial" w:hAnsi="Arial"/>
                <w:sz w:val="18"/>
                <w:szCs w:val="18"/>
                <w:color w:val="auto"/>
                <w:w w:val="88"/>
              </w:rPr>
              <w:t>Press Release, dated April 30, 2020</w:t>
            </w:r>
          </w:p>
        </w:tc>
      </w:tr>
    </w:tbl>
    <w:p>
      <w:pPr>
        <w:sectPr>
          <w:pgSz w:w="11900" w:h="16838" w:orient="portrait"/>
          <w:cols w:equalWidth="0" w:num="1">
            <w:col w:w="11240"/>
          </w:cols>
          <w:pgMar w:left="320" w:top="558"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color w:val="auto"/>
        </w:rPr>
        <w:t>SIGNATURES</w:t>
      </w:r>
    </w:p>
    <w:p>
      <w:pPr>
        <w:spacing w:after="0" w:line="13" w:lineRule="exact"/>
        <w:rPr>
          <w:sz w:val="20"/>
          <w:szCs w:val="20"/>
          <w:color w:val="auto"/>
        </w:rPr>
      </w:pPr>
    </w:p>
    <w:p>
      <w:pPr>
        <w:ind w:firstLine="648"/>
        <w:spacing w:after="0" w:line="25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40"/>
        <w:spacing w:after="0"/>
        <w:tabs>
          <w:tab w:leader="none" w:pos="5860" w:val="left"/>
        </w:tabs>
        <w:rPr>
          <w:sz w:val="20"/>
          <w:szCs w:val="20"/>
          <w:color w:val="auto"/>
        </w:rPr>
      </w:pPr>
      <w:r>
        <w:rPr>
          <w:rFonts w:ascii="Arial" w:cs="Arial" w:eastAsia="Arial" w:hAnsi="Arial"/>
          <w:sz w:val="18"/>
          <w:szCs w:val="18"/>
          <w:color w:val="auto"/>
        </w:rPr>
        <w:t>Date: April 30, 2020</w:t>
      </w:r>
      <w:r>
        <w:rPr>
          <w:sz w:val="20"/>
          <w:szCs w:val="20"/>
          <w:color w:val="auto"/>
        </w:rPr>
        <w:tab/>
      </w:r>
      <w:r>
        <w:rPr>
          <w:rFonts w:ascii="Arial" w:cs="Arial" w:eastAsia="Arial" w:hAnsi="Arial"/>
          <w:sz w:val="16"/>
          <w:szCs w:val="16"/>
          <w:b w:val="1"/>
          <w:bCs w:val="1"/>
          <w:color w:val="auto"/>
        </w:rPr>
        <w:t>World Fuel Services Corporation</w:t>
      </w:r>
    </w:p>
    <w:p>
      <w:pPr>
        <w:spacing w:after="0" w:line="337"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/s/ Ira M. Birns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3716655</wp:posOffset>
            </wp:positionH>
            <wp:positionV relativeFrom="paragraph">
              <wp:posOffset>31750</wp:posOffset>
            </wp:positionV>
            <wp:extent cx="342011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420110" cy="8255"/>
                    </a:xfrm>
                    <a:prstGeom prst="rect">
                      <a:avLst/>
                    </a:prstGeom>
                    <a:noFill/>
                  </pic:spPr>
                </pic:pic>
              </a:graphicData>
            </a:graphic>
          </wp:anchor>
        </w:drawing>
      </w:r>
    </w:p>
    <w:p>
      <w:pPr>
        <w:spacing w:after="0" w:line="57"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Ira M. Birns</w:t>
      </w:r>
    </w:p>
    <w:p>
      <w:pPr>
        <w:spacing w:after="0" w:line="63" w:lineRule="exact"/>
        <w:rPr>
          <w:sz w:val="20"/>
          <w:szCs w:val="20"/>
          <w:color w:val="auto"/>
        </w:rPr>
      </w:pPr>
    </w:p>
    <w:p>
      <w:pPr>
        <w:ind w:left="5880"/>
        <w:spacing w:after="0"/>
        <w:rPr>
          <w:sz w:val="20"/>
          <w:szCs w:val="20"/>
          <w:color w:val="auto"/>
        </w:rPr>
      </w:pPr>
      <w:r>
        <w:rPr>
          <w:rFonts w:ascii="Arial" w:cs="Arial" w:eastAsia="Arial" w:hAnsi="Arial"/>
          <w:sz w:val="18"/>
          <w:szCs w:val="18"/>
          <w:color w:val="auto"/>
        </w:rPr>
        <w:t>Executive Vice President and Chief Financial Officer</w:t>
      </w:r>
    </w:p>
    <w:p>
      <w:pPr>
        <w:sectPr>
          <w:pgSz w:w="11900" w:h="16838" w:orient="portrait"/>
          <w:cols w:equalWidth="0" w:num="1">
            <w:col w:w="11240"/>
          </w:cols>
          <w:pgMar w:left="320" w:top="874"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74"/>
        </w:trPr>
        <w:tc>
          <w:tcPr>
            <w:tcW w:w="270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7960" w:type="dxa"/>
            <w:vAlign w:val="bottom"/>
          </w:tcPr>
          <w:p>
            <w:pPr>
              <w:ind w:left="1540"/>
              <w:spacing w:after="0"/>
              <w:rPr>
                <w:sz w:val="20"/>
                <w:szCs w:val="20"/>
                <w:color w:val="auto"/>
              </w:rPr>
            </w:pPr>
            <w:r>
              <w:rPr>
                <w:rFonts w:ascii="Arial" w:cs="Arial" w:eastAsia="Arial" w:hAnsi="Arial"/>
                <w:sz w:val="22"/>
                <w:szCs w:val="22"/>
                <w:color w:val="auto"/>
              </w:rPr>
              <w:t>EXHIBIT INDEX</w:t>
            </w:r>
          </w:p>
        </w:tc>
      </w:tr>
      <w:tr>
        <w:trPr>
          <w:trHeight w:val="624"/>
        </w:trPr>
        <w:tc>
          <w:tcPr>
            <w:tcW w:w="3280" w:type="dxa"/>
            <w:vAlign w:val="bottom"/>
            <w:gridSpan w:val="2"/>
          </w:tcPr>
          <w:p>
            <w:pPr>
              <w:ind w:left="40"/>
              <w:spacing w:after="0"/>
              <w:rPr>
                <w:sz w:val="20"/>
                <w:szCs w:val="20"/>
                <w:color w:val="auto"/>
              </w:rPr>
            </w:pPr>
            <w:r>
              <w:rPr>
                <w:rFonts w:ascii="Arial" w:cs="Arial" w:eastAsia="Arial" w:hAnsi="Arial"/>
                <w:sz w:val="18"/>
                <w:szCs w:val="18"/>
                <w:color w:val="auto"/>
              </w:rPr>
              <w:t>Exhibit No.</w:t>
            </w:r>
          </w:p>
        </w:tc>
        <w:tc>
          <w:tcPr>
            <w:tcW w:w="7960" w:type="dxa"/>
            <w:vAlign w:val="bottom"/>
          </w:tcPr>
          <w:p>
            <w:pPr>
              <w:ind w:left="20"/>
              <w:spacing w:after="0"/>
              <w:rPr>
                <w:sz w:val="20"/>
                <w:szCs w:val="20"/>
                <w:color w:val="auto"/>
              </w:rPr>
            </w:pPr>
            <w:r>
              <w:rPr>
                <w:rFonts w:ascii="Arial" w:cs="Arial" w:eastAsia="Arial" w:hAnsi="Arial"/>
                <w:sz w:val="18"/>
                <w:szCs w:val="18"/>
                <w:color w:val="auto"/>
              </w:rPr>
              <w:t>Description</w:t>
            </w:r>
          </w:p>
        </w:tc>
      </w:tr>
      <w:tr>
        <w:trPr>
          <w:trHeight w:val="27"/>
        </w:trPr>
        <w:tc>
          <w:tcPr>
            <w:tcW w:w="2700" w:type="dxa"/>
            <w:vAlign w:val="bottom"/>
            <w:tcBorders>
              <w:bottom w:val="single" w:sz="8" w:color="auto"/>
            </w:tcBorders>
          </w:tcPr>
          <w:p>
            <w:pPr>
              <w:spacing w:after="0"/>
              <w:rPr>
                <w:sz w:val="2"/>
                <w:szCs w:val="2"/>
                <w:color w:val="auto"/>
              </w:rPr>
            </w:pPr>
          </w:p>
        </w:tc>
        <w:tc>
          <w:tcPr>
            <w:tcW w:w="580" w:type="dxa"/>
            <w:vAlign w:val="bottom"/>
          </w:tcPr>
          <w:p>
            <w:pPr>
              <w:spacing w:after="0"/>
              <w:rPr>
                <w:sz w:val="2"/>
                <w:szCs w:val="2"/>
                <w:color w:val="auto"/>
              </w:rPr>
            </w:pPr>
          </w:p>
        </w:tc>
        <w:tc>
          <w:tcPr>
            <w:tcW w:w="7960" w:type="dxa"/>
            <w:vAlign w:val="bottom"/>
            <w:tcBorders>
              <w:bottom w:val="single" w:sz="8" w:color="auto"/>
            </w:tcBorders>
          </w:tcPr>
          <w:p>
            <w:pPr>
              <w:spacing w:after="0"/>
              <w:rPr>
                <w:sz w:val="2"/>
                <w:szCs w:val="2"/>
                <w:color w:val="auto"/>
              </w:rPr>
            </w:pPr>
          </w:p>
        </w:tc>
      </w:tr>
      <w:tr>
        <w:trPr>
          <w:trHeight w:val="250"/>
        </w:trPr>
        <w:tc>
          <w:tcPr>
            <w:tcW w:w="2700" w:type="dxa"/>
            <w:vAlign w:val="bottom"/>
          </w:tcPr>
          <w:p>
            <w:pPr>
              <w:ind w:left="40"/>
              <w:spacing w:after="0"/>
              <w:rPr>
                <w:rFonts w:ascii="Arial" w:cs="Arial" w:eastAsia="Arial" w:hAnsi="Arial"/>
                <w:sz w:val="18"/>
                <w:szCs w:val="18"/>
                <w:u w:val="single" w:color="auto"/>
                <w:color w:val="0000FF"/>
              </w:rPr>
            </w:pPr>
            <w:hyperlink w:anchor="page5">
              <w:r>
                <w:rPr>
                  <w:rFonts w:ascii="Arial" w:cs="Arial" w:eastAsia="Arial" w:hAnsi="Arial"/>
                  <w:sz w:val="18"/>
                  <w:szCs w:val="18"/>
                  <w:u w:val="single" w:color="auto"/>
                  <w:color w:val="0000FF"/>
                </w:rPr>
                <w:t>99.1</w:t>
              </w:r>
            </w:hyperlink>
          </w:p>
        </w:tc>
        <w:tc>
          <w:tcPr>
            <w:tcW w:w="580" w:type="dxa"/>
            <w:vAlign w:val="bottom"/>
          </w:tcPr>
          <w:p>
            <w:pPr>
              <w:spacing w:after="0"/>
              <w:rPr>
                <w:sz w:val="21"/>
                <w:szCs w:val="21"/>
                <w:color w:val="auto"/>
              </w:rPr>
            </w:pPr>
          </w:p>
        </w:tc>
        <w:tc>
          <w:tcPr>
            <w:tcW w:w="7960" w:type="dxa"/>
            <w:vAlign w:val="bottom"/>
          </w:tcPr>
          <w:p>
            <w:pPr>
              <w:ind w:left="20"/>
              <w:spacing w:after="0"/>
              <w:rPr>
                <w:sz w:val="20"/>
                <w:szCs w:val="20"/>
                <w:color w:val="auto"/>
              </w:rPr>
            </w:pPr>
            <w:r>
              <w:rPr>
                <w:rFonts w:ascii="Arial" w:cs="Arial" w:eastAsia="Arial" w:hAnsi="Arial"/>
                <w:sz w:val="18"/>
                <w:szCs w:val="18"/>
                <w:color w:val="auto"/>
              </w:rPr>
              <w:t>Press Release, dated April 30, 2020</w:t>
            </w:r>
          </w:p>
        </w:tc>
      </w:tr>
    </w:tbl>
    <w:p>
      <w:pPr>
        <w:sectPr>
          <w:pgSz w:w="11900" w:h="16838" w:orient="portrait"/>
          <w:cols w:equalWidth="0" w:num="1">
            <w:col w:w="11240"/>
          </w:cols>
          <w:pgMar w:left="320" w:top="564" w:right="339" w:bottom="1440" w:gutter="0" w:footer="0" w:header="0"/>
        </w:sectPr>
      </w:pPr>
    </w:p>
    <w:bookmarkStart w:id="4" w:name="page5"/>
    <w:bookmarkEnd w:id="4"/>
    <w:p>
      <w:pPr>
        <w:jc w:val="right"/>
        <w:spacing w:after="0"/>
        <w:rPr>
          <w:sz w:val="20"/>
          <w:szCs w:val="20"/>
          <w:color w:val="auto"/>
        </w:rPr>
      </w:pPr>
      <w:r>
        <w:rPr>
          <w:rFonts w:ascii="Arial" w:cs="Arial" w:eastAsia="Arial" w:hAnsi="Arial"/>
          <w:sz w:val="20"/>
          <w:szCs w:val="20"/>
          <w:b w:val="1"/>
          <w:bCs w:val="1"/>
          <w:color w:val="auto"/>
        </w:rPr>
        <w:t>Exhibit 99.1</w:t>
      </w:r>
    </w:p>
    <w:p>
      <w:pPr>
        <w:spacing w:after="0" w:line="200" w:lineRule="exact"/>
        <w:rPr>
          <w:sz w:val="20"/>
          <w:szCs w:val="20"/>
          <w:color w:val="auto"/>
        </w:rPr>
      </w:pPr>
    </w:p>
    <w:p>
      <w:pPr>
        <w:spacing w:after="0" w:line="332" w:lineRule="exact"/>
        <w:rPr>
          <w:sz w:val="20"/>
          <w:szCs w:val="20"/>
          <w:color w:val="auto"/>
        </w:rPr>
      </w:pPr>
    </w:p>
    <w:p>
      <w:pPr>
        <w:ind w:left="7560"/>
        <w:spacing w:after="0"/>
        <w:rPr>
          <w:sz w:val="20"/>
          <w:szCs w:val="20"/>
          <w:color w:val="auto"/>
        </w:rPr>
      </w:pPr>
      <w:r>
        <w:rPr>
          <w:rFonts w:ascii="Arial" w:cs="Arial" w:eastAsia="Arial" w:hAnsi="Arial"/>
          <w:sz w:val="20"/>
          <w:szCs w:val="20"/>
          <w:u w:val="single" w:color="auto"/>
          <w:color w:val="auto"/>
        </w:rPr>
        <w:t>Contact: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-40640</wp:posOffset>
            </wp:positionV>
            <wp:extent cx="2322830" cy="9772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322830" cy="977265"/>
                    </a:xfrm>
                    <a:prstGeom prst="rect">
                      <a:avLst/>
                    </a:prstGeom>
                    <a:noFill/>
                  </pic:spPr>
                </pic:pic>
              </a:graphicData>
            </a:graphic>
          </wp:anchor>
        </w:drawing>
      </w:r>
    </w:p>
    <w:p>
      <w:pPr>
        <w:ind w:left="7560"/>
        <w:spacing w:after="0"/>
        <w:rPr>
          <w:sz w:val="20"/>
          <w:szCs w:val="20"/>
          <w:color w:val="auto"/>
        </w:rPr>
      </w:pPr>
      <w:r>
        <w:rPr>
          <w:rFonts w:ascii="Arial" w:cs="Arial" w:eastAsia="Arial" w:hAnsi="Arial"/>
          <w:sz w:val="20"/>
          <w:szCs w:val="20"/>
          <w:color w:val="auto"/>
        </w:rPr>
        <w:t>Ira M. Birns, Executive Vice President &amp;</w:t>
      </w:r>
    </w:p>
    <w:p>
      <w:pPr>
        <w:ind w:left="7560"/>
        <w:spacing w:after="0"/>
        <w:rPr>
          <w:sz w:val="20"/>
          <w:szCs w:val="20"/>
          <w:color w:val="auto"/>
        </w:rPr>
      </w:pPr>
      <w:r>
        <w:rPr>
          <w:rFonts w:ascii="Arial" w:cs="Arial" w:eastAsia="Arial" w:hAnsi="Arial"/>
          <w:sz w:val="20"/>
          <w:szCs w:val="20"/>
          <w:color w:val="auto"/>
        </w:rPr>
        <w:t>Chief Financial Officer</w:t>
      </w:r>
    </w:p>
    <w:p>
      <w:pPr>
        <w:spacing w:after="0" w:line="213" w:lineRule="exact"/>
        <w:rPr>
          <w:sz w:val="20"/>
          <w:szCs w:val="20"/>
          <w:color w:val="auto"/>
        </w:rPr>
      </w:pPr>
    </w:p>
    <w:p>
      <w:pPr>
        <w:ind w:left="7560"/>
        <w:spacing w:after="0"/>
        <w:rPr>
          <w:sz w:val="20"/>
          <w:szCs w:val="20"/>
          <w:color w:val="auto"/>
        </w:rPr>
      </w:pPr>
      <w:r>
        <w:rPr>
          <w:rFonts w:ascii="Arial" w:cs="Arial" w:eastAsia="Arial" w:hAnsi="Arial"/>
          <w:sz w:val="20"/>
          <w:szCs w:val="20"/>
          <w:color w:val="auto"/>
        </w:rPr>
        <w:t>Glenn Klevitz</w:t>
      </w:r>
    </w:p>
    <w:p>
      <w:pPr>
        <w:spacing w:after="0" w:line="15" w:lineRule="exact"/>
        <w:rPr>
          <w:sz w:val="20"/>
          <w:szCs w:val="20"/>
          <w:color w:val="auto"/>
        </w:rPr>
      </w:pPr>
    </w:p>
    <w:p>
      <w:pPr>
        <w:ind w:left="7560"/>
        <w:spacing w:after="0"/>
        <w:rPr>
          <w:sz w:val="20"/>
          <w:szCs w:val="20"/>
          <w:color w:val="auto"/>
        </w:rPr>
      </w:pPr>
      <w:r>
        <w:rPr>
          <w:rFonts w:ascii="Arial" w:cs="Arial" w:eastAsia="Arial" w:hAnsi="Arial"/>
          <w:sz w:val="20"/>
          <w:szCs w:val="20"/>
          <w:color w:val="auto"/>
        </w:rPr>
        <w:t>Vice President, Treasurer &amp; Investor</w:t>
      </w:r>
    </w:p>
    <w:p>
      <w:pPr>
        <w:ind w:left="7560"/>
        <w:spacing w:after="0"/>
        <w:rPr>
          <w:sz w:val="20"/>
          <w:szCs w:val="20"/>
          <w:color w:val="auto"/>
        </w:rPr>
      </w:pPr>
      <w:r>
        <w:rPr>
          <w:rFonts w:ascii="Arial" w:cs="Arial" w:eastAsia="Arial" w:hAnsi="Arial"/>
          <w:sz w:val="20"/>
          <w:szCs w:val="20"/>
          <w:color w:val="auto"/>
        </w:rPr>
        <w:t>Relations</w:t>
      </w:r>
    </w:p>
    <w:p>
      <w:pPr>
        <w:ind w:left="7560"/>
        <w:spacing w:after="0"/>
        <w:rPr>
          <w:sz w:val="20"/>
          <w:szCs w:val="20"/>
          <w:color w:val="auto"/>
        </w:rPr>
      </w:pPr>
      <w:r>
        <w:rPr>
          <w:rFonts w:ascii="Arial" w:cs="Arial" w:eastAsia="Arial" w:hAnsi="Arial"/>
          <w:sz w:val="20"/>
          <w:szCs w:val="20"/>
          <w:color w:val="auto"/>
        </w:rPr>
        <w:t>305-428-8000</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World Fuel Services Corporation Reports First Quarter 2020 Results</w:t>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20"/>
          <w:szCs w:val="20"/>
          <w:color w:val="auto"/>
        </w:rPr>
        <w:t>MIAMI—April 30, 2020 -- World Fuel Services Corporation (NYSE: INT)</w:t>
      </w:r>
    </w:p>
    <w:p>
      <w:pPr>
        <w:spacing w:after="0" w:line="12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First-Quarter 2020 Highlights</w:t>
      </w:r>
    </w:p>
    <w:p>
      <w:pPr>
        <w:spacing w:after="0" w:line="235" w:lineRule="exact"/>
        <w:rPr>
          <w:sz w:val="20"/>
          <w:szCs w:val="20"/>
          <w:color w:val="auto"/>
        </w:rPr>
      </w:pPr>
    </w:p>
    <w:p>
      <w:pPr>
        <w:ind w:left="660" w:hanging="328"/>
        <w:spacing w:after="0"/>
        <w:tabs>
          <w:tab w:leader="none" w:pos="660" w:val="left"/>
        </w:tabs>
        <w:numPr>
          <w:ilvl w:val="0"/>
          <w:numId w:val="1"/>
        </w:numPr>
        <w:rPr>
          <w:rFonts w:ascii="Arial" w:cs="Arial" w:eastAsia="Arial" w:hAnsi="Arial"/>
          <w:sz w:val="20"/>
          <w:szCs w:val="20"/>
          <w:color w:val="auto"/>
        </w:rPr>
      </w:pPr>
      <w:r>
        <w:rPr>
          <w:rFonts w:ascii="Arial" w:cs="Arial" w:eastAsia="Arial" w:hAnsi="Arial"/>
          <w:sz w:val="20"/>
          <w:szCs w:val="20"/>
          <w:color w:val="auto"/>
        </w:rPr>
        <w:t>Total gross profit of $258.7 million, up 3% year-over-year</w:t>
      </w:r>
    </w:p>
    <w:p>
      <w:pPr>
        <w:spacing w:after="0" w:line="15" w:lineRule="exact"/>
        <w:rPr>
          <w:rFonts w:ascii="Arial" w:cs="Arial" w:eastAsia="Arial" w:hAnsi="Arial"/>
          <w:sz w:val="20"/>
          <w:szCs w:val="20"/>
          <w:color w:val="auto"/>
        </w:rPr>
      </w:pPr>
    </w:p>
    <w:p>
      <w:pPr>
        <w:ind w:left="660" w:hanging="328"/>
        <w:spacing w:after="0"/>
        <w:tabs>
          <w:tab w:leader="none" w:pos="660" w:val="left"/>
        </w:tabs>
        <w:numPr>
          <w:ilvl w:val="0"/>
          <w:numId w:val="1"/>
        </w:numPr>
        <w:rPr>
          <w:rFonts w:ascii="Arial" w:cs="Arial" w:eastAsia="Arial" w:hAnsi="Arial"/>
          <w:sz w:val="20"/>
          <w:szCs w:val="20"/>
          <w:color w:val="auto"/>
        </w:rPr>
      </w:pPr>
      <w:r>
        <w:rPr>
          <w:rFonts w:ascii="Arial" w:cs="Arial" w:eastAsia="Arial" w:hAnsi="Arial"/>
          <w:sz w:val="20"/>
          <w:szCs w:val="20"/>
          <w:color w:val="auto"/>
        </w:rPr>
        <w:t>GAAP net income of $41.4 million, or $0.63 per diluted share</w:t>
      </w:r>
    </w:p>
    <w:p>
      <w:pPr>
        <w:ind w:left="660" w:hanging="328"/>
        <w:spacing w:after="0"/>
        <w:tabs>
          <w:tab w:leader="none" w:pos="660" w:val="left"/>
        </w:tabs>
        <w:numPr>
          <w:ilvl w:val="0"/>
          <w:numId w:val="1"/>
        </w:numPr>
        <w:rPr>
          <w:rFonts w:ascii="Arial" w:cs="Arial" w:eastAsia="Arial" w:hAnsi="Arial"/>
          <w:sz w:val="20"/>
          <w:szCs w:val="20"/>
          <w:color w:val="auto"/>
        </w:rPr>
      </w:pPr>
      <w:r>
        <w:rPr>
          <w:rFonts w:ascii="Arial" w:cs="Arial" w:eastAsia="Arial" w:hAnsi="Arial"/>
          <w:sz w:val="20"/>
          <w:szCs w:val="20"/>
          <w:color w:val="auto"/>
        </w:rPr>
        <w:t>Adjusted net income of $43.6 million, or $0.67 per diluted share</w:t>
      </w:r>
    </w:p>
    <w:p>
      <w:pPr>
        <w:ind w:left="660" w:hanging="328"/>
        <w:spacing w:after="0"/>
        <w:tabs>
          <w:tab w:leader="none" w:pos="660" w:val="left"/>
        </w:tabs>
        <w:numPr>
          <w:ilvl w:val="0"/>
          <w:numId w:val="1"/>
        </w:numPr>
        <w:rPr>
          <w:rFonts w:ascii="Arial" w:cs="Arial" w:eastAsia="Arial" w:hAnsi="Arial"/>
          <w:sz w:val="20"/>
          <w:szCs w:val="20"/>
          <w:color w:val="auto"/>
        </w:rPr>
      </w:pPr>
      <w:r>
        <w:rPr>
          <w:rFonts w:ascii="Arial" w:cs="Arial" w:eastAsia="Arial" w:hAnsi="Arial"/>
          <w:sz w:val="20"/>
          <w:szCs w:val="20"/>
          <w:color w:val="auto"/>
        </w:rPr>
        <w:t>Adjusted EBITDA of $95.4 million</w:t>
      </w:r>
    </w:p>
    <w:p>
      <w:pPr>
        <w:spacing w:after="0" w:line="213" w:lineRule="exact"/>
        <w:rPr>
          <w:sz w:val="20"/>
          <w:szCs w:val="20"/>
          <w:color w:val="auto"/>
        </w:rPr>
      </w:pPr>
    </w:p>
    <w:p>
      <w:pPr>
        <w:jc w:val="both"/>
        <w:spacing w:after="0" w:line="244" w:lineRule="auto"/>
        <w:rPr>
          <w:sz w:val="20"/>
          <w:szCs w:val="20"/>
          <w:color w:val="auto"/>
        </w:rPr>
      </w:pPr>
      <w:r>
        <w:rPr>
          <w:rFonts w:ascii="Arial" w:cs="Arial" w:eastAsia="Arial" w:hAnsi="Arial"/>
          <w:sz w:val="20"/>
          <w:szCs w:val="20"/>
          <w:color w:val="auto"/>
        </w:rPr>
        <w:t>“Our company entered the year in a position of strength, from both a liquidity and operational perspective, which coupled with our past experience and the diversity of our business and people, will be invaluable as we navigate through the current crisis,” stated Michael J. Kasbar, chairman and chief executive officer of World Fuel Services Corporation. “We are confident in our ability to continue to be a reliable counterparty to our customers and suppliers through these unpredictable times and our worldwide team of professionals are committed to continuing to safely meet the energy needs of the global marketplace.”</w:t>
      </w:r>
    </w:p>
    <w:p>
      <w:pPr>
        <w:spacing w:after="0" w:line="194" w:lineRule="exact"/>
        <w:rPr>
          <w:sz w:val="20"/>
          <w:szCs w:val="20"/>
          <w:color w:val="auto"/>
        </w:rPr>
      </w:pPr>
    </w:p>
    <w:p>
      <w:pPr>
        <w:jc w:val="both"/>
        <w:spacing w:after="0" w:line="276" w:lineRule="auto"/>
        <w:rPr>
          <w:sz w:val="20"/>
          <w:szCs w:val="20"/>
          <w:color w:val="auto"/>
        </w:rPr>
      </w:pPr>
      <w:r>
        <w:rPr>
          <w:rFonts w:ascii="Arial" w:cs="Arial" w:eastAsia="Arial" w:hAnsi="Arial"/>
          <w:sz w:val="18"/>
          <w:szCs w:val="18"/>
          <w:color w:val="auto"/>
        </w:rPr>
        <w:t>For the first quarter, our aviation segment generated gross profit of $93.2 million, a decrease of 19% year-over-year, primarily driven by a reduction in commercial airline activity in the latter part of the quarter related to the coronavirus pandemic, as well as a decline in government-related activity. Our marine segment generated gross profit of $59.3 million, an increase of 68% year-over-year, primarily related to stronger performance resulting from heightened market volatility and higher prices related to the impact of the implementation of low sulfur regulations at the beginning of 2020. Our land segment generated gross profit of $106.3 million, an increase of 5% year-over-year, driven principally by increased profitability in the United Kingdom, as well as further growth in our World Kinect energy services platform.</w:t>
      </w:r>
    </w:p>
    <w:p>
      <w:pPr>
        <w:spacing w:after="0" w:line="178" w:lineRule="exact"/>
        <w:rPr>
          <w:sz w:val="20"/>
          <w:szCs w:val="20"/>
          <w:color w:val="auto"/>
        </w:rPr>
      </w:pPr>
    </w:p>
    <w:p>
      <w:pPr>
        <w:jc w:val="both"/>
        <w:spacing w:after="0" w:line="263" w:lineRule="auto"/>
        <w:rPr>
          <w:sz w:val="20"/>
          <w:szCs w:val="20"/>
          <w:color w:val="auto"/>
        </w:rPr>
      </w:pPr>
      <w:r>
        <w:rPr>
          <w:rFonts w:ascii="Arial" w:cs="Arial" w:eastAsia="Arial" w:hAnsi="Arial"/>
          <w:sz w:val="19"/>
          <w:szCs w:val="19"/>
          <w:color w:val="auto"/>
        </w:rPr>
        <w:t>“We posted solid results in the first quarter of the year despite the impact of the pandemic in the latter part of the quarter,” said Ira M. Birns, executive vice president and chief financial officer. “We are laser-focused on further reducing expenses and prudently managing cash, while carefully navigating through what has certainly become a highly complex operating environment. In addition, we have continued to do all that we can to support our customers, suppliers, employees and their families during these difficult times.”</w:t>
      </w:r>
    </w:p>
    <w:p>
      <w:pPr>
        <w:spacing w:after="0" w:line="238" w:lineRule="exact"/>
        <w:rPr>
          <w:sz w:val="20"/>
          <w:szCs w:val="20"/>
          <w:color w:val="auto"/>
        </w:rPr>
      </w:pPr>
    </w:p>
    <w:p>
      <w:pPr>
        <w:spacing w:after="0"/>
        <w:rPr>
          <w:sz w:val="20"/>
          <w:szCs w:val="20"/>
          <w:color w:val="auto"/>
        </w:rPr>
      </w:pPr>
      <w:r>
        <w:rPr>
          <w:rFonts w:ascii="Arial" w:cs="Arial" w:eastAsia="Arial" w:hAnsi="Arial"/>
          <w:sz w:val="20"/>
          <w:szCs w:val="20"/>
          <w:b w:val="1"/>
          <w:bCs w:val="1"/>
          <w:u w:val="single" w:color="auto"/>
          <w:color w:val="auto"/>
        </w:rPr>
        <w:t>COVID-19 Update</w:t>
      </w:r>
    </w:p>
    <w:p>
      <w:pPr>
        <w:spacing w:after="0" w:line="276" w:lineRule="exact"/>
        <w:rPr>
          <w:sz w:val="20"/>
          <w:szCs w:val="20"/>
          <w:color w:val="auto"/>
        </w:rPr>
      </w:pPr>
    </w:p>
    <w:p>
      <w:pPr>
        <w:jc w:val="both"/>
        <w:ind w:firstLine="324"/>
        <w:spacing w:after="0" w:line="260" w:lineRule="auto"/>
        <w:rPr>
          <w:sz w:val="20"/>
          <w:szCs w:val="20"/>
          <w:color w:val="auto"/>
        </w:rPr>
      </w:pPr>
      <w:r>
        <w:rPr>
          <w:rFonts w:ascii="Arial" w:cs="Arial" w:eastAsia="Arial" w:hAnsi="Arial"/>
          <w:sz w:val="19"/>
          <w:szCs w:val="19"/>
          <w:color w:val="auto"/>
        </w:rPr>
        <w:t>Beginning in the first quarter of 2020, the aviation, marine and land transportation industries, along with global economic conditions generally, have been significantly impacted by the coronavirus pandemic. A large number of our customers in these industries have experienced substantial reductions in their operations, especially commercial airlines and cruise lines, which have been particularly impacted by the travel restrictions and stay-at-home orders. Customers in our marine and land segments have also been adversely affected by these restrictions, as well as the extended shutdown of various businesses in affected regions.</w:t>
      </w:r>
    </w:p>
    <w:p>
      <w:pPr>
        <w:sectPr>
          <w:pgSz w:w="11900" w:h="16838" w:orient="portrait"/>
          <w:cols w:equalWidth="0" w:num="1">
            <w:col w:w="11240"/>
          </w:cols>
          <w:pgMar w:left="320" w:top="549" w:right="339" w:bottom="1440" w:gutter="0" w:footer="0" w:header="0"/>
        </w:sectPr>
      </w:pPr>
    </w:p>
    <w:bookmarkStart w:id="5" w:name="page6"/>
    <w:bookmarkEnd w:id="5"/>
    <w:p>
      <w:pPr>
        <w:jc w:val="both"/>
        <w:ind w:firstLine="324"/>
        <w:spacing w:after="0" w:line="244" w:lineRule="auto"/>
        <w:rPr>
          <w:sz w:val="20"/>
          <w:szCs w:val="20"/>
          <w:color w:val="auto"/>
        </w:rPr>
      </w:pPr>
      <w:r>
        <w:rPr>
          <w:rFonts w:ascii="Arial" w:cs="Arial" w:eastAsia="Arial" w:hAnsi="Arial"/>
          <w:sz w:val="20"/>
          <w:szCs w:val="20"/>
          <w:color w:val="auto"/>
        </w:rPr>
        <w:t>While the COVID-19 pandemic and associated impacts on economic activity had a limited adverse effect on our results of operations and financial condition for the first quarter of 2020, we have since seen a sharp decline in demand and related sales as large sectors of the global economy have been adversely impacted by the crisis. We expect that our results of operations will be more significantly impacted in the second quarter of 2020 as a result of the pandemic since the level of activity in our business, and that of our customers, has historically been driven by the level of economic activity globally.</w:t>
      </w:r>
    </w:p>
    <w:p>
      <w:pPr>
        <w:spacing w:after="0" w:line="194" w:lineRule="exact"/>
        <w:rPr>
          <w:sz w:val="20"/>
          <w:szCs w:val="20"/>
          <w:color w:val="auto"/>
        </w:rPr>
      </w:pPr>
    </w:p>
    <w:p>
      <w:pPr>
        <w:jc w:val="both"/>
        <w:ind w:right="20" w:firstLine="324"/>
        <w:spacing w:after="0" w:line="260" w:lineRule="auto"/>
        <w:rPr>
          <w:sz w:val="20"/>
          <w:szCs w:val="20"/>
          <w:color w:val="auto"/>
        </w:rPr>
      </w:pPr>
      <w:r>
        <w:rPr>
          <w:rFonts w:ascii="Arial" w:cs="Arial" w:eastAsia="Arial" w:hAnsi="Arial"/>
          <w:sz w:val="20"/>
          <w:szCs w:val="20"/>
          <w:color w:val="auto"/>
        </w:rPr>
        <w:t>In light of the unprecedented effects of the COVID-19 pandemic on the global economy as well as us and our customers and other stakeholders, we have taken the following actions:</w:t>
      </w:r>
    </w:p>
    <w:p>
      <w:pPr>
        <w:spacing w:after="0" w:line="177" w:lineRule="exact"/>
        <w:rPr>
          <w:sz w:val="20"/>
          <w:szCs w:val="20"/>
          <w:color w:val="auto"/>
        </w:rPr>
      </w:pPr>
    </w:p>
    <w:p>
      <w:pPr>
        <w:ind w:left="660" w:hanging="328"/>
        <w:spacing w:after="0" w:line="260"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Ensured the safety of our employees by implementing our business continuity and emergency response plans in alignment with mandates from local authorities;</w:t>
      </w:r>
    </w:p>
    <w:p>
      <w:pPr>
        <w:spacing w:after="0" w:line="68"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Immediately instituted a hiring freeze and implemented travel restrictions for our employees across the organization;</w:t>
      </w:r>
    </w:p>
    <w:p>
      <w:pPr>
        <w:spacing w:after="0" w:line="107" w:lineRule="exact"/>
        <w:rPr>
          <w:rFonts w:ascii="Arial" w:cs="Arial" w:eastAsia="Arial" w:hAnsi="Arial"/>
          <w:sz w:val="18"/>
          <w:szCs w:val="18"/>
          <w:color w:val="auto"/>
        </w:rPr>
      </w:pPr>
    </w:p>
    <w:p>
      <w:pPr>
        <w:ind w:left="660" w:hanging="328"/>
        <w:spacing w:after="0" w:line="287" w:lineRule="auto"/>
        <w:tabs>
          <w:tab w:leader="none" w:pos="660" w:val="left"/>
        </w:tabs>
        <w:numPr>
          <w:ilvl w:val="0"/>
          <w:numId w:val="2"/>
        </w:numPr>
        <w:rPr>
          <w:rFonts w:ascii="Arial" w:cs="Arial" w:eastAsia="Arial" w:hAnsi="Arial"/>
          <w:sz w:val="17"/>
          <w:szCs w:val="17"/>
          <w:color w:val="auto"/>
        </w:rPr>
      </w:pPr>
      <w:r>
        <w:rPr>
          <w:rFonts w:ascii="Arial" w:cs="Arial" w:eastAsia="Arial" w:hAnsi="Arial"/>
          <w:sz w:val="19"/>
          <w:szCs w:val="19"/>
          <w:color w:val="auto"/>
        </w:rPr>
        <w:t>Maximized remote work throughout our global offices, with our employees collaborating virtually with our customers, suppliers and each other using the information sharing tools and technology that we have invested in throughout the last several years;</w:t>
      </w:r>
    </w:p>
    <w:p>
      <w:pPr>
        <w:spacing w:after="0" w:line="44" w:lineRule="exact"/>
        <w:rPr>
          <w:rFonts w:ascii="Arial" w:cs="Arial" w:eastAsia="Arial" w:hAnsi="Arial"/>
          <w:sz w:val="17"/>
          <w:szCs w:val="17"/>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Postponed or eliminated all non-essential capital expenditures and other projects and initiatives;</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20"/>
          <w:szCs w:val="20"/>
          <w:color w:val="auto"/>
        </w:rPr>
        <w:t>Significantly reduced or deferred professional fees, marketing expenses and other similar costs; and</w:t>
      </w:r>
    </w:p>
    <w:p>
      <w:pPr>
        <w:spacing w:after="0" w:line="107"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9"/>
          <w:szCs w:val="19"/>
          <w:color w:val="auto"/>
        </w:rPr>
        <w:t>Focused on further streamlining our operations and sharpening our deployment of resources throughout our businesses.</w:t>
      </w:r>
    </w:p>
    <w:p>
      <w:pPr>
        <w:spacing w:after="0" w:line="335" w:lineRule="exact"/>
        <w:rPr>
          <w:sz w:val="20"/>
          <w:szCs w:val="20"/>
          <w:color w:val="auto"/>
        </w:rPr>
      </w:pPr>
    </w:p>
    <w:p>
      <w:pPr>
        <w:jc w:val="both"/>
        <w:spacing w:after="0" w:line="250" w:lineRule="auto"/>
        <w:rPr>
          <w:sz w:val="20"/>
          <w:szCs w:val="20"/>
          <w:color w:val="auto"/>
        </w:rPr>
      </w:pPr>
      <w:r>
        <w:rPr>
          <w:rFonts w:ascii="Arial" w:cs="Arial" w:eastAsia="Arial" w:hAnsi="Arial"/>
          <w:sz w:val="20"/>
          <w:szCs w:val="20"/>
          <w:color w:val="auto"/>
        </w:rPr>
        <w:t>Finally, while the ultimate duration and impact of the pandemic on our business and our customers' operations is presently unclear, we will continue to seek additional opportunities to further enhance our operating efficiencies and reduce costs throughout the current crisis and eventual recovery.</w:t>
      </w:r>
    </w:p>
    <w:p>
      <w:pPr>
        <w:sectPr>
          <w:pgSz w:w="11900" w:h="16838" w:orient="portrait"/>
          <w:cols w:equalWidth="0" w:num="1">
            <w:col w:w="11240"/>
          </w:cols>
          <w:pgMar w:left="320" w:top="555" w:right="339" w:bottom="1440" w:gutter="0" w:footer="0" w:header="0"/>
        </w:sectPr>
      </w:pPr>
    </w:p>
    <w:bookmarkStart w:id="6" w:name="page7"/>
    <w:bookmarkEnd w:id="6"/>
    <w:p>
      <w:pPr>
        <w:spacing w:after="0"/>
        <w:rPr>
          <w:sz w:val="20"/>
          <w:szCs w:val="20"/>
          <w:color w:val="auto"/>
        </w:rPr>
      </w:pPr>
      <w:r>
        <w:rPr>
          <w:rFonts w:ascii="Arial" w:cs="Arial" w:eastAsia="Arial" w:hAnsi="Arial"/>
          <w:sz w:val="16"/>
          <w:szCs w:val="16"/>
          <w:u w:val="single" w:color="auto"/>
          <w:color w:val="auto"/>
        </w:rPr>
        <w:t>Non-GAAP Financial Measures</w:t>
      </w:r>
    </w:p>
    <w:p>
      <w:pPr>
        <w:spacing w:after="0" w:line="19" w:lineRule="exact"/>
        <w:rPr>
          <w:sz w:val="20"/>
          <w:szCs w:val="20"/>
          <w:color w:val="auto"/>
        </w:rPr>
      </w:pPr>
    </w:p>
    <w:p>
      <w:pPr>
        <w:jc w:val="both"/>
        <w:spacing w:after="0" w:line="272" w:lineRule="auto"/>
        <w:rPr>
          <w:sz w:val="20"/>
          <w:szCs w:val="20"/>
          <w:color w:val="auto"/>
        </w:rPr>
      </w:pPr>
      <w:r>
        <w:rPr>
          <w:rFonts w:ascii="Arial" w:cs="Arial" w:eastAsia="Arial" w:hAnsi="Arial"/>
          <w:sz w:val="15"/>
          <w:szCs w:val="15"/>
          <w:color w:val="auto"/>
        </w:rPr>
        <w:t>This press release contains non-GAAP financial measures (collectively, the “Non-GAAP Measures”), including adjusted net income, adjusted diluted earnings per share, and adjusted earnings before interest, taxes, depreciation and amortization (“EBITDA”). The Non-GAAP Measures exclude acquisition-related charges, restructuring costs, gains or losses on the extinguishment of debt and gains or losses on business dispositions primarily because we do not believe they are reflective of our core operating results. These changes were made to facilitate the evaluation of our current operating performance and comparisons to our past operating performance.</w:t>
      </w:r>
    </w:p>
    <w:p>
      <w:pPr>
        <w:spacing w:after="0" w:line="82" w:lineRule="exact"/>
        <w:rPr>
          <w:sz w:val="20"/>
          <w:szCs w:val="20"/>
          <w:color w:val="auto"/>
        </w:rPr>
      </w:pPr>
    </w:p>
    <w:p>
      <w:pPr>
        <w:jc w:val="both"/>
        <w:ind w:right="20"/>
        <w:spacing w:after="0" w:line="310" w:lineRule="auto"/>
        <w:rPr>
          <w:sz w:val="20"/>
          <w:szCs w:val="20"/>
          <w:color w:val="auto"/>
        </w:rPr>
      </w:pPr>
      <w:r>
        <w:rPr>
          <w:rFonts w:ascii="Arial" w:cs="Arial" w:eastAsia="Arial" w:hAnsi="Arial"/>
          <w:sz w:val="15"/>
          <w:szCs w:val="15"/>
          <w:color w:val="auto"/>
        </w:rPr>
        <w:t>We believe that the Non-GAAP Measures, when considered in conjunction with our financial information prepared in accordance with GAAP, are useful to investors to further aid in evaluating the ongoing financial performance of the Company and to provide greater transparency as supplemental information to our GAAP results.</w:t>
      </w:r>
    </w:p>
    <w:p>
      <w:pPr>
        <w:spacing w:after="0" w:line="54" w:lineRule="exact"/>
        <w:rPr>
          <w:sz w:val="20"/>
          <w:szCs w:val="20"/>
          <w:color w:val="auto"/>
        </w:rPr>
      </w:pPr>
    </w:p>
    <w:p>
      <w:pPr>
        <w:jc w:val="both"/>
        <w:spacing w:after="0" w:line="295" w:lineRule="auto"/>
        <w:rPr>
          <w:sz w:val="20"/>
          <w:szCs w:val="20"/>
          <w:color w:val="auto"/>
        </w:rPr>
      </w:pPr>
      <w:r>
        <w:rPr>
          <w:rFonts w:ascii="Arial" w:cs="Arial" w:eastAsia="Arial" w:hAnsi="Arial"/>
          <w:sz w:val="14"/>
          <w:szCs w:val="14"/>
          <w:color w:val="auto"/>
        </w:rPr>
        <w:t>Non-GAAP financial measures should not be considered in isolation from, or as a substitute for, financial information prepared in accordance with GAAP. In addition, our presentation of the Non-GAAP Measures may not be comparable to the presentation of such metrics by other companies. Non-GAAP diluted earnings per common share is computed by dividing non-GAAP net income attributable to World Fuel Services and available to common shareholders by the sum of the weighted average number of shares of common stock, stock units, restricted stock entitled to dividends not subject to forfeiture and vested restricted stock units outstanding during the period and the number of additional shares of common stock that would have been outstanding if our outstanding potentially dilutive securities had been issued. Investors are encouraged to review the reconciliation of these Non-GAAP Measures to their most directly comparable GAAP financial measures in this press release and on our website.</w:t>
      </w:r>
    </w:p>
    <w:p>
      <w:pPr>
        <w:spacing w:after="0" w:line="68"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Information Relating to Forward-Looking Statements</w:t>
      </w:r>
    </w:p>
    <w:p>
      <w:pPr>
        <w:spacing w:after="0" w:line="127" w:lineRule="exact"/>
        <w:rPr>
          <w:sz w:val="20"/>
          <w:szCs w:val="20"/>
          <w:color w:val="auto"/>
        </w:rPr>
      </w:pPr>
    </w:p>
    <w:p>
      <w:pPr>
        <w:jc w:val="both"/>
        <w:spacing w:after="0" w:line="283" w:lineRule="auto"/>
        <w:rPr>
          <w:sz w:val="20"/>
          <w:szCs w:val="20"/>
          <w:color w:val="auto"/>
        </w:rPr>
      </w:pPr>
      <w:r>
        <w:rPr>
          <w:rFonts w:ascii="Arial" w:cs="Arial" w:eastAsia="Arial" w:hAnsi="Arial"/>
          <w:sz w:val="14"/>
          <w:szCs w:val="14"/>
          <w:color w:val="auto"/>
        </w:rPr>
        <w:t>This release includes forward-looking statements within the meaning of the Private Securities Litigation Reform Act of 1995, including statements regarding our beliefs and expectations with respect to our strength, from both a liquidity and operational perspective, and its ability to support our business and enable our efforts to navigate through the COVID-19 crisis, our abilities as a reliable counterparty through these unpredictable times, our focus on reducing our expenses, prudently managing cash and carefully navigating through a highly complex operating environment, as well as our expectations about the impact of the coronavirus pandemic on us, our results of operations and the ultimate benefit of the actions we have taken in response to the pandemic. These forward-looking statements are qualified in their entirety by cautionary statements and risk factor disclosures contained in the Company’s Securities and Exchange Commission (“SEC”) filings, including the Company’s most recent Annual Report on Form 10-K filed with the SEC. Actual results may differ materially from any forward-looking statements due to risks and uncertainties, including, but not limited to: our ability to effectively manage the effects of the COVID-19 pandemic, the extent of the impact of the pandemic on ours and our customers' sales, profitability, operations and supply chains due to the duration, spread, severity and scope of related government orders and restrictions, customer and counterparty creditworthiness and our ability to collect accounts receivable and settle derivative contracts, particularly for those customers most significantly impacted by the pandemic, sudden changes in the market price of fuel or extremely high or low fuel prices that continue for an extended period of time, the loss of, or reduced sales to a significant government customer, such as NATO, the availability of cash and sufficient liquidity to fund our working capital and strategic investment needs, particularly in light of the impact of the pandemic on the financial markets, adverse conditions in the industries in which our customers operate such as the current global economic environment as a result of the coronavirus pandemic, our failure to comply with restrictions and covenants in our senior revolving credit facility and our senior term loans, including our financial covenants, adverse conditions in the markets or industries in which we or our customers and suppliers operate, our ability to manage the changes in supply and other market dynamics in the regions where we operate, our ability to successfully execute and achieve efficiencies, our ability to achieve the expected level of benefit from any restructuring activities and cost reduction initiatives, our ability to successfully implement our growth strategy and integrate acquired businesses and recognize the anticipated benefits, our ability to capitalize on new market opportunities, risks related to the complexity of U.S. Tax Cuts and Jobs Act and any subsequently issued regulations and our ability to accurately predict the impact on our effective tax rate and future earnings, our ability to effectively leverage technology and operating systems and realize the anticipated benefits, unanticipated tax liabilities or adverse results of tax audits, assessments, or disputes, potential liabilities and the extent of any insurance coverage, the outcome of pending litigation and other proceedings, the impact of quarterly fluctuations in results, particularly as a result of seasonality, supply disruptions, border closures and other logistical difficulties that can arise when sourcing and delivering fuel in areas that are actively engaged in war or other military conflicts, our failure to effectively hedge certain financial risks associated with the use of derivatives, non-performance by counterparties or customers on derivatives contracts, uninsured losses, the impact of climate change and natural disasters, adverse results in legal disputes, our ability to retain and attract senior management and other key employees and other risks detailed from time to time in our SEC filings. In addition, other current or potential risks and uncertainties related to the coronavirus pandemic include, but are not limited to: disruptions resulting from office and facility closures, reductions in operating hours, and changes in operating procedures, including additional cleaning and disinfecting procedures, possible infections or quarantining of our employees which could impact our ability to service our customers or operate our business, notices from customers, suppliers and other third parties asserting force majeure or other bases for their non-performance, losses on hedging transactions with customers arising from the sharp decline in fuel prices and their inability to benefit from the reduced cost of fuel due to substantial reductions in their operations, heightened risk of cybersecurity issues, as digital technologies may become more vulnerable and experience a higher rate of cyber attacks in a remote connectivity environment, reduction of our global workforce to adjust to market conditions, including increased costs associated with severance payments, retention issues, and an inability to hire employees when market conditions improve, asset impairments, including an impairment of the carrying value of our goodwill, along with other accounting charges if expected future demand for our products and services materially decreases, a structural shift in the global economy and its demand for fuel and related products and services as a result of changes in the way people work, travel and interact, or in connection with a global recession. New risks emerge from time to time and it is not possible for management to predict all such risk factors or to assess the impact of such risks on our business. Accordingly, we undertake no obligation to publicly update or revise any forward-looking statements, whether as a result of new information, changes in expectations, future events, or otherwise, except as required by law.</w:t>
      </w:r>
    </w:p>
    <w:p>
      <w:pPr>
        <w:sectPr>
          <w:pgSz w:w="11900" w:h="16838" w:orient="portrait"/>
          <w:cols w:equalWidth="0" w:num="1">
            <w:col w:w="11240"/>
          </w:cols>
          <w:pgMar w:left="320" w:top="562" w:right="339" w:bottom="1440" w:gutter="0" w:footer="0" w:header="0"/>
        </w:sectPr>
      </w:pPr>
    </w:p>
    <w:bookmarkStart w:id="7" w:name="page8"/>
    <w:bookmarkEnd w:id="7"/>
    <w:p>
      <w:pPr>
        <w:spacing w:after="0"/>
        <w:rPr>
          <w:sz w:val="20"/>
          <w:szCs w:val="20"/>
          <w:color w:val="auto"/>
        </w:rPr>
      </w:pPr>
      <w:r>
        <w:rPr>
          <w:rFonts w:ascii="Arial" w:cs="Arial" w:eastAsia="Arial" w:hAnsi="Arial"/>
          <w:sz w:val="16"/>
          <w:szCs w:val="16"/>
          <w:u w:val="single" w:color="auto"/>
          <w:color w:val="auto"/>
        </w:rPr>
        <w:t>About World Fuel Services Corporation</w:t>
      </w:r>
    </w:p>
    <w:p>
      <w:pPr>
        <w:spacing w:after="0" w:line="127" w:lineRule="exact"/>
        <w:rPr>
          <w:sz w:val="20"/>
          <w:szCs w:val="20"/>
          <w:color w:val="auto"/>
        </w:rPr>
      </w:pPr>
    </w:p>
    <w:p>
      <w:pPr>
        <w:jc w:val="both"/>
        <w:spacing w:after="0" w:line="286" w:lineRule="auto"/>
        <w:rPr>
          <w:sz w:val="20"/>
          <w:szCs w:val="20"/>
          <w:color w:val="auto"/>
        </w:rPr>
      </w:pPr>
      <w:r>
        <w:rPr>
          <w:rFonts w:ascii="Arial" w:cs="Arial" w:eastAsia="Arial" w:hAnsi="Arial"/>
          <w:sz w:val="15"/>
          <w:szCs w:val="15"/>
          <w:color w:val="auto"/>
        </w:rPr>
        <w:t>Headquartered in Miami, Florida, World Fuel Services is a global energy management company involved in providing energy procurement advisory services, supply fulfillment and transaction and payment management solutions to commercial and industrial customers, principally in the aviation, marine and land transportation industries. World Fuel Services sells fuel and delivers services to its clients at more than 8,000 locations in more than 200 countries and territories worldwide.</w:t>
      </w:r>
    </w:p>
    <w:p>
      <w:pPr>
        <w:spacing w:after="0" w:line="7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For more information, call 305-428-8000 or visit </w:t>
      </w:r>
      <w:r>
        <w:rPr>
          <w:rFonts w:ascii="Arial" w:cs="Arial" w:eastAsia="Arial" w:hAnsi="Arial"/>
          <w:sz w:val="16"/>
          <w:szCs w:val="16"/>
          <w:u w:val="single" w:color="auto"/>
          <w:color w:val="auto"/>
        </w:rPr>
        <w:t>www.wfscorp.com</w:t>
      </w:r>
      <w:r>
        <w:rPr>
          <w:rFonts w:ascii="Arial" w:cs="Arial" w:eastAsia="Arial" w:hAnsi="Arial"/>
          <w:sz w:val="16"/>
          <w:szCs w:val="16"/>
          <w:color w:val="auto"/>
        </w:rPr>
        <w:t>.</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 Some amounts in this press release may not add due to rounding. All percentages have been calculated using unrounded amounts --</w:t>
      </w:r>
    </w:p>
    <w:p>
      <w:pPr>
        <w:sectPr>
          <w:pgSz w:w="11900" w:h="16838" w:orient="portrait"/>
          <w:cols w:equalWidth="0" w:num="1">
            <w:col w:w="11240"/>
          </w:cols>
          <w:pgMar w:left="320" w:top="562"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ind w:left="406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3940"/>
        <w:spacing w:after="0"/>
        <w:rPr>
          <w:sz w:val="20"/>
          <w:szCs w:val="20"/>
          <w:color w:val="auto"/>
        </w:rPr>
      </w:pPr>
      <w:r>
        <w:rPr>
          <w:rFonts w:ascii="Arial" w:cs="Arial" w:eastAsia="Arial" w:hAnsi="Arial"/>
          <w:sz w:val="18"/>
          <w:szCs w:val="18"/>
          <w:color w:val="auto"/>
        </w:rPr>
        <w:t>(Unaudited - In millions, except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85"/>
              </w:rPr>
              <w:t>As of</w:t>
            </w:r>
          </w:p>
        </w:tc>
        <w:tc>
          <w:tcPr>
            <w:tcW w:w="1220" w:type="dxa"/>
            <w:vAlign w:val="bottom"/>
            <w:tcBorders>
              <w:bottom w:val="single" w:sz="8" w:color="auto"/>
            </w:tcBorders>
          </w:tcPr>
          <w:p>
            <w:pPr>
              <w:spacing w:after="0"/>
              <w:rPr>
                <w:sz w:val="16"/>
                <w:szCs w:val="16"/>
                <w:color w:val="auto"/>
              </w:rPr>
            </w:pPr>
          </w:p>
        </w:tc>
      </w:tr>
      <w:tr>
        <w:trPr>
          <w:trHeight w:val="258"/>
        </w:trPr>
        <w:tc>
          <w:tcPr>
            <w:tcW w:w="8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080" w:type="dxa"/>
            <w:vAlign w:val="bottom"/>
          </w:tcPr>
          <w:p>
            <w:pPr>
              <w:jc w:val="right"/>
              <w:ind w:right="248"/>
              <w:spacing w:after="0"/>
              <w:rPr>
                <w:sz w:val="20"/>
                <w:szCs w:val="20"/>
                <w:color w:val="auto"/>
              </w:rPr>
            </w:pPr>
            <w:r>
              <w:rPr>
                <w:rFonts w:ascii="Arial" w:cs="Arial" w:eastAsia="Arial" w:hAnsi="Arial"/>
                <w:sz w:val="14"/>
                <w:szCs w:val="14"/>
                <w:b w:val="1"/>
                <w:bCs w:val="1"/>
                <w:color w:val="auto"/>
              </w:rPr>
              <w:t>March 31,</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28"/>
              <w:spacing w:after="0"/>
              <w:rPr>
                <w:sz w:val="20"/>
                <w:szCs w:val="20"/>
                <w:color w:val="auto"/>
              </w:rPr>
            </w:pPr>
            <w:r>
              <w:rPr>
                <w:rFonts w:ascii="Arial" w:cs="Arial" w:eastAsia="Arial" w:hAnsi="Arial"/>
                <w:sz w:val="14"/>
                <w:szCs w:val="14"/>
                <w:b w:val="1"/>
                <w:bCs w:val="1"/>
                <w:color w:val="auto"/>
                <w:w w:val="98"/>
              </w:rPr>
              <w:t>December 31,</w:t>
            </w:r>
          </w:p>
        </w:tc>
      </w:tr>
      <w:tr>
        <w:trPr>
          <w:trHeight w:val="276"/>
        </w:trPr>
        <w:tc>
          <w:tcPr>
            <w:tcW w:w="82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4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2019</w:t>
            </w:r>
          </w:p>
        </w:tc>
      </w:tr>
      <w:tr>
        <w:trPr>
          <w:trHeight w:val="277"/>
        </w:trPr>
        <w:tc>
          <w:tcPr>
            <w:tcW w:w="8340" w:type="dxa"/>
            <w:vAlign w:val="bottom"/>
            <w:gridSpan w:val="2"/>
          </w:tcPr>
          <w:p>
            <w:pPr>
              <w:ind w:left="40"/>
              <w:spacing w:after="0"/>
              <w:rPr>
                <w:sz w:val="20"/>
                <w:szCs w:val="20"/>
                <w:color w:val="auto"/>
              </w:rPr>
            </w:pPr>
            <w:r>
              <w:rPr>
                <w:rFonts w:ascii="Arial" w:cs="Arial" w:eastAsia="Arial" w:hAnsi="Arial"/>
                <w:sz w:val="14"/>
                <w:szCs w:val="14"/>
                <w:color w:val="auto"/>
              </w:rPr>
              <w:t>Assets:</w:t>
            </w: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89"/>
        </w:trPr>
        <w:tc>
          <w:tcPr>
            <w:tcW w:w="8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Current assets: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r>
      <w:tr>
        <w:trPr>
          <w:trHeight w:val="264"/>
        </w:trPr>
        <w:tc>
          <w:tcPr>
            <w:tcW w:w="8340" w:type="dxa"/>
            <w:vAlign w:val="bottom"/>
            <w:gridSpan w:val="2"/>
          </w:tcPr>
          <w:p>
            <w:pPr>
              <w:ind w:left="180"/>
              <w:spacing w:after="0"/>
              <w:rPr>
                <w:sz w:val="20"/>
                <w:szCs w:val="20"/>
                <w:color w:val="auto"/>
              </w:rPr>
            </w:pPr>
            <w:r>
              <w:rPr>
                <w:rFonts w:ascii="Arial" w:cs="Arial" w:eastAsia="Arial" w:hAnsi="Arial"/>
                <w:sz w:val="14"/>
                <w:szCs w:val="14"/>
                <w:color w:val="auto"/>
              </w:rPr>
              <w:t>Cash and cash equivalents</w:t>
            </w: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537.0</w:t>
            </w:r>
          </w:p>
        </w:tc>
        <w:tc>
          <w:tcPr>
            <w:tcW w:w="380" w:type="dxa"/>
            <w:vAlign w:val="bottom"/>
            <w:gridSpan w:val="3"/>
          </w:tcPr>
          <w:p>
            <w:pPr>
              <w:jc w:val="right"/>
              <w:ind w:right="48"/>
              <w:spacing w:after="0"/>
              <w:rPr>
                <w:sz w:val="20"/>
                <w:szCs w:val="20"/>
                <w:color w:val="auto"/>
              </w:rPr>
            </w:pPr>
            <w:r>
              <w:rPr>
                <w:rFonts w:ascii="Arial" w:cs="Arial" w:eastAsia="Arial" w:hAnsi="Arial"/>
                <w:sz w:val="14"/>
                <w:szCs w:val="14"/>
                <w:color w:val="auto"/>
              </w:rPr>
              <w:t>$</w:t>
            </w: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186.1</w:t>
            </w:r>
          </w:p>
        </w:tc>
      </w:tr>
      <w:tr>
        <w:trPr>
          <w:trHeight w:val="276"/>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Accounts receivable, net</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1,985.1</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2,891.9</w:t>
            </w:r>
          </w:p>
        </w:tc>
      </w:tr>
      <w:tr>
        <w:trPr>
          <w:trHeight w:val="264"/>
        </w:trPr>
        <w:tc>
          <w:tcPr>
            <w:tcW w:w="8340" w:type="dxa"/>
            <w:vAlign w:val="bottom"/>
            <w:gridSpan w:val="2"/>
          </w:tcPr>
          <w:p>
            <w:pPr>
              <w:ind w:left="180"/>
              <w:spacing w:after="0"/>
              <w:rPr>
                <w:sz w:val="20"/>
                <w:szCs w:val="20"/>
                <w:color w:val="auto"/>
              </w:rPr>
            </w:pPr>
            <w:r>
              <w:rPr>
                <w:rFonts w:ascii="Arial" w:cs="Arial" w:eastAsia="Arial" w:hAnsi="Arial"/>
                <w:sz w:val="14"/>
                <w:szCs w:val="14"/>
                <w:color w:val="auto"/>
              </w:rPr>
              <w:t>Inventories</w:t>
            </w:r>
          </w:p>
        </w:tc>
        <w:tc>
          <w:tcPr>
            <w:tcW w:w="2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332.8</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593.3</w:t>
            </w:r>
          </w:p>
        </w:tc>
      </w:tr>
      <w:tr>
        <w:trPr>
          <w:trHeight w:val="276"/>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Prepaid expenses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59.3</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80.6</w:t>
            </w:r>
          </w:p>
        </w:tc>
      </w:tr>
      <w:tr>
        <w:trPr>
          <w:trHeight w:val="264"/>
        </w:trPr>
        <w:tc>
          <w:tcPr>
            <w:tcW w:w="8340" w:type="dxa"/>
            <w:vAlign w:val="bottom"/>
            <w:gridSpan w:val="2"/>
          </w:tcPr>
          <w:p>
            <w:pPr>
              <w:ind w:left="180"/>
              <w:spacing w:after="0"/>
              <w:rPr>
                <w:sz w:val="20"/>
                <w:szCs w:val="20"/>
                <w:color w:val="auto"/>
              </w:rPr>
            </w:pPr>
            <w:r>
              <w:rPr>
                <w:rFonts w:ascii="Arial" w:cs="Arial" w:eastAsia="Arial" w:hAnsi="Arial"/>
                <w:sz w:val="14"/>
                <w:szCs w:val="14"/>
                <w:color w:val="auto"/>
              </w:rPr>
              <w:t>Short-term derivative assets, net</w:t>
            </w:r>
          </w:p>
        </w:tc>
        <w:tc>
          <w:tcPr>
            <w:tcW w:w="2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278.5</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59.5</w:t>
            </w:r>
          </w:p>
        </w:tc>
      </w:tr>
      <w:tr>
        <w:trPr>
          <w:trHeight w:val="270"/>
        </w:trPr>
        <w:tc>
          <w:tcPr>
            <w:tcW w:w="82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current assets</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341.0</w:t>
            </w:r>
          </w:p>
        </w:tc>
        <w:tc>
          <w:tcPr>
            <w:tcW w:w="4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358.8</w:t>
            </w:r>
          </w:p>
        </w:tc>
      </w:tr>
      <w:tr>
        <w:trPr>
          <w:trHeight w:val="250"/>
        </w:trPr>
        <w:tc>
          <w:tcPr>
            <w:tcW w:w="8340" w:type="dxa"/>
            <w:vAlign w:val="bottom"/>
            <w:gridSpan w:val="2"/>
          </w:tcPr>
          <w:p>
            <w:pPr>
              <w:ind w:left="280"/>
              <w:spacing w:after="0"/>
              <w:rPr>
                <w:sz w:val="20"/>
                <w:szCs w:val="20"/>
                <w:color w:val="auto"/>
              </w:rPr>
            </w:pPr>
            <w:r>
              <w:rPr>
                <w:rFonts w:ascii="Arial" w:cs="Arial" w:eastAsia="Arial" w:hAnsi="Arial"/>
                <w:sz w:val="14"/>
                <w:szCs w:val="14"/>
                <w:color w:val="auto"/>
              </w:rPr>
              <w:t>Total current assets</w:t>
            </w:r>
          </w:p>
        </w:tc>
        <w:tc>
          <w:tcPr>
            <w:tcW w:w="2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3,533.8</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4,170.1</w:t>
            </w:r>
          </w:p>
        </w:tc>
      </w:tr>
      <w:tr>
        <w:trPr>
          <w:trHeight w:val="276"/>
        </w:trPr>
        <w:tc>
          <w:tcPr>
            <w:tcW w:w="8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Property and equipment, net</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360.0</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360.9</w:t>
            </w:r>
          </w:p>
        </w:tc>
      </w:tr>
      <w:tr>
        <w:trPr>
          <w:trHeight w:val="264"/>
        </w:trPr>
        <w:tc>
          <w:tcPr>
            <w:tcW w:w="8340" w:type="dxa"/>
            <w:vAlign w:val="bottom"/>
            <w:gridSpan w:val="2"/>
          </w:tcPr>
          <w:p>
            <w:pPr>
              <w:ind w:left="40"/>
              <w:spacing w:after="0"/>
              <w:rPr>
                <w:sz w:val="20"/>
                <w:szCs w:val="20"/>
                <w:color w:val="auto"/>
              </w:rPr>
            </w:pPr>
            <w:r>
              <w:rPr>
                <w:rFonts w:ascii="Arial" w:cs="Arial" w:eastAsia="Arial" w:hAnsi="Arial"/>
                <w:sz w:val="14"/>
                <w:szCs w:val="14"/>
                <w:color w:val="auto"/>
              </w:rPr>
              <w:t>Goodwill</w:t>
            </w:r>
          </w:p>
        </w:tc>
        <w:tc>
          <w:tcPr>
            <w:tcW w:w="2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915.4</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843.7</w:t>
            </w:r>
          </w:p>
        </w:tc>
      </w:tr>
      <w:tr>
        <w:trPr>
          <w:trHeight w:val="270"/>
        </w:trPr>
        <w:tc>
          <w:tcPr>
            <w:tcW w:w="82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Identifiable intangible and other non-current assets</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689.7</w:t>
            </w:r>
          </w:p>
        </w:tc>
        <w:tc>
          <w:tcPr>
            <w:tcW w:w="4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617.7</w:t>
            </w:r>
          </w:p>
        </w:tc>
      </w:tr>
      <w:tr>
        <w:trPr>
          <w:trHeight w:val="277"/>
        </w:trPr>
        <w:tc>
          <w:tcPr>
            <w:tcW w:w="822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assets</w:t>
            </w: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5,498.9</w:t>
            </w: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2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5,992.4</w:t>
            </w:r>
          </w:p>
        </w:tc>
      </w:tr>
      <w:tr>
        <w:trPr>
          <w:trHeight w:val="270"/>
        </w:trPr>
        <w:tc>
          <w:tcPr>
            <w:tcW w:w="8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Liabilities:</w:t>
            </w:r>
          </w:p>
        </w:tc>
        <w:tc>
          <w:tcPr>
            <w:tcW w:w="220" w:type="dxa"/>
            <w:vAlign w:val="bottom"/>
            <w:shd w:val="clear" w:color="auto" w:fill="CCEEFF"/>
          </w:tcPr>
          <w:p>
            <w:pPr>
              <w:spacing w:after="0"/>
              <w:rPr>
                <w:sz w:val="23"/>
                <w:szCs w:val="23"/>
                <w:color w:val="auto"/>
              </w:rPr>
            </w:pPr>
          </w:p>
        </w:tc>
        <w:tc>
          <w:tcPr>
            <w:tcW w:w="1080" w:type="dxa"/>
            <w:vAlign w:val="bottom"/>
            <w:shd w:val="clear" w:color="auto" w:fill="CCEEFF"/>
          </w:tcPr>
          <w:p>
            <w:pPr>
              <w:spacing w:after="0"/>
              <w:rPr>
                <w:sz w:val="23"/>
                <w:szCs w:val="23"/>
                <w:color w:val="auto"/>
              </w:rPr>
            </w:pPr>
          </w:p>
        </w:tc>
        <w:tc>
          <w:tcPr>
            <w:tcW w:w="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20" w:type="dxa"/>
            <w:vAlign w:val="bottom"/>
            <w:shd w:val="clear" w:color="auto" w:fill="CCEEFF"/>
          </w:tcPr>
          <w:p>
            <w:pPr>
              <w:spacing w:after="0"/>
              <w:rPr>
                <w:sz w:val="23"/>
                <w:szCs w:val="23"/>
                <w:color w:val="auto"/>
              </w:rPr>
            </w:pPr>
          </w:p>
        </w:tc>
      </w:tr>
      <w:tr>
        <w:trPr>
          <w:trHeight w:val="278"/>
        </w:trPr>
        <w:tc>
          <w:tcPr>
            <w:tcW w:w="8340" w:type="dxa"/>
            <w:vAlign w:val="bottom"/>
            <w:gridSpan w:val="2"/>
          </w:tcPr>
          <w:p>
            <w:pPr>
              <w:ind w:left="40"/>
              <w:spacing w:after="0"/>
              <w:rPr>
                <w:sz w:val="20"/>
                <w:szCs w:val="20"/>
                <w:color w:val="auto"/>
              </w:rPr>
            </w:pPr>
            <w:r>
              <w:rPr>
                <w:rFonts w:ascii="Arial" w:cs="Arial" w:eastAsia="Arial" w:hAnsi="Arial"/>
                <w:sz w:val="14"/>
                <w:szCs w:val="14"/>
                <w:color w:val="auto"/>
              </w:rPr>
              <w:t>Current liabilities:</w:t>
            </w: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76"/>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Current maturities of long-term debt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53.6</w:t>
            </w:r>
          </w:p>
        </w:tc>
        <w:tc>
          <w:tcPr>
            <w:tcW w:w="3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54.1</w:t>
            </w:r>
          </w:p>
        </w:tc>
      </w:tr>
      <w:tr>
        <w:trPr>
          <w:trHeight w:val="264"/>
        </w:trPr>
        <w:tc>
          <w:tcPr>
            <w:tcW w:w="8340" w:type="dxa"/>
            <w:vAlign w:val="bottom"/>
            <w:gridSpan w:val="2"/>
          </w:tcPr>
          <w:p>
            <w:pPr>
              <w:ind w:left="180"/>
              <w:spacing w:after="0"/>
              <w:rPr>
                <w:sz w:val="20"/>
                <w:szCs w:val="20"/>
                <w:color w:val="auto"/>
              </w:rPr>
            </w:pPr>
            <w:r>
              <w:rPr>
                <w:rFonts w:ascii="Arial" w:cs="Arial" w:eastAsia="Arial" w:hAnsi="Arial"/>
                <w:sz w:val="14"/>
                <w:szCs w:val="14"/>
                <w:color w:val="auto"/>
              </w:rPr>
              <w:t>Accounts payable</w:t>
            </w:r>
          </w:p>
        </w:tc>
        <w:tc>
          <w:tcPr>
            <w:tcW w:w="2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1,541.1</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2,602.7</w:t>
            </w:r>
          </w:p>
        </w:tc>
      </w:tr>
      <w:tr>
        <w:trPr>
          <w:trHeight w:val="276"/>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Customer deposits</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128.8</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126.7</w:t>
            </w:r>
          </w:p>
        </w:tc>
      </w:tr>
      <w:tr>
        <w:trPr>
          <w:trHeight w:val="264"/>
        </w:trPr>
        <w:tc>
          <w:tcPr>
            <w:tcW w:w="822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Accrued expenses and other current liabilities</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385.8</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378.9</w:t>
            </w:r>
          </w:p>
        </w:tc>
      </w:tr>
      <w:tr>
        <w:trPr>
          <w:trHeight w:val="256"/>
        </w:trPr>
        <w:tc>
          <w:tcPr>
            <w:tcW w:w="834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current liabilities</w:t>
            </w:r>
          </w:p>
        </w:tc>
        <w:tc>
          <w:tcPr>
            <w:tcW w:w="220" w:type="dxa"/>
            <w:vAlign w:val="bottom"/>
            <w:shd w:val="clear" w:color="auto" w:fill="CCEEFF"/>
          </w:tcPr>
          <w:p>
            <w:pPr>
              <w:spacing w:after="0"/>
              <w:rPr>
                <w:sz w:val="22"/>
                <w:szCs w:val="22"/>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2,109.3</w:t>
            </w:r>
          </w:p>
        </w:tc>
        <w:tc>
          <w:tcPr>
            <w:tcW w:w="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3,162.4</w:t>
            </w:r>
          </w:p>
        </w:tc>
      </w:tr>
      <w:tr>
        <w:trPr>
          <w:trHeight w:val="264"/>
        </w:trPr>
        <w:tc>
          <w:tcPr>
            <w:tcW w:w="8340" w:type="dxa"/>
            <w:vAlign w:val="bottom"/>
            <w:gridSpan w:val="2"/>
          </w:tcPr>
          <w:p>
            <w:pPr>
              <w:ind w:left="40"/>
              <w:spacing w:after="0"/>
              <w:rPr>
                <w:sz w:val="20"/>
                <w:szCs w:val="20"/>
                <w:color w:val="auto"/>
              </w:rPr>
            </w:pPr>
            <w:r>
              <w:rPr>
                <w:rFonts w:ascii="Arial" w:cs="Arial" w:eastAsia="Arial" w:hAnsi="Arial"/>
                <w:sz w:val="14"/>
                <w:szCs w:val="14"/>
                <w:color w:val="auto"/>
              </w:rPr>
              <w:t>Long-term debt</w:t>
            </w:r>
          </w:p>
        </w:tc>
        <w:tc>
          <w:tcPr>
            <w:tcW w:w="2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1,145.9</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574.7</w:t>
            </w:r>
          </w:p>
        </w:tc>
      </w:tr>
      <w:tr>
        <w:trPr>
          <w:trHeight w:val="276"/>
        </w:trPr>
        <w:tc>
          <w:tcPr>
            <w:tcW w:w="8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Non-current income tax liabilities, net</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208.6</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210.1</w:t>
            </w:r>
          </w:p>
        </w:tc>
      </w:tr>
      <w:tr>
        <w:trPr>
          <w:trHeight w:val="264"/>
        </w:trPr>
        <w:tc>
          <w:tcPr>
            <w:tcW w:w="822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Other long-term liabilities</w:t>
            </w: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184.9</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151.3</w:t>
            </w:r>
          </w:p>
        </w:tc>
      </w:tr>
      <w:tr>
        <w:trPr>
          <w:trHeight w:val="250"/>
        </w:trPr>
        <w:tc>
          <w:tcPr>
            <w:tcW w:w="822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Total liabilities</w:t>
            </w:r>
          </w:p>
        </w:tc>
        <w:tc>
          <w:tcPr>
            <w:tcW w:w="12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3,648.7</w:t>
            </w:r>
          </w:p>
        </w:tc>
        <w:tc>
          <w:tcPr>
            <w:tcW w:w="4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4,098.5</w:t>
            </w:r>
          </w:p>
        </w:tc>
      </w:tr>
      <w:tr>
        <w:trPr>
          <w:trHeight w:val="277"/>
        </w:trPr>
        <w:tc>
          <w:tcPr>
            <w:tcW w:w="8340" w:type="dxa"/>
            <w:vAlign w:val="bottom"/>
            <w:gridSpan w:val="2"/>
          </w:tcPr>
          <w:p>
            <w:pPr>
              <w:ind w:left="40"/>
              <w:spacing w:after="0"/>
              <w:rPr>
                <w:sz w:val="20"/>
                <w:szCs w:val="20"/>
                <w:color w:val="auto"/>
              </w:rPr>
            </w:pPr>
            <w:r>
              <w:rPr>
                <w:rFonts w:ascii="Arial" w:cs="Arial" w:eastAsia="Arial" w:hAnsi="Arial"/>
                <w:sz w:val="14"/>
                <w:szCs w:val="14"/>
                <w:color w:val="auto"/>
              </w:rPr>
              <w:t>Commitments and contingencies</w:t>
            </w: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89"/>
        </w:trPr>
        <w:tc>
          <w:tcPr>
            <w:tcW w:w="83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Equity:</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r>
      <w:tr>
        <w:trPr>
          <w:trHeight w:val="278"/>
        </w:trPr>
        <w:tc>
          <w:tcPr>
            <w:tcW w:w="8340" w:type="dxa"/>
            <w:vAlign w:val="bottom"/>
            <w:gridSpan w:val="2"/>
          </w:tcPr>
          <w:p>
            <w:pPr>
              <w:ind w:left="40"/>
              <w:spacing w:after="0"/>
              <w:rPr>
                <w:sz w:val="20"/>
                <w:szCs w:val="20"/>
                <w:color w:val="auto"/>
              </w:rPr>
            </w:pPr>
            <w:r>
              <w:rPr>
                <w:rFonts w:ascii="Arial" w:cs="Arial" w:eastAsia="Arial" w:hAnsi="Arial"/>
                <w:sz w:val="14"/>
                <w:szCs w:val="14"/>
                <w:color w:val="auto"/>
              </w:rPr>
              <w:t>World Fuel shareholders' equity:</w:t>
            </w:r>
          </w:p>
        </w:tc>
        <w:tc>
          <w:tcPr>
            <w:tcW w:w="2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20" w:type="dxa"/>
            <w:vAlign w:val="bottom"/>
          </w:tcPr>
          <w:p>
            <w:pPr>
              <w:spacing w:after="0"/>
              <w:rPr>
                <w:sz w:val="24"/>
                <w:szCs w:val="24"/>
                <w:color w:val="auto"/>
              </w:rPr>
            </w:pPr>
          </w:p>
        </w:tc>
      </w:tr>
      <w:tr>
        <w:trPr>
          <w:trHeight w:val="276"/>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Preferred stock, $1.00 par value; 0.1 shares authorized, none issued</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157"/>
        </w:trPr>
        <w:tc>
          <w:tcPr>
            <w:tcW w:w="8340" w:type="dxa"/>
            <w:vAlign w:val="bottom"/>
            <w:gridSpan w:val="2"/>
          </w:tcPr>
          <w:p>
            <w:pPr>
              <w:ind w:left="180"/>
              <w:spacing w:after="0" w:line="157" w:lineRule="exact"/>
              <w:rPr>
                <w:sz w:val="20"/>
                <w:szCs w:val="20"/>
                <w:color w:val="auto"/>
              </w:rPr>
            </w:pPr>
            <w:r>
              <w:rPr>
                <w:rFonts w:ascii="Arial" w:cs="Arial" w:eastAsia="Arial" w:hAnsi="Arial"/>
                <w:sz w:val="14"/>
                <w:szCs w:val="14"/>
                <w:color w:val="auto"/>
                <w:w w:val="95"/>
              </w:rPr>
              <w:t>Common stock, $0.01 par value; 100.0 shares authorized, 63.2 and 65.2 issued and outstanding as of March 31, 2020 and December 31,</w:t>
            </w: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20" w:type="dxa"/>
            <w:vAlign w:val="bottom"/>
          </w:tcPr>
          <w:p>
            <w:pPr>
              <w:spacing w:after="0"/>
              <w:rPr>
                <w:sz w:val="13"/>
                <w:szCs w:val="13"/>
                <w:color w:val="auto"/>
              </w:rPr>
            </w:pPr>
          </w:p>
        </w:tc>
      </w:tr>
      <w:tr>
        <w:trPr>
          <w:trHeight w:val="188"/>
        </w:trPr>
        <w:tc>
          <w:tcPr>
            <w:tcW w:w="8340" w:type="dxa"/>
            <w:vAlign w:val="bottom"/>
            <w:gridSpan w:val="2"/>
          </w:tcPr>
          <w:p>
            <w:pPr>
              <w:ind w:left="180"/>
              <w:spacing w:after="0"/>
              <w:rPr>
                <w:sz w:val="20"/>
                <w:szCs w:val="20"/>
                <w:color w:val="auto"/>
              </w:rPr>
            </w:pPr>
            <w:r>
              <w:rPr>
                <w:rFonts w:ascii="Arial" w:cs="Arial" w:eastAsia="Arial" w:hAnsi="Arial"/>
                <w:sz w:val="14"/>
                <w:szCs w:val="14"/>
                <w:color w:val="auto"/>
              </w:rPr>
              <w:t>2019, respectively</w:t>
            </w:r>
          </w:p>
        </w:tc>
        <w:tc>
          <w:tcPr>
            <w:tcW w:w="2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0.6</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0.7</w:t>
            </w:r>
          </w:p>
        </w:tc>
      </w:tr>
      <w:tr>
        <w:trPr>
          <w:trHeight w:val="276"/>
        </w:trPr>
        <w:tc>
          <w:tcPr>
            <w:tcW w:w="834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Capital in excess of par value</w:t>
            </w:r>
          </w:p>
        </w:tc>
        <w:tc>
          <w:tcPr>
            <w:tcW w:w="22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218.2</w:t>
            </w: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274.7</w:t>
            </w:r>
          </w:p>
        </w:tc>
      </w:tr>
      <w:tr>
        <w:trPr>
          <w:trHeight w:val="264"/>
        </w:trPr>
        <w:tc>
          <w:tcPr>
            <w:tcW w:w="8340" w:type="dxa"/>
            <w:vAlign w:val="bottom"/>
            <w:gridSpan w:val="2"/>
          </w:tcPr>
          <w:p>
            <w:pPr>
              <w:ind w:left="180"/>
              <w:spacing w:after="0"/>
              <w:rPr>
                <w:sz w:val="20"/>
                <w:szCs w:val="20"/>
                <w:color w:val="auto"/>
              </w:rPr>
            </w:pPr>
            <w:r>
              <w:rPr>
                <w:rFonts w:ascii="Arial" w:cs="Arial" w:eastAsia="Arial" w:hAnsi="Arial"/>
                <w:sz w:val="14"/>
                <w:szCs w:val="14"/>
                <w:color w:val="auto"/>
              </w:rPr>
              <w:t>Retained earnings</w:t>
            </w:r>
          </w:p>
        </w:tc>
        <w:tc>
          <w:tcPr>
            <w:tcW w:w="22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1,785.1</w:t>
            </w:r>
          </w:p>
        </w:tc>
        <w:tc>
          <w:tcPr>
            <w:tcW w:w="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1,761.3</w:t>
            </w:r>
          </w:p>
        </w:tc>
      </w:tr>
      <w:tr>
        <w:trPr>
          <w:trHeight w:val="270"/>
        </w:trPr>
        <w:tc>
          <w:tcPr>
            <w:tcW w:w="822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Accumulated other comprehensive loss</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(157.5)</w:t>
            </w:r>
          </w:p>
        </w:tc>
        <w:tc>
          <w:tcPr>
            <w:tcW w:w="4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(146.3)</w:t>
            </w:r>
          </w:p>
        </w:tc>
      </w:tr>
      <w:tr>
        <w:trPr>
          <w:trHeight w:val="250"/>
        </w:trPr>
        <w:tc>
          <w:tcPr>
            <w:tcW w:w="8340" w:type="dxa"/>
            <w:vAlign w:val="bottom"/>
            <w:gridSpan w:val="2"/>
          </w:tcPr>
          <w:p>
            <w:pPr>
              <w:ind w:left="280"/>
              <w:spacing w:after="0"/>
              <w:rPr>
                <w:sz w:val="20"/>
                <w:szCs w:val="20"/>
                <w:color w:val="auto"/>
              </w:rPr>
            </w:pPr>
            <w:r>
              <w:rPr>
                <w:rFonts w:ascii="Arial" w:cs="Arial" w:eastAsia="Arial" w:hAnsi="Arial"/>
                <w:sz w:val="14"/>
                <w:szCs w:val="14"/>
                <w:color w:val="auto"/>
              </w:rPr>
              <w:t>Total World Fuel shareholders' equity</w:t>
            </w:r>
          </w:p>
        </w:tc>
        <w:tc>
          <w:tcPr>
            <w:tcW w:w="22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4"/>
                <w:szCs w:val="14"/>
                <w:color w:val="auto"/>
              </w:rPr>
              <w:t>1,846.4</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1,890.4</w:t>
            </w:r>
          </w:p>
        </w:tc>
      </w:tr>
      <w:tr>
        <w:trPr>
          <w:trHeight w:val="270"/>
        </w:trPr>
        <w:tc>
          <w:tcPr>
            <w:tcW w:w="82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Noncontrolling interest</w:t>
            </w: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3.7</w:t>
            </w:r>
          </w:p>
        </w:tc>
        <w:tc>
          <w:tcPr>
            <w:tcW w:w="4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3.5</w:t>
            </w:r>
          </w:p>
        </w:tc>
      </w:tr>
      <w:tr>
        <w:trPr>
          <w:trHeight w:val="250"/>
        </w:trPr>
        <w:tc>
          <w:tcPr>
            <w:tcW w:w="822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equity</w:t>
            </w: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1,850.1</w:t>
            </w:r>
          </w:p>
        </w:tc>
        <w:tc>
          <w:tcPr>
            <w:tcW w:w="4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1,893.9</w:t>
            </w:r>
          </w:p>
        </w:tc>
      </w:tr>
      <w:tr>
        <w:trPr>
          <w:trHeight w:val="237"/>
        </w:trPr>
        <w:tc>
          <w:tcPr>
            <w:tcW w:w="834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Total liabilities and equity</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5,498.9</w:t>
            </w:r>
          </w:p>
        </w:tc>
        <w:tc>
          <w:tcPr>
            <w:tcW w:w="380" w:type="dxa"/>
            <w:vAlign w:val="bottom"/>
            <w:gridSpan w:val="3"/>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5,992.4</w:t>
            </w:r>
          </w:p>
        </w:tc>
      </w:tr>
      <w:tr>
        <w:trPr>
          <w:trHeight w:val="20"/>
        </w:trPr>
        <w:tc>
          <w:tcPr>
            <w:tcW w:w="8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769" w:right="339" w:bottom="1440" w:gutter="0" w:footer="0" w:header="0"/>
        </w:sectPr>
      </w:pPr>
    </w:p>
    <w:bookmarkStart w:id="9" w:name="page10"/>
    <w:bookmarkEnd w:id="9"/>
    <w:p>
      <w:pPr>
        <w:jc w:val="center"/>
        <w:ind w:left="2280" w:right="2280"/>
        <w:spacing w:after="0" w:line="266" w:lineRule="auto"/>
        <w:rPr>
          <w:sz w:val="20"/>
          <w:szCs w:val="20"/>
          <w:color w:val="auto"/>
        </w:rPr>
      </w:pPr>
      <w:r>
        <w:rPr>
          <w:rFonts w:ascii="Arial" w:cs="Arial" w:eastAsia="Arial" w:hAnsi="Arial"/>
          <w:sz w:val="18"/>
          <w:szCs w:val="18"/>
          <w:b w:val="1"/>
          <w:bCs w:val="1"/>
          <w:color w:val="auto"/>
        </w:rPr>
        <w:t xml:space="preserve">WORLD FUEL SERVICES CORPORATION CONSOLIDATED STATEMENTS OF INCOME AND COMPREHENSIVE INCOME </w:t>
      </w:r>
      <w:r>
        <w:rPr>
          <w:rFonts w:ascii="Arial" w:cs="Arial" w:eastAsia="Arial" w:hAnsi="Arial"/>
          <w:sz w:val="18"/>
          <w:szCs w:val="18"/>
          <w:color w:val="auto"/>
        </w:rPr>
        <w:t>(Unaudited – In millions, except per share data)</w:t>
      </w:r>
    </w:p>
    <w:p>
      <w:pPr>
        <w:sectPr>
          <w:pgSz w:w="11900" w:h="16838" w:orient="portrait"/>
          <w:cols w:equalWidth="0" w:num="1">
            <w:col w:w="11240"/>
          </w:cols>
          <w:pgMar w:left="320" w:top="76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132320"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Cost of 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132320"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Gross profit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542607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426075" cy="8255"/>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1323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Compensation and employee benefits</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4"/>
          <w:szCs w:val="14"/>
          <w:color w:val="auto"/>
        </w:rPr>
        <w:t>General and administrative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132320" cy="1803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80340"/>
                    </a:xfrm>
                    <a:prstGeom prst="rect">
                      <a:avLst/>
                    </a:prstGeom>
                    <a:noFill/>
                  </pic:spPr>
                </pic:pic>
              </a:graphicData>
            </a:graphic>
          </wp:anchor>
        </w:drawing>
      </w:r>
    </w:p>
    <w:p>
      <w:pPr>
        <w:spacing w:after="0" w:line="35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Income from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1323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Non-operating expenses, net:</w:t>
      </w:r>
    </w:p>
    <w:p>
      <w:pPr>
        <w:spacing w:after="0" w:line="109" w:lineRule="exact"/>
        <w:rPr>
          <w:sz w:val="20"/>
          <w:szCs w:val="20"/>
          <w:color w:val="auto"/>
        </w:rPr>
      </w:pPr>
    </w:p>
    <w:p>
      <w:pPr>
        <w:ind w:left="180"/>
        <w:spacing w:after="0"/>
        <w:rPr>
          <w:sz w:val="20"/>
          <w:szCs w:val="20"/>
          <w:color w:val="auto"/>
        </w:rPr>
      </w:pPr>
      <w:r>
        <w:rPr>
          <w:rFonts w:ascii="Arial" w:cs="Arial" w:eastAsia="Arial" w:hAnsi="Arial"/>
          <w:sz w:val="13"/>
          <w:szCs w:val="13"/>
          <w:color w:val="auto"/>
        </w:rPr>
        <w:t>Interest expense and other financing costs,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01" w:lineRule="exact"/>
        <w:rPr>
          <w:sz w:val="20"/>
          <w:szCs w:val="20"/>
          <w:color w:val="auto"/>
        </w:rPr>
      </w:pPr>
    </w:p>
    <w:p>
      <w:pPr>
        <w:ind w:left="180"/>
        <w:spacing w:after="0"/>
        <w:rPr>
          <w:sz w:val="20"/>
          <w:szCs w:val="20"/>
          <w:color w:val="auto"/>
        </w:rPr>
      </w:pPr>
      <w:r>
        <w:rPr>
          <w:rFonts w:ascii="Arial" w:cs="Arial" w:eastAsia="Arial" w:hAnsi="Arial"/>
          <w:sz w:val="14"/>
          <w:szCs w:val="14"/>
          <w:color w:val="auto"/>
        </w:rPr>
        <w:t>Other income (expense),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192405</wp:posOffset>
            </wp:positionV>
            <wp:extent cx="71323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20955</wp:posOffset>
            </wp:positionV>
            <wp:extent cx="542607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426075" cy="8890"/>
                    </a:xfrm>
                    <a:prstGeom prst="rect">
                      <a:avLst/>
                    </a:prstGeom>
                    <a:noFill/>
                  </pic:spPr>
                </pic:pic>
              </a:graphicData>
            </a:graphic>
          </wp:anchor>
        </w:drawing>
      </w:r>
    </w:p>
    <w:p>
      <w:pPr>
        <w:spacing w:after="0" w:line="359" w:lineRule="exact"/>
        <w:rPr>
          <w:sz w:val="20"/>
          <w:szCs w:val="20"/>
          <w:color w:val="auto"/>
        </w:rPr>
      </w:pPr>
    </w:p>
    <w:p>
      <w:pPr>
        <w:ind w:left="40"/>
        <w:spacing w:after="0"/>
        <w:rPr>
          <w:sz w:val="20"/>
          <w:szCs w:val="20"/>
          <w:color w:val="auto"/>
        </w:rPr>
      </w:pPr>
      <w:r>
        <w:rPr>
          <w:rFonts w:ascii="Arial" w:cs="Arial" w:eastAsia="Arial" w:hAnsi="Arial"/>
          <w:sz w:val="14"/>
          <w:szCs w:val="14"/>
          <w:color w:val="auto"/>
        </w:rPr>
        <w:t>Income (loss) before income taxes</w:t>
      </w:r>
    </w:p>
    <w:p>
      <w:pPr>
        <w:spacing w:after="0" w:line="109" w:lineRule="exact"/>
        <w:rPr>
          <w:sz w:val="20"/>
          <w:szCs w:val="20"/>
          <w:color w:val="auto"/>
        </w:rPr>
      </w:pPr>
    </w:p>
    <w:p>
      <w:pPr>
        <w:ind w:left="40"/>
        <w:spacing w:after="0"/>
        <w:rPr>
          <w:sz w:val="20"/>
          <w:szCs w:val="20"/>
          <w:color w:val="auto"/>
        </w:rPr>
      </w:pPr>
      <w:r>
        <w:rPr>
          <w:rFonts w:ascii="Arial" w:cs="Arial" w:eastAsia="Arial" w:hAnsi="Arial"/>
          <w:sz w:val="14"/>
          <w:szCs w:val="14"/>
          <w:color w:val="auto"/>
        </w:rPr>
        <w:t>Provision for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132320" cy="1714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3"/>
          <w:szCs w:val="13"/>
          <w:color w:val="auto"/>
        </w:rPr>
        <w:t>Net income (loss) including noncontrolling interest</w:t>
      </w:r>
    </w:p>
    <w:p>
      <w:pPr>
        <w:spacing w:after="0" w:line="121" w:lineRule="exact"/>
        <w:rPr>
          <w:sz w:val="20"/>
          <w:szCs w:val="20"/>
          <w:color w:val="auto"/>
        </w:rPr>
      </w:pPr>
    </w:p>
    <w:p>
      <w:pPr>
        <w:ind w:left="40"/>
        <w:spacing w:after="0"/>
        <w:rPr>
          <w:sz w:val="20"/>
          <w:szCs w:val="20"/>
          <w:color w:val="auto"/>
        </w:rPr>
      </w:pPr>
      <w:r>
        <w:rPr>
          <w:rFonts w:ascii="Arial" w:cs="Arial" w:eastAsia="Arial" w:hAnsi="Arial"/>
          <w:sz w:val="13"/>
          <w:szCs w:val="13"/>
          <w:color w:val="auto"/>
        </w:rPr>
        <w:t>Net income attributable to noncontrolling interest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28575</wp:posOffset>
            </wp:positionV>
            <wp:extent cx="71323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income (loss) attributable to World Fuel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218440</wp:posOffset>
            </wp:positionV>
            <wp:extent cx="71323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38100</wp:posOffset>
            </wp:positionV>
            <wp:extent cx="542607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426075" cy="8255"/>
                    </a:xfrm>
                    <a:prstGeom prst="rect">
                      <a:avLst/>
                    </a:prstGeom>
                    <a:noFill/>
                  </pic:spPr>
                </pic:pic>
              </a:graphicData>
            </a:graphic>
          </wp:anchor>
        </w:drawing>
      </w:r>
    </w:p>
    <w:p>
      <w:pPr>
        <w:spacing w:after="0" w:line="3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Basic earnings per common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218440</wp:posOffset>
            </wp:positionV>
            <wp:extent cx="71323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38100</wp:posOffset>
            </wp:positionV>
            <wp:extent cx="542607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426075" cy="8890"/>
                    </a:xfrm>
                    <a:prstGeom prst="rect">
                      <a:avLst/>
                    </a:prstGeom>
                    <a:noFill/>
                  </pic:spPr>
                </pic:pic>
              </a:graphicData>
            </a:graphic>
          </wp:anchor>
        </w:drawing>
      </w:r>
    </w:p>
    <w:p>
      <w:pPr>
        <w:spacing w:after="0" w:line="3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Basic weighted average common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218440</wp:posOffset>
            </wp:positionV>
            <wp:extent cx="713232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38100</wp:posOffset>
            </wp:positionV>
            <wp:extent cx="542607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426075" cy="8890"/>
                    </a:xfrm>
                    <a:prstGeom prst="rect">
                      <a:avLst/>
                    </a:prstGeom>
                    <a:noFill/>
                  </pic:spPr>
                </pic:pic>
              </a:graphicData>
            </a:graphic>
          </wp:anchor>
        </w:drawing>
      </w:r>
    </w:p>
    <w:p>
      <w:pPr>
        <w:spacing w:after="0" w:line="3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Diluted earnings per common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218440</wp:posOffset>
            </wp:positionV>
            <wp:extent cx="71323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38100</wp:posOffset>
            </wp:positionV>
            <wp:extent cx="5426075"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426075" cy="8255"/>
                    </a:xfrm>
                    <a:prstGeom prst="rect">
                      <a:avLst/>
                    </a:prstGeom>
                    <a:noFill/>
                  </pic:spPr>
                </pic:pic>
              </a:graphicData>
            </a:graphic>
          </wp:anchor>
        </w:drawing>
      </w:r>
    </w:p>
    <w:p>
      <w:pPr>
        <w:spacing w:after="0" w:line="386" w:lineRule="exact"/>
        <w:rPr>
          <w:sz w:val="20"/>
          <w:szCs w:val="20"/>
          <w:color w:val="auto"/>
        </w:rPr>
      </w:pPr>
    </w:p>
    <w:p>
      <w:pPr>
        <w:ind w:left="40"/>
        <w:spacing w:after="0"/>
        <w:rPr>
          <w:sz w:val="20"/>
          <w:szCs w:val="20"/>
          <w:color w:val="auto"/>
        </w:rPr>
      </w:pPr>
      <w:r>
        <w:rPr>
          <w:rFonts w:ascii="Arial" w:cs="Arial" w:eastAsia="Arial" w:hAnsi="Arial"/>
          <w:sz w:val="14"/>
          <w:szCs w:val="14"/>
          <w:color w:val="auto"/>
        </w:rPr>
        <w:t>Diluted weighted average common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218440</wp:posOffset>
            </wp:positionV>
            <wp:extent cx="7132320" cy="1714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38100</wp:posOffset>
            </wp:positionV>
            <wp:extent cx="542607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4260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For the Three Months Ended</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23495</wp:posOffset>
            </wp:positionV>
            <wp:extent cx="1628775"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628775" cy="8255"/>
                    </a:xfrm>
                    <a:prstGeom prst="rect">
                      <a:avLst/>
                    </a:prstGeom>
                    <a:noFill/>
                  </pic:spPr>
                </pic:pic>
              </a:graphicData>
            </a:graphic>
          </wp:anchor>
        </w:drawing>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r>
      <w:tr>
        <w:trPr>
          <w:trHeight w:val="244"/>
        </w:trPr>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8,015.2</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8,678.8</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7,756.4</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8,427.7</w:t>
            </w:r>
          </w:p>
        </w:tc>
      </w:tr>
      <w:tr>
        <w:trPr>
          <w:trHeight w:val="250"/>
        </w:trPr>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258.7</w:t>
            </w:r>
          </w:p>
        </w:tc>
        <w:tc>
          <w:tcPr>
            <w:tcW w:w="10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251.1</w:t>
            </w:r>
          </w:p>
        </w:tc>
      </w:tr>
      <w:tr>
        <w:trPr>
          <w:trHeight w:val="514"/>
        </w:trPr>
        <w:tc>
          <w:tcPr>
            <w:tcW w:w="280" w:type="dxa"/>
            <w:vAlign w:val="bottom"/>
          </w:tcPr>
          <w:p>
            <w:pPr>
              <w:spacing w:after="0"/>
              <w:rPr>
                <w:sz w:val="24"/>
                <w:szCs w:val="24"/>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104.2</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110.1</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83.7</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70.6</w:t>
            </w:r>
          </w:p>
        </w:tc>
      </w:tr>
      <w:tr>
        <w:trPr>
          <w:trHeight w:val="250"/>
        </w:trPr>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187.9</w:t>
            </w:r>
          </w:p>
        </w:tc>
        <w:tc>
          <w:tcPr>
            <w:tcW w:w="10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180.7</w:t>
            </w:r>
          </w:p>
        </w:tc>
      </w:tr>
      <w:tr>
        <w:trPr>
          <w:trHeight w:val="250"/>
        </w:trPr>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70.8</w:t>
            </w:r>
          </w:p>
        </w:tc>
        <w:tc>
          <w:tcPr>
            <w:tcW w:w="10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70.4</w:t>
            </w:r>
          </w:p>
        </w:tc>
      </w:tr>
      <w:tr>
        <w:trPr>
          <w:trHeight w:val="514"/>
        </w:trPr>
        <w:tc>
          <w:tcPr>
            <w:tcW w:w="280" w:type="dxa"/>
            <w:vAlign w:val="bottom"/>
          </w:tcPr>
          <w:p>
            <w:pPr>
              <w:spacing w:after="0"/>
              <w:rPr>
                <w:sz w:val="24"/>
                <w:szCs w:val="24"/>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(15.4)</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jc w:val="right"/>
              <w:spacing w:after="0"/>
              <w:rPr>
                <w:sz w:val="20"/>
                <w:szCs w:val="20"/>
                <w:color w:val="auto"/>
              </w:rPr>
            </w:pPr>
            <w:r>
              <w:rPr>
                <w:rFonts w:ascii="Arial" w:cs="Arial" w:eastAsia="Arial" w:hAnsi="Arial"/>
                <w:sz w:val="14"/>
                <w:szCs w:val="14"/>
                <w:color w:val="auto"/>
              </w:rPr>
              <w:t>(19.4)</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2.2</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0.4</w:t>
            </w:r>
          </w:p>
        </w:tc>
      </w:tr>
      <w:tr>
        <w:trPr>
          <w:trHeight w:val="250"/>
        </w:trPr>
        <w:tc>
          <w:tcPr>
            <w:tcW w:w="28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(13.2)</w:t>
            </w:r>
          </w:p>
        </w:tc>
        <w:tc>
          <w:tcPr>
            <w:tcW w:w="10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(19.0)</w:t>
            </w:r>
          </w:p>
        </w:tc>
      </w:tr>
      <w:tr>
        <w:trPr>
          <w:trHeight w:val="244"/>
        </w:trPr>
        <w:tc>
          <w:tcPr>
            <w:tcW w:w="280" w:type="dxa"/>
            <w:vAlign w:val="bottom"/>
          </w:tcPr>
          <w:p>
            <w:pPr>
              <w:spacing w:after="0"/>
              <w:rPr>
                <w:sz w:val="21"/>
                <w:szCs w:val="21"/>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57.6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51.3</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16.0</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14.0</w:t>
            </w:r>
          </w:p>
        </w:tc>
      </w:tr>
      <w:tr>
        <w:trPr>
          <w:trHeight w:val="244"/>
        </w:trPr>
        <w:tc>
          <w:tcPr>
            <w:tcW w:w="280" w:type="dxa"/>
            <w:vAlign w:val="bottom"/>
          </w:tcPr>
          <w:p>
            <w:pPr>
              <w:spacing w:after="0"/>
              <w:rPr>
                <w:sz w:val="21"/>
                <w:szCs w:val="21"/>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41.6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37.3</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0.2</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0.1</w:t>
            </w:r>
          </w:p>
        </w:tc>
      </w:tr>
      <w:tr>
        <w:trPr>
          <w:trHeight w:val="237"/>
        </w:trPr>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41.4</w:t>
            </w:r>
          </w:p>
        </w:tc>
        <w:tc>
          <w:tcPr>
            <w:tcW w:w="100" w:type="dxa"/>
            <w:vAlign w:val="bottom"/>
          </w:tcPr>
          <w:p>
            <w:pPr>
              <w:spacing w:after="0"/>
              <w:rPr>
                <w:sz w:val="20"/>
                <w:szCs w:val="20"/>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37.2</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507"/>
        </w:trPr>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0.64</w:t>
            </w:r>
          </w:p>
        </w:tc>
        <w:tc>
          <w:tcPr>
            <w:tcW w:w="100" w:type="dxa"/>
            <w:vAlign w:val="bottom"/>
          </w:tcPr>
          <w:p>
            <w:pPr>
              <w:spacing w:after="0"/>
              <w:rPr>
                <w:sz w:val="24"/>
                <w:szCs w:val="24"/>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0.55</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507"/>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64.9</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67.1</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507"/>
        </w:trPr>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0.63</w:t>
            </w:r>
          </w:p>
        </w:tc>
        <w:tc>
          <w:tcPr>
            <w:tcW w:w="100" w:type="dxa"/>
            <w:vAlign w:val="bottom"/>
          </w:tcPr>
          <w:p>
            <w:pPr>
              <w:spacing w:after="0"/>
              <w:rPr>
                <w:sz w:val="24"/>
                <w:szCs w:val="24"/>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0.55</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r>
        <w:trPr>
          <w:trHeight w:val="507"/>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65.4</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67.4</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960" w:space="720"/>
            <w:col w:w="2560"/>
          </w:cols>
          <w:pgMar w:left="320" w:top="769" w:right="339" w:bottom="1440" w:gutter="0" w:footer="0" w:header="0"/>
          <w:type w:val="continuous"/>
        </w:sectPr>
      </w:pPr>
    </w:p>
    <w:p>
      <w:pPr>
        <w:spacing w:after="0" w:line="146" w:lineRule="exact"/>
        <w:rPr>
          <w:sz w:val="20"/>
          <w:szCs w:val="20"/>
          <w:color w:val="auto"/>
        </w:rPr>
      </w:pPr>
    </w:p>
    <w:p>
      <w:pPr>
        <w:ind w:left="40"/>
        <w:spacing w:after="0"/>
        <w:rPr>
          <w:sz w:val="20"/>
          <w:szCs w:val="20"/>
          <w:color w:val="auto"/>
        </w:rPr>
      </w:pPr>
      <w:r>
        <w:rPr>
          <w:rFonts w:ascii="Arial" w:cs="Arial" w:eastAsia="Arial" w:hAnsi="Arial"/>
          <w:sz w:val="14"/>
          <w:szCs w:val="14"/>
          <w:color w:val="auto"/>
        </w:rPr>
        <w:t>Comprehensive income:</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8680" w:type="dxa"/>
            <w:vAlign w:val="bottom"/>
            <w:gridSpan w:val="2"/>
          </w:tcPr>
          <w:p>
            <w:pPr>
              <w:ind w:left="40"/>
              <w:spacing w:after="0"/>
              <w:rPr>
                <w:sz w:val="20"/>
                <w:szCs w:val="20"/>
                <w:color w:val="auto"/>
              </w:rPr>
            </w:pPr>
            <w:r>
              <w:rPr>
                <w:rFonts w:ascii="Arial" w:cs="Arial" w:eastAsia="Arial" w:hAnsi="Arial"/>
                <w:sz w:val="14"/>
                <w:szCs w:val="14"/>
                <w:color w:val="auto"/>
              </w:rPr>
              <w:t>Net income (loss) including noncontrolling interest</w:t>
            </w:r>
          </w:p>
        </w:tc>
        <w:tc>
          <w:tcPr>
            <w:tcW w:w="46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tcPr>
          <w:p>
            <w:pPr>
              <w:jc w:val="right"/>
              <w:ind w:right="48"/>
              <w:spacing w:after="0"/>
              <w:rPr>
                <w:sz w:val="20"/>
                <w:szCs w:val="20"/>
                <w:color w:val="auto"/>
              </w:rPr>
            </w:pPr>
            <w:r>
              <w:rPr>
                <w:rFonts w:ascii="Arial" w:cs="Arial" w:eastAsia="Arial" w:hAnsi="Arial"/>
                <w:sz w:val="14"/>
                <w:szCs w:val="14"/>
                <w:color w:val="auto"/>
              </w:rPr>
              <w:t>41.6</w:t>
            </w:r>
          </w:p>
        </w:tc>
        <w:tc>
          <w:tcPr>
            <w:tcW w:w="100" w:type="dxa"/>
            <w:vAlign w:val="bottom"/>
          </w:tcPr>
          <w:p>
            <w:pPr>
              <w:spacing w:after="0"/>
              <w:rPr>
                <w:sz w:val="16"/>
                <w:szCs w:val="16"/>
                <w:color w:val="auto"/>
              </w:rPr>
            </w:pPr>
          </w:p>
        </w:tc>
        <w:tc>
          <w:tcPr>
            <w:tcW w:w="46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37.3</w:t>
            </w:r>
          </w:p>
        </w:tc>
      </w:tr>
      <w:tr>
        <w:trPr>
          <w:trHeight w:val="276"/>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Other comprehensive income (loss):</w:t>
            </w:r>
          </w:p>
        </w:tc>
        <w:tc>
          <w:tcPr>
            <w:tcW w:w="46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760" w:type="dxa"/>
            <w:vAlign w:val="bottom"/>
            <w:shd w:val="clear" w:color="auto" w:fill="CCEEFF"/>
          </w:tcPr>
          <w:p>
            <w:pPr>
              <w:spacing w:after="0"/>
              <w:rPr>
                <w:sz w:val="24"/>
                <w:szCs w:val="24"/>
                <w:color w:val="auto"/>
              </w:rPr>
            </w:pP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Foreign currency translation adjustments</w:t>
            </w:r>
          </w:p>
        </w:tc>
        <w:tc>
          <w:tcPr>
            <w:tcW w:w="46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(33.0)</w:t>
            </w:r>
          </w:p>
        </w:tc>
        <w:tc>
          <w:tcPr>
            <w:tcW w:w="1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color w:val="auto"/>
              </w:rPr>
              <w:t>0.2</w:t>
            </w:r>
          </w:p>
        </w:tc>
      </w:tr>
      <w:tr>
        <w:trPr>
          <w:trHeight w:val="163"/>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w w:val="98"/>
              </w:rPr>
              <w:t>Cash flow hedges, net of income tax expense of $7.4 and income tax benefit of $4.1 for the three months ended March 31, 2020 and 2019,</w:t>
            </w:r>
          </w:p>
        </w:tc>
        <w:tc>
          <w:tcPr>
            <w:tcW w:w="460" w:type="dxa"/>
            <w:vAlign w:val="bottom"/>
            <w:shd w:val="clear" w:color="auto" w:fill="CCEEFF"/>
          </w:tcPr>
          <w:p>
            <w:pPr>
              <w:spacing w:after="0"/>
              <w:rPr>
                <w:sz w:val="14"/>
                <w:szCs w:val="14"/>
                <w:color w:val="auto"/>
              </w:rPr>
            </w:pPr>
          </w:p>
        </w:tc>
        <w:tc>
          <w:tcPr>
            <w:tcW w:w="7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r>
      <w:tr>
        <w:trPr>
          <w:trHeight w:val="188"/>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respectively</w:t>
            </w:r>
          </w:p>
        </w:tc>
        <w:tc>
          <w:tcPr>
            <w:tcW w:w="46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21.7</w:t>
            </w:r>
          </w:p>
        </w:tc>
        <w:tc>
          <w:tcPr>
            <w:tcW w:w="100" w:type="dxa"/>
            <w:vAlign w:val="bottom"/>
            <w:shd w:val="clear" w:color="auto" w:fill="CCEEFF"/>
          </w:tcPr>
          <w:p>
            <w:pPr>
              <w:spacing w:after="0"/>
              <w:rPr>
                <w:sz w:val="16"/>
                <w:szCs w:val="16"/>
                <w:color w:val="auto"/>
              </w:rPr>
            </w:pPr>
          </w:p>
        </w:tc>
        <w:tc>
          <w:tcPr>
            <w:tcW w:w="46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(11.9)</w:t>
            </w:r>
          </w:p>
        </w:tc>
      </w:tr>
      <w:tr>
        <w:trPr>
          <w:trHeight w:val="250"/>
        </w:trPr>
        <w:tc>
          <w:tcPr>
            <w:tcW w:w="85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Other comprehensive income (loss)</w:t>
            </w:r>
          </w:p>
        </w:tc>
        <w:tc>
          <w:tcPr>
            <w:tcW w:w="120" w:type="dxa"/>
            <w:vAlign w:val="bottom"/>
            <w:tcBorders>
              <w:bottom w:val="single" w:sz="8" w:color="CCEEFF"/>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(11.3)</w:t>
            </w:r>
          </w:p>
        </w:tc>
        <w:tc>
          <w:tcPr>
            <w:tcW w:w="100" w:type="dxa"/>
            <w:vAlign w:val="bottom"/>
            <w:tcBorders>
              <w:bottom w:val="single" w:sz="8" w:color="CCEEFF"/>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(11.7)</w:t>
            </w:r>
          </w:p>
        </w:tc>
      </w:tr>
      <w:tr>
        <w:trPr>
          <w:trHeight w:val="256"/>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(loss) including noncontrolling interest</w:t>
            </w:r>
          </w:p>
        </w:tc>
        <w:tc>
          <w:tcPr>
            <w:tcW w:w="460" w:type="dxa"/>
            <w:vAlign w:val="bottom"/>
            <w:shd w:val="clear" w:color="auto" w:fill="CCEEFF"/>
          </w:tcPr>
          <w:p>
            <w:pPr>
              <w:spacing w:after="0"/>
              <w:rPr>
                <w:sz w:val="22"/>
                <w:szCs w:val="22"/>
                <w:color w:val="auto"/>
              </w:rPr>
            </w:pP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30.4</w:t>
            </w: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spacing w:after="0"/>
              <w:rPr>
                <w:sz w:val="22"/>
                <w:szCs w:val="22"/>
                <w:color w:val="auto"/>
              </w:rPr>
            </w:pP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25.6</w:t>
            </w:r>
          </w:p>
        </w:tc>
      </w:tr>
      <w:tr>
        <w:trPr>
          <w:trHeight w:val="264"/>
        </w:trPr>
        <w:tc>
          <w:tcPr>
            <w:tcW w:w="85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Comprehensive income (loss) attributable to noncontrolling interest</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(0.8)</w:t>
            </w:r>
          </w:p>
        </w:tc>
      </w:tr>
      <w:tr>
        <w:trPr>
          <w:trHeight w:val="236"/>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Comprehensive income (loss) attributable to World Fuel</w:t>
            </w: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30.4</w:t>
            </w:r>
          </w:p>
        </w:tc>
        <w:tc>
          <w:tcPr>
            <w:tcW w:w="100" w:type="dxa"/>
            <w:vAlign w:val="bottom"/>
            <w:shd w:val="clear" w:color="auto" w:fill="CCEEFF"/>
          </w:tcPr>
          <w:p>
            <w:pPr>
              <w:spacing w:after="0"/>
              <w:rPr>
                <w:sz w:val="20"/>
                <w:szCs w:val="20"/>
                <w:color w:val="auto"/>
              </w:rPr>
            </w:pPr>
          </w:p>
        </w:tc>
        <w:tc>
          <w:tcPr>
            <w:tcW w:w="460" w:type="dxa"/>
            <w:vAlign w:val="bottom"/>
            <w:shd w:val="clear" w:color="auto" w:fill="CCEEFF"/>
          </w:tcPr>
          <w:p>
            <w:pPr>
              <w:jc w:val="right"/>
              <w:ind w:right="28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26.3</w:t>
            </w:r>
          </w:p>
        </w:tc>
      </w:tr>
      <w:tr>
        <w:trPr>
          <w:trHeight w:val="20"/>
        </w:trPr>
        <w:tc>
          <w:tcPr>
            <w:tcW w:w="8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769" w:right="339" w:bottom="1440" w:gutter="0" w:footer="0" w:header="0"/>
          <w:type w:val="continuous"/>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20" w:type="dxa"/>
            <w:vAlign w:val="bottom"/>
            <w:gridSpan w:val="4"/>
          </w:tcPr>
          <w:p>
            <w:pPr>
              <w:jc w:val="right"/>
              <w:ind w:right="308"/>
              <w:spacing w:after="0"/>
              <w:rPr>
                <w:sz w:val="20"/>
                <w:szCs w:val="20"/>
                <w:color w:val="auto"/>
              </w:rPr>
            </w:pPr>
            <w:r>
              <w:rPr>
                <w:rFonts w:ascii="Arial" w:cs="Arial" w:eastAsia="Arial" w:hAnsi="Arial"/>
                <w:sz w:val="14"/>
                <w:szCs w:val="14"/>
                <w:b w:val="1"/>
                <w:bCs w:val="1"/>
                <w:color w:val="auto"/>
              </w:rPr>
              <w:t>For the Three Months Ended</w:t>
            </w:r>
          </w:p>
        </w:tc>
      </w:tr>
      <w:tr>
        <w:trPr>
          <w:trHeight w:val="276"/>
        </w:trPr>
        <w:tc>
          <w:tcPr>
            <w:tcW w:w="85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gridSpan w:val="3"/>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860" w:type="dxa"/>
            <w:vAlign w:val="bottom"/>
            <w:tcBorders>
              <w:bottom w:val="single" w:sz="8" w:color="auto"/>
            </w:tcBorders>
          </w:tcPr>
          <w:p>
            <w:pPr>
              <w:spacing w:after="0"/>
              <w:rPr>
                <w:sz w:val="24"/>
                <w:szCs w:val="24"/>
                <w:color w:val="auto"/>
              </w:rPr>
            </w:pPr>
          </w:p>
        </w:tc>
      </w:tr>
      <w:tr>
        <w:trPr>
          <w:trHeight w:val="264"/>
        </w:trPr>
        <w:tc>
          <w:tcPr>
            <w:tcW w:w="85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r>
      <w:tr>
        <w:trPr>
          <w:trHeight w:val="270"/>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operating activities:</w:t>
            </w: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r>
      <w:tr>
        <w:trPr>
          <w:trHeight w:val="264"/>
        </w:trPr>
        <w:tc>
          <w:tcPr>
            <w:tcW w:w="85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Net income including noncontrolling interest</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41.6</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37.3</w:t>
            </w:r>
          </w:p>
        </w:tc>
      </w:tr>
      <w:tr>
        <w:trPr>
          <w:trHeight w:val="269"/>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Adjustments to reconcile net income including noncontrolling interest to net cash provided by operating activities:</w:t>
            </w: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r>
      <w:tr>
        <w:trPr>
          <w:trHeight w:val="264"/>
        </w:trPr>
        <w:tc>
          <w:tcPr>
            <w:tcW w:w="8680" w:type="dxa"/>
            <w:vAlign w:val="bottom"/>
            <w:gridSpan w:val="2"/>
          </w:tcPr>
          <w:p>
            <w:pPr>
              <w:ind w:left="280"/>
              <w:spacing w:after="0"/>
              <w:rPr>
                <w:sz w:val="20"/>
                <w:szCs w:val="20"/>
                <w:color w:val="auto"/>
              </w:rPr>
            </w:pPr>
            <w:r>
              <w:rPr>
                <w:rFonts w:ascii="Arial" w:cs="Arial" w:eastAsia="Arial" w:hAnsi="Arial"/>
                <w:sz w:val="14"/>
                <w:szCs w:val="14"/>
                <w:color w:val="auto"/>
              </w:rPr>
              <w:t>Depreciation and amortization</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21.8</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22.3</w:t>
            </w:r>
          </w:p>
        </w:tc>
      </w:tr>
      <w:tr>
        <w:trPr>
          <w:trHeight w:val="276"/>
        </w:trPr>
        <w:tc>
          <w:tcPr>
            <w:tcW w:w="86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Provision for bad debt</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9.9</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w:t>
            </w:r>
          </w:p>
        </w:tc>
      </w:tr>
      <w:tr>
        <w:trPr>
          <w:trHeight w:val="264"/>
        </w:trPr>
        <w:tc>
          <w:tcPr>
            <w:tcW w:w="8680" w:type="dxa"/>
            <w:vAlign w:val="bottom"/>
            <w:gridSpan w:val="2"/>
          </w:tcPr>
          <w:p>
            <w:pPr>
              <w:ind w:left="280"/>
              <w:spacing w:after="0"/>
              <w:rPr>
                <w:sz w:val="20"/>
                <w:szCs w:val="20"/>
                <w:color w:val="auto"/>
              </w:rPr>
            </w:pPr>
            <w:r>
              <w:rPr>
                <w:rFonts w:ascii="Arial" w:cs="Arial" w:eastAsia="Arial" w:hAnsi="Arial"/>
                <w:sz w:val="14"/>
                <w:szCs w:val="14"/>
                <w:color w:val="auto"/>
              </w:rPr>
              <w:t>Share-based payment award compensation costs</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(1.8)</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4.2</w:t>
            </w:r>
          </w:p>
        </w:tc>
      </w:tr>
      <w:tr>
        <w:trPr>
          <w:trHeight w:val="276"/>
        </w:trPr>
        <w:tc>
          <w:tcPr>
            <w:tcW w:w="86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Deferred income tax expense (benefit)</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(11.7)</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w:t>
            </w:r>
          </w:p>
        </w:tc>
      </w:tr>
      <w:tr>
        <w:trPr>
          <w:trHeight w:val="264"/>
        </w:trPr>
        <w:tc>
          <w:tcPr>
            <w:tcW w:w="8680" w:type="dxa"/>
            <w:vAlign w:val="bottom"/>
            <w:gridSpan w:val="2"/>
          </w:tcPr>
          <w:p>
            <w:pPr>
              <w:ind w:left="280"/>
              <w:spacing w:after="0"/>
              <w:rPr>
                <w:sz w:val="20"/>
                <w:szCs w:val="20"/>
                <w:color w:val="auto"/>
              </w:rPr>
            </w:pPr>
            <w:r>
              <w:rPr>
                <w:rFonts w:ascii="Arial" w:cs="Arial" w:eastAsia="Arial" w:hAnsi="Arial"/>
                <w:sz w:val="14"/>
                <w:szCs w:val="14"/>
                <w:color w:val="auto"/>
              </w:rPr>
              <w:t>Foreign currency (gains) losses, net</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(19.8)</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3.4</w:t>
            </w:r>
          </w:p>
        </w:tc>
      </w:tr>
      <w:tr>
        <w:trPr>
          <w:trHeight w:val="276"/>
        </w:trPr>
        <w:tc>
          <w:tcPr>
            <w:tcW w:w="86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Other</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(40.9)</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8.2</w:t>
            </w:r>
          </w:p>
        </w:tc>
      </w:tr>
      <w:tr>
        <w:trPr>
          <w:trHeight w:val="264"/>
        </w:trPr>
        <w:tc>
          <w:tcPr>
            <w:tcW w:w="8680" w:type="dxa"/>
            <w:vAlign w:val="bottom"/>
            <w:gridSpan w:val="2"/>
          </w:tcPr>
          <w:p>
            <w:pPr>
              <w:ind w:left="280"/>
              <w:spacing w:after="0"/>
              <w:rPr>
                <w:sz w:val="20"/>
                <w:szCs w:val="20"/>
                <w:color w:val="auto"/>
              </w:rPr>
            </w:pPr>
            <w:r>
              <w:rPr>
                <w:rFonts w:ascii="Arial" w:cs="Arial" w:eastAsia="Arial" w:hAnsi="Arial"/>
                <w:sz w:val="14"/>
                <w:szCs w:val="14"/>
                <w:color w:val="auto"/>
              </w:rPr>
              <w:t>Changes in assets and liabilities, net of acquisitions:</w:t>
            </w:r>
          </w:p>
        </w:tc>
        <w:tc>
          <w:tcPr>
            <w:tcW w:w="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76"/>
        </w:trPr>
        <w:tc>
          <w:tcPr>
            <w:tcW w:w="86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Accounts receivable, net</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900.4</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11.2</w:t>
            </w:r>
          </w:p>
        </w:tc>
      </w:tr>
      <w:tr>
        <w:trPr>
          <w:trHeight w:val="264"/>
        </w:trPr>
        <w:tc>
          <w:tcPr>
            <w:tcW w:w="8680" w:type="dxa"/>
            <w:vAlign w:val="bottom"/>
            <w:gridSpan w:val="2"/>
          </w:tcPr>
          <w:p>
            <w:pPr>
              <w:ind w:left="380"/>
              <w:spacing w:after="0"/>
              <w:rPr>
                <w:sz w:val="20"/>
                <w:szCs w:val="20"/>
                <w:color w:val="auto"/>
              </w:rPr>
            </w:pPr>
            <w:r>
              <w:rPr>
                <w:rFonts w:ascii="Arial" w:cs="Arial" w:eastAsia="Arial" w:hAnsi="Arial"/>
                <w:sz w:val="14"/>
                <w:szCs w:val="14"/>
                <w:color w:val="auto"/>
              </w:rPr>
              <w:t>Inventories</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245.3</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(83.4)</w:t>
            </w:r>
          </w:p>
        </w:tc>
      </w:tr>
      <w:tr>
        <w:trPr>
          <w:trHeight w:val="276"/>
        </w:trPr>
        <w:tc>
          <w:tcPr>
            <w:tcW w:w="86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Prepaid expenses</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20.7</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8.7</w:t>
            </w:r>
          </w:p>
        </w:tc>
      </w:tr>
      <w:tr>
        <w:trPr>
          <w:trHeight w:val="264"/>
        </w:trPr>
        <w:tc>
          <w:tcPr>
            <w:tcW w:w="8680" w:type="dxa"/>
            <w:vAlign w:val="bottom"/>
            <w:gridSpan w:val="2"/>
          </w:tcPr>
          <w:p>
            <w:pPr>
              <w:ind w:left="380"/>
              <w:spacing w:after="0"/>
              <w:rPr>
                <w:sz w:val="20"/>
                <w:szCs w:val="20"/>
                <w:color w:val="auto"/>
              </w:rPr>
            </w:pPr>
            <w:r>
              <w:rPr>
                <w:rFonts w:ascii="Arial" w:cs="Arial" w:eastAsia="Arial" w:hAnsi="Arial"/>
                <w:sz w:val="14"/>
                <w:szCs w:val="14"/>
                <w:color w:val="auto"/>
              </w:rPr>
              <w:t>Short-term derivative assets, net</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(189.3)</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164.2</w:t>
            </w:r>
          </w:p>
        </w:tc>
      </w:tr>
      <w:tr>
        <w:trPr>
          <w:trHeight w:val="276"/>
        </w:trPr>
        <w:tc>
          <w:tcPr>
            <w:tcW w:w="86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current assets</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17.7</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27.3</w:t>
            </w:r>
          </w:p>
        </w:tc>
      </w:tr>
      <w:tr>
        <w:trPr>
          <w:trHeight w:val="264"/>
        </w:trPr>
        <w:tc>
          <w:tcPr>
            <w:tcW w:w="8680" w:type="dxa"/>
            <w:vAlign w:val="bottom"/>
            <w:gridSpan w:val="2"/>
          </w:tcPr>
          <w:p>
            <w:pPr>
              <w:ind w:left="380"/>
              <w:spacing w:after="0"/>
              <w:rPr>
                <w:sz w:val="20"/>
                <w:szCs w:val="20"/>
                <w:color w:val="auto"/>
              </w:rPr>
            </w:pPr>
            <w:r>
              <w:rPr>
                <w:rFonts w:ascii="Arial" w:cs="Arial" w:eastAsia="Arial" w:hAnsi="Arial"/>
                <w:sz w:val="14"/>
                <w:szCs w:val="14"/>
                <w:color w:val="auto"/>
              </w:rPr>
              <w:t>Cash collateral with financial counterparties</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(4.8)</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(32.6)</w:t>
            </w:r>
          </w:p>
        </w:tc>
      </w:tr>
      <w:tr>
        <w:trPr>
          <w:trHeight w:val="276"/>
        </w:trPr>
        <w:tc>
          <w:tcPr>
            <w:tcW w:w="86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Other non-current assets</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(29.5)</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27.3</w:t>
            </w:r>
          </w:p>
        </w:tc>
      </w:tr>
      <w:tr>
        <w:trPr>
          <w:trHeight w:val="264"/>
        </w:trPr>
        <w:tc>
          <w:tcPr>
            <w:tcW w:w="8680" w:type="dxa"/>
            <w:vAlign w:val="bottom"/>
            <w:gridSpan w:val="2"/>
          </w:tcPr>
          <w:p>
            <w:pPr>
              <w:ind w:left="380"/>
              <w:spacing w:after="0"/>
              <w:rPr>
                <w:sz w:val="20"/>
                <w:szCs w:val="20"/>
                <w:color w:val="auto"/>
              </w:rPr>
            </w:pPr>
            <w:r>
              <w:rPr>
                <w:rFonts w:ascii="Arial" w:cs="Arial" w:eastAsia="Arial" w:hAnsi="Arial"/>
                <w:sz w:val="14"/>
                <w:szCs w:val="14"/>
                <w:color w:val="auto"/>
              </w:rPr>
              <w:t>Accounts payable</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(1,057.5)</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(10.9)</w:t>
            </w:r>
          </w:p>
        </w:tc>
      </w:tr>
      <w:tr>
        <w:trPr>
          <w:trHeight w:val="276"/>
        </w:trPr>
        <w:tc>
          <w:tcPr>
            <w:tcW w:w="8680" w:type="dxa"/>
            <w:vAlign w:val="bottom"/>
            <w:gridSpan w:val="2"/>
            <w:shd w:val="clear" w:color="auto" w:fill="CCEEFF"/>
          </w:tcPr>
          <w:p>
            <w:pPr>
              <w:ind w:left="380"/>
              <w:spacing w:after="0"/>
              <w:rPr>
                <w:sz w:val="20"/>
                <w:szCs w:val="20"/>
                <w:color w:val="auto"/>
              </w:rPr>
            </w:pPr>
            <w:r>
              <w:rPr>
                <w:rFonts w:ascii="Arial" w:cs="Arial" w:eastAsia="Arial" w:hAnsi="Arial"/>
                <w:sz w:val="14"/>
                <w:szCs w:val="14"/>
                <w:color w:val="auto"/>
              </w:rPr>
              <w:t>Customer deposits</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(24.7)</w:t>
            </w:r>
          </w:p>
        </w:tc>
      </w:tr>
      <w:tr>
        <w:trPr>
          <w:trHeight w:val="264"/>
        </w:trPr>
        <w:tc>
          <w:tcPr>
            <w:tcW w:w="8680" w:type="dxa"/>
            <w:vAlign w:val="bottom"/>
            <w:gridSpan w:val="2"/>
          </w:tcPr>
          <w:p>
            <w:pPr>
              <w:ind w:left="380"/>
              <w:spacing w:after="0"/>
              <w:rPr>
                <w:sz w:val="20"/>
                <w:szCs w:val="20"/>
                <w:color w:val="auto"/>
              </w:rPr>
            </w:pPr>
            <w:r>
              <w:rPr>
                <w:rFonts w:ascii="Arial" w:cs="Arial" w:eastAsia="Arial" w:hAnsi="Arial"/>
                <w:sz w:val="14"/>
                <w:szCs w:val="14"/>
                <w:color w:val="auto"/>
              </w:rPr>
              <w:t>Accrued expenses and other current liabilities</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101.5</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(103.2)</w:t>
            </w:r>
          </w:p>
        </w:tc>
      </w:tr>
      <w:tr>
        <w:trPr>
          <w:trHeight w:val="270"/>
        </w:trPr>
        <w:tc>
          <w:tcPr>
            <w:tcW w:w="8560" w:type="dxa"/>
            <w:vAlign w:val="bottom"/>
            <w:tcBorders>
              <w:bottom w:val="single" w:sz="8" w:color="auto"/>
            </w:tcBorders>
            <w:shd w:val="clear" w:color="auto" w:fill="CCEEFF"/>
          </w:tcPr>
          <w:p>
            <w:pPr>
              <w:ind w:left="380"/>
              <w:spacing w:after="0"/>
              <w:rPr>
                <w:sz w:val="20"/>
                <w:szCs w:val="20"/>
                <w:color w:val="auto"/>
              </w:rPr>
            </w:pPr>
            <w:r>
              <w:rPr>
                <w:rFonts w:ascii="Arial" w:cs="Arial" w:eastAsia="Arial" w:hAnsi="Arial"/>
                <w:sz w:val="14"/>
                <w:szCs w:val="14"/>
                <w:color w:val="auto"/>
              </w:rPr>
              <w:t>Non-current income tax, net and other long-term liabilities</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(46.4)</w:t>
            </w:r>
          </w:p>
        </w:tc>
      </w:tr>
      <w:tr>
        <w:trPr>
          <w:trHeight w:val="250"/>
        </w:trPr>
        <w:tc>
          <w:tcPr>
            <w:tcW w:w="856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Total adjustments</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(32.1)</w:t>
            </w:r>
          </w:p>
        </w:tc>
        <w:tc>
          <w:tcPr>
            <w:tcW w:w="10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(26.5)</w:t>
            </w:r>
          </w:p>
        </w:tc>
      </w:tr>
      <w:tr>
        <w:trPr>
          <w:trHeight w:val="250"/>
        </w:trPr>
        <w:tc>
          <w:tcPr>
            <w:tcW w:w="85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provided by (used in) operating activities</w:t>
            </w:r>
          </w:p>
        </w:tc>
        <w:tc>
          <w:tcPr>
            <w:tcW w:w="12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9.5</w:t>
            </w:r>
          </w:p>
        </w:tc>
        <w:tc>
          <w:tcPr>
            <w:tcW w:w="100" w:type="dxa"/>
            <w:vAlign w:val="bottom"/>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10.8</w:t>
            </w:r>
          </w:p>
        </w:tc>
      </w:tr>
      <w:tr>
        <w:trPr>
          <w:trHeight w:val="263"/>
        </w:trPr>
        <w:tc>
          <w:tcPr>
            <w:tcW w:w="8680" w:type="dxa"/>
            <w:vAlign w:val="bottom"/>
            <w:gridSpan w:val="2"/>
          </w:tcPr>
          <w:p>
            <w:pPr>
              <w:ind w:left="40"/>
              <w:spacing w:after="0"/>
              <w:rPr>
                <w:sz w:val="20"/>
                <w:szCs w:val="20"/>
                <w:color w:val="auto"/>
              </w:rPr>
            </w:pPr>
            <w:r>
              <w:rPr>
                <w:rFonts w:ascii="Arial" w:cs="Arial" w:eastAsia="Arial" w:hAnsi="Arial"/>
                <w:sz w:val="14"/>
                <w:szCs w:val="14"/>
                <w:color w:val="auto"/>
              </w:rPr>
              <w:t>Cash flows from investing activities:</w:t>
            </w:r>
          </w:p>
        </w:tc>
        <w:tc>
          <w:tcPr>
            <w:tcW w:w="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76"/>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Acquisition of businesses, net of cash acquired</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(130.5)</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Capital expenditures</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(17.4)</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(21.8)</w:t>
            </w:r>
          </w:p>
        </w:tc>
      </w:tr>
      <w:tr>
        <w:trPr>
          <w:trHeight w:val="270"/>
        </w:trPr>
        <w:tc>
          <w:tcPr>
            <w:tcW w:w="85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Other investing activities, net</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w:t>
            </w:r>
          </w:p>
        </w:tc>
        <w:tc>
          <w:tcPr>
            <w:tcW w:w="10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3.3</w:t>
            </w:r>
          </w:p>
        </w:tc>
      </w:tr>
      <w:tr>
        <w:trPr>
          <w:trHeight w:val="250"/>
        </w:trPr>
        <w:tc>
          <w:tcPr>
            <w:tcW w:w="856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Net cash (used in) provided by investing activities</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(149.0)</w:t>
            </w:r>
          </w:p>
        </w:tc>
        <w:tc>
          <w:tcPr>
            <w:tcW w:w="10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w:t>
            </w:r>
          </w:p>
        </w:tc>
      </w:tr>
      <w:tr>
        <w:trPr>
          <w:trHeight w:val="270"/>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Cash flows from financing activities:</w:t>
            </w: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Borrowings of debt</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1,732.0</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1,542.0</w:t>
            </w:r>
          </w:p>
        </w:tc>
      </w:tr>
      <w:tr>
        <w:trPr>
          <w:trHeight w:val="276"/>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Repayments of debt</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(1,161.3)</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(1,547.5)</w:t>
            </w: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Dividends paid on common stock</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(6.5)</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(4.0)</w:t>
            </w:r>
          </w:p>
        </w:tc>
      </w:tr>
      <w:tr>
        <w:trPr>
          <w:trHeight w:val="276"/>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Repurchases of common stock</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(55.6)</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856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 financing activities, net</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(1.5)</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w:t>
            </w:r>
          </w:p>
        </w:tc>
      </w:tr>
      <w:tr>
        <w:trPr>
          <w:trHeight w:val="250"/>
        </w:trPr>
        <w:tc>
          <w:tcPr>
            <w:tcW w:w="856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b w:val="1"/>
                <w:bCs w:val="1"/>
                <w:color w:val="auto"/>
              </w:rPr>
              <w:t>Net cash provided by (used in) financing activities</w:t>
            </w:r>
          </w:p>
        </w:tc>
        <w:tc>
          <w:tcPr>
            <w:tcW w:w="120" w:type="dxa"/>
            <w:vAlign w:val="bottom"/>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507.0</w:t>
            </w:r>
          </w:p>
        </w:tc>
        <w:tc>
          <w:tcPr>
            <w:tcW w:w="100" w:type="dxa"/>
            <w:vAlign w:val="bottom"/>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spacing w:after="0"/>
              <w:rPr>
                <w:sz w:val="21"/>
                <w:szCs w:val="21"/>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(10.9)</w:t>
            </w:r>
          </w:p>
        </w:tc>
      </w:tr>
      <w:tr>
        <w:trPr>
          <w:trHeight w:val="250"/>
        </w:trPr>
        <w:tc>
          <w:tcPr>
            <w:tcW w:w="85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Effect of exchange rate changes on cash and cash equivalents</w:t>
            </w:r>
          </w:p>
        </w:tc>
        <w:tc>
          <w:tcPr>
            <w:tcW w:w="1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(16.5)</w:t>
            </w:r>
          </w:p>
        </w:tc>
        <w:tc>
          <w:tcPr>
            <w:tcW w:w="10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0.9</w:t>
            </w:r>
          </w:p>
        </w:tc>
      </w:tr>
      <w:tr>
        <w:trPr>
          <w:trHeight w:val="256"/>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Net increase (decrease) in cash and cash equivalents</w:t>
            </w:r>
          </w:p>
        </w:tc>
        <w:tc>
          <w:tcPr>
            <w:tcW w:w="24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351.0</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(17.7)</w:t>
            </w:r>
          </w:p>
        </w:tc>
      </w:tr>
      <w:tr>
        <w:trPr>
          <w:trHeight w:val="264"/>
        </w:trPr>
        <w:tc>
          <w:tcPr>
            <w:tcW w:w="85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Cash and cash equivalents, as of the beginning of the period</w:t>
            </w: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186.1</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211.7</w:t>
            </w:r>
          </w:p>
        </w:tc>
      </w:tr>
      <w:tr>
        <w:trPr>
          <w:trHeight w:val="237"/>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Cash and cash equivalents, as of the end of the period</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537.0</w:t>
            </w:r>
          </w:p>
        </w:tc>
        <w:tc>
          <w:tcPr>
            <w:tcW w:w="100" w:type="dxa"/>
            <w:vAlign w:val="bottom"/>
            <w:shd w:val="clear" w:color="auto" w:fill="CCEEFF"/>
          </w:tcPr>
          <w:p>
            <w:pPr>
              <w:spacing w:after="0"/>
              <w:rPr>
                <w:sz w:val="20"/>
                <w:szCs w:val="20"/>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194.0</w:t>
            </w:r>
          </w:p>
        </w:tc>
      </w:tr>
      <w:tr>
        <w:trPr>
          <w:trHeight w:val="20"/>
        </w:trPr>
        <w:tc>
          <w:tcPr>
            <w:tcW w:w="8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bl>
    <w:p>
      <w:pPr>
        <w:sectPr>
          <w:pgSz w:w="11900" w:h="16838" w:orient="portrait"/>
          <w:cols w:equalWidth="0" w:num="1">
            <w:col w:w="11240"/>
          </w:cols>
          <w:pgMar w:left="320" w:top="553" w:right="339" w:bottom="1440" w:gutter="0" w:footer="0" w:header="0"/>
        </w:sectPr>
      </w:pPr>
    </w:p>
    <w:bookmarkStart w:id="11" w:name="page12"/>
    <w:bookmarkEnd w:id="11"/>
    <w:p>
      <w:pPr>
        <w:jc w:val="center"/>
        <w:ind w:left="2640" w:right="2680"/>
        <w:spacing w:after="0" w:line="266" w:lineRule="auto"/>
        <w:rPr>
          <w:sz w:val="20"/>
          <w:szCs w:val="20"/>
          <w:color w:val="auto"/>
        </w:rPr>
      </w:pPr>
      <w:r>
        <w:rPr>
          <w:rFonts w:ascii="Arial" w:cs="Arial" w:eastAsia="Arial" w:hAnsi="Arial"/>
          <w:sz w:val="18"/>
          <w:szCs w:val="18"/>
          <w:b w:val="1"/>
          <w:bCs w:val="1"/>
          <w:color w:val="auto"/>
        </w:rPr>
        <w:t xml:space="preserve">WORLD FUEL SERVICES CORPORATION RECONCILIATION OF GAAP TO NON-GAAP FINANCIAL MEASURES </w:t>
      </w:r>
      <w:r>
        <w:rPr>
          <w:rFonts w:ascii="Arial" w:cs="Arial" w:eastAsia="Arial" w:hAnsi="Arial"/>
          <w:sz w:val="18"/>
          <w:szCs w:val="18"/>
          <w:color w:val="auto"/>
        </w:rPr>
        <w:t>(Unaudited - In millions, except per share data)</w:t>
      </w:r>
    </w:p>
    <w:p>
      <w:pPr>
        <w:sectPr>
          <w:pgSz w:w="11900" w:h="16838" w:orient="portrait"/>
          <w:cols w:equalWidth="0" w:num="1">
            <w:col w:w="11200"/>
          </w:cols>
          <w:pgMar w:left="360" w:top="769"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56515</wp:posOffset>
            </wp:positionV>
            <wp:extent cx="7132320" cy="1714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-19685</wp:posOffset>
            </wp:positionH>
            <wp:positionV relativeFrom="paragraph">
              <wp:posOffset>-122555</wp:posOffset>
            </wp:positionV>
            <wp:extent cx="542607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426075" cy="889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Net income attributable to World Fuel</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Acquisition related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46990</wp:posOffset>
            </wp:positionV>
            <wp:extent cx="713232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Restructuring related costs</w:t>
      </w:r>
    </w:p>
    <w:p>
      <w:pPr>
        <w:spacing w:after="0" w:line="10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Income tax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46990</wp:posOffset>
            </wp:positionV>
            <wp:extent cx="713232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30" w:lineRule="exact"/>
        <w:rPr>
          <w:sz w:val="20"/>
          <w:szCs w:val="20"/>
          <w:color w:val="auto"/>
        </w:rPr>
      </w:pPr>
    </w:p>
    <w:p>
      <w:pPr>
        <w:spacing w:after="0"/>
        <w:rPr>
          <w:sz w:val="20"/>
          <w:szCs w:val="20"/>
          <w:color w:val="auto"/>
        </w:rPr>
      </w:pPr>
      <w:r>
        <w:rPr>
          <w:rFonts w:ascii="Arial" w:cs="Arial" w:eastAsia="Arial" w:hAnsi="Arial"/>
          <w:sz w:val="14"/>
          <w:szCs w:val="14"/>
          <w:color w:val="auto"/>
        </w:rPr>
        <w:t>Adjusted net income attributable to World Fuel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201295</wp:posOffset>
            </wp:positionV>
            <wp:extent cx="7132320" cy="1714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0"/>
                    </a:xfrm>
                    <a:prstGeom prst="rect">
                      <a:avLst/>
                    </a:prstGeom>
                    <a:noFill/>
                  </pic:spPr>
                </pic:pic>
              </a:graphicData>
            </a:graphic>
          </wp:anchor>
        </w:drawing>
        <w:drawing>
          <wp:anchor simplePos="0" relativeHeight="251657728" behindDoc="1" locked="0" layoutInCell="0" allowOverlap="1">
            <wp:simplePos x="0" y="0"/>
            <wp:positionH relativeFrom="column">
              <wp:posOffset>-19685</wp:posOffset>
            </wp:positionH>
            <wp:positionV relativeFrom="paragraph">
              <wp:posOffset>20955</wp:posOffset>
            </wp:positionV>
            <wp:extent cx="542607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426075" cy="8890"/>
                    </a:xfrm>
                    <a:prstGeom prst="rect">
                      <a:avLst/>
                    </a:prstGeom>
                    <a:noFill/>
                  </pic:spPr>
                </pic:pic>
              </a:graphicData>
            </a:graphic>
          </wp:anchor>
        </w:drawing>
      </w:r>
    </w:p>
    <w:p>
      <w:pPr>
        <w:spacing w:after="0" w:line="373" w:lineRule="exact"/>
        <w:rPr>
          <w:sz w:val="20"/>
          <w:szCs w:val="20"/>
          <w:color w:val="auto"/>
        </w:rPr>
      </w:pPr>
    </w:p>
    <w:p>
      <w:pPr>
        <w:jc w:val="center"/>
        <w:ind w:right="5880"/>
        <w:spacing w:after="0"/>
        <w:rPr>
          <w:sz w:val="20"/>
          <w:szCs w:val="20"/>
          <w:color w:val="auto"/>
        </w:rPr>
      </w:pPr>
      <w:r>
        <w:rPr>
          <w:rFonts w:ascii="Arial" w:cs="Arial" w:eastAsia="Arial" w:hAnsi="Arial"/>
          <w:sz w:val="12"/>
          <w:szCs w:val="12"/>
          <w:color w:val="auto"/>
        </w:rPr>
        <w:t>Diluted earnings per common share</w:t>
      </w:r>
    </w:p>
    <w:p>
      <w:pPr>
        <w:spacing w:after="0" w:line="92" w:lineRule="exact"/>
        <w:rPr>
          <w:sz w:val="20"/>
          <w:szCs w:val="20"/>
          <w:color w:val="auto"/>
        </w:rPr>
      </w:pPr>
    </w:p>
    <w:p>
      <w:pPr>
        <w:jc w:val="center"/>
        <w:ind w:right="5860"/>
        <w:spacing w:after="0"/>
        <w:rPr>
          <w:sz w:val="20"/>
          <w:szCs w:val="20"/>
          <w:color w:val="auto"/>
        </w:rPr>
      </w:pPr>
      <w:r>
        <w:rPr>
          <w:rFonts w:ascii="Arial" w:cs="Arial" w:eastAsia="Arial" w:hAnsi="Arial"/>
          <w:sz w:val="14"/>
          <w:szCs w:val="14"/>
          <w:color w:val="auto"/>
        </w:rPr>
        <w:t>Acquisition related charges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46990</wp:posOffset>
            </wp:positionV>
            <wp:extent cx="7132320"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Restructuring related costs</w:t>
      </w:r>
    </w:p>
    <w:p>
      <w:pPr>
        <w:spacing w:after="0" w:line="10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Income tax impacts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46990</wp:posOffset>
            </wp:positionV>
            <wp:extent cx="7132320"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16" w:lineRule="exact"/>
        <w:rPr>
          <w:sz w:val="20"/>
          <w:szCs w:val="20"/>
          <w:color w:val="auto"/>
        </w:rPr>
      </w:pPr>
    </w:p>
    <w:p>
      <w:pPr>
        <w:spacing w:after="0"/>
        <w:rPr>
          <w:sz w:val="20"/>
          <w:szCs w:val="20"/>
          <w:color w:val="auto"/>
        </w:rPr>
      </w:pPr>
      <w:r>
        <w:rPr>
          <w:rFonts w:ascii="Arial" w:cs="Arial" w:eastAsia="Arial" w:hAnsi="Arial"/>
          <w:sz w:val="14"/>
          <w:szCs w:val="14"/>
          <w:color w:val="auto"/>
        </w:rPr>
        <w:t>Adjusted diluted earnings per common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38100</wp:posOffset>
            </wp:positionV>
            <wp:extent cx="5426075"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426075" cy="8255"/>
                    </a:xfrm>
                    <a:prstGeom prst="rect">
                      <a:avLst/>
                    </a:prstGeom>
                    <a:noFill/>
                  </pic:spPr>
                </pic:pic>
              </a:graphicData>
            </a:graphic>
          </wp:anchor>
        </w:drawing>
        <w:drawing>
          <wp:anchor simplePos="0" relativeHeight="251657728" behindDoc="1" locked="0" layoutInCell="0" allowOverlap="1">
            <wp:simplePos x="0" y="0"/>
            <wp:positionH relativeFrom="column">
              <wp:posOffset>-19685</wp:posOffset>
            </wp:positionH>
            <wp:positionV relativeFrom="paragraph">
              <wp:posOffset>612775</wp:posOffset>
            </wp:positionV>
            <wp:extent cx="542607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4260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For the Three Months Ended</w:t>
      </w:r>
    </w:p>
    <w:p>
      <w:pPr>
        <w:spacing w:after="0" w:line="69"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49530</wp:posOffset>
            </wp:positionV>
            <wp:extent cx="162877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628775" cy="8890"/>
                    </a:xfrm>
                    <a:prstGeom prst="rect">
                      <a:avLst/>
                    </a:prstGeom>
                    <a:noFill/>
                  </pic:spPr>
                </pic:pic>
              </a:graphicData>
            </a:graphic>
          </wp:anchor>
        </w:drawing>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2019</w:t>
            </w:r>
          </w:p>
        </w:tc>
      </w:tr>
      <w:tr>
        <w:trPr>
          <w:trHeight w:val="244"/>
        </w:trPr>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41.4</w:t>
            </w:r>
          </w:p>
        </w:tc>
        <w:tc>
          <w:tcPr>
            <w:tcW w:w="100" w:type="dxa"/>
            <w:vAlign w:val="bottom"/>
          </w:tcPr>
          <w:p>
            <w:pPr>
              <w:spacing w:after="0"/>
              <w:rPr>
                <w:sz w:val="21"/>
                <w:szCs w:val="21"/>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37.2</w:t>
            </w:r>
          </w:p>
        </w:tc>
      </w:tr>
      <w:tr>
        <w:trPr>
          <w:trHeight w:val="270"/>
        </w:trPr>
        <w:tc>
          <w:tcPr>
            <w:tcW w:w="2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1.1</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0.4</w:t>
            </w:r>
          </w:p>
        </w:tc>
      </w:tr>
      <w:tr>
        <w:trPr>
          <w:trHeight w:val="270"/>
        </w:trPr>
        <w:tc>
          <w:tcPr>
            <w:tcW w:w="2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1.8</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(0.5)</w:t>
            </w:r>
          </w:p>
        </w:tc>
      </w:tr>
      <w:tr>
        <w:trPr>
          <w:trHeight w:val="250"/>
        </w:trPr>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43.6</w:t>
            </w:r>
          </w:p>
        </w:tc>
        <w:tc>
          <w:tcPr>
            <w:tcW w:w="100" w:type="dxa"/>
            <w:vAlign w:val="bottom"/>
          </w:tcPr>
          <w:p>
            <w:pPr>
              <w:spacing w:after="0"/>
              <w:rPr>
                <w:sz w:val="21"/>
                <w:szCs w:val="21"/>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38.9</w:t>
            </w:r>
          </w:p>
        </w:tc>
      </w:tr>
      <w:tr>
        <w:trPr>
          <w:trHeight w:val="528"/>
        </w:trPr>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0.63</w:t>
            </w:r>
          </w:p>
        </w:tc>
        <w:tc>
          <w:tcPr>
            <w:tcW w:w="100" w:type="dxa"/>
            <w:vAlign w:val="bottom"/>
          </w:tcPr>
          <w:p>
            <w:pPr>
              <w:spacing w:after="0"/>
              <w:rPr>
                <w:sz w:val="24"/>
                <w:szCs w:val="24"/>
                <w:color w:val="auto"/>
              </w:rPr>
            </w:pPr>
          </w:p>
        </w:tc>
        <w:tc>
          <w:tcPr>
            <w:tcW w:w="2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0.55</w:t>
            </w:r>
          </w:p>
        </w:tc>
      </w:tr>
      <w:tr>
        <w:trPr>
          <w:trHeight w:val="270"/>
        </w:trPr>
        <w:tc>
          <w:tcPr>
            <w:tcW w:w="2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0.02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0.01</w:t>
            </w:r>
          </w:p>
        </w:tc>
      </w:tr>
      <w:tr>
        <w:trPr>
          <w:trHeight w:val="270"/>
        </w:trPr>
        <w:tc>
          <w:tcPr>
            <w:tcW w:w="280" w:type="dxa"/>
            <w:vAlign w:val="bottom"/>
          </w:tcPr>
          <w:p>
            <w:pPr>
              <w:spacing w:after="0"/>
              <w:rPr>
                <w:sz w:val="23"/>
                <w:szCs w:val="23"/>
                <w:color w:val="auto"/>
              </w:rPr>
            </w:pPr>
          </w:p>
        </w:tc>
        <w:tc>
          <w:tcPr>
            <w:tcW w:w="960" w:type="dxa"/>
            <w:vAlign w:val="bottom"/>
          </w:tcPr>
          <w:p>
            <w:pPr>
              <w:jc w:val="right"/>
              <w:ind w:right="48"/>
              <w:spacing w:after="0"/>
              <w:rPr>
                <w:sz w:val="20"/>
                <w:szCs w:val="20"/>
                <w:color w:val="auto"/>
              </w:rPr>
            </w:pPr>
            <w:r>
              <w:rPr>
                <w:rFonts w:ascii="Arial" w:cs="Arial" w:eastAsia="Arial" w:hAnsi="Arial"/>
                <w:sz w:val="14"/>
                <w:szCs w:val="14"/>
                <w:color w:val="auto"/>
              </w:rPr>
              <w:t>0.03</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40" w:type="dxa"/>
            <w:vAlign w:val="bottom"/>
          </w:tcPr>
          <w:p>
            <w:pPr>
              <w:jc w:val="right"/>
              <w:ind w:right="28"/>
              <w:spacing w:after="0"/>
              <w:rPr>
                <w:sz w:val="20"/>
                <w:szCs w:val="20"/>
                <w:color w:val="auto"/>
              </w:rPr>
            </w:pPr>
            <w:r>
              <w:rPr>
                <w:rFonts w:ascii="Arial" w:cs="Arial" w:eastAsia="Arial" w:hAnsi="Arial"/>
                <w:sz w:val="14"/>
                <w:szCs w:val="14"/>
                <w:color w:val="auto"/>
              </w:rPr>
              <w:t>0.03</w:t>
            </w:r>
          </w:p>
        </w:tc>
      </w:tr>
      <w:tr>
        <w:trPr>
          <w:trHeight w:val="276"/>
        </w:trPr>
        <w:tc>
          <w:tcPr>
            <w:tcW w:w="2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(0.01)</w:t>
            </w:r>
          </w:p>
        </w:tc>
        <w:tc>
          <w:tcPr>
            <w:tcW w:w="1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(0.01)</w:t>
            </w:r>
          </w:p>
        </w:tc>
      </w:tr>
      <w:tr>
        <w:trPr>
          <w:trHeight w:val="236"/>
        </w:trPr>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0.67</w:t>
            </w:r>
          </w:p>
        </w:tc>
        <w:tc>
          <w:tcPr>
            <w:tcW w:w="100" w:type="dxa"/>
            <w:vAlign w:val="bottom"/>
          </w:tcPr>
          <w:p>
            <w:pPr>
              <w:spacing w:after="0"/>
              <w:rPr>
                <w:sz w:val="20"/>
                <w:szCs w:val="20"/>
                <w:color w:val="auto"/>
              </w:rPr>
            </w:pPr>
          </w:p>
        </w:tc>
        <w:tc>
          <w:tcPr>
            <w:tcW w:w="2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94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0.58</w:t>
            </w:r>
          </w:p>
        </w:tc>
      </w:tr>
      <w:tr>
        <w:trPr>
          <w:trHeight w:val="20"/>
        </w:trPr>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For the Three Months Ended</w:t>
      </w:r>
    </w:p>
    <w:p>
      <w:pPr>
        <w:spacing w:after="0" w:line="69" w:lineRule="exact"/>
        <w:rPr>
          <w:sz w:val="20"/>
          <w:szCs w:val="20"/>
          <w:color w:val="auto"/>
        </w:rPr>
      </w:pPr>
    </w:p>
    <w:p>
      <w:pPr>
        <w:jc w:val="center"/>
        <w:ind w:right="-19"/>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49530</wp:posOffset>
            </wp:positionV>
            <wp:extent cx="1628775"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628775" cy="8255"/>
                    </a:xfrm>
                    <a:prstGeom prst="rect">
                      <a:avLst/>
                    </a:prstGeom>
                    <a:noFill/>
                  </pic:spPr>
                </pic:pic>
              </a:graphicData>
            </a:graphic>
          </wp:anchor>
        </w:drawing>
      </w:r>
    </w:p>
    <w:p>
      <w:pPr>
        <w:spacing w:after="0" w:line="123" w:lineRule="exact"/>
        <w:rPr>
          <w:sz w:val="20"/>
          <w:szCs w:val="20"/>
          <w:color w:val="auto"/>
        </w:rPr>
      </w:pPr>
    </w:p>
    <w:p>
      <w:pPr>
        <w:sectPr>
          <w:pgSz w:w="11900" w:h="16838" w:orient="portrait"/>
          <w:cols w:equalWidth="0" w:num="2">
            <w:col w:w="7920" w:space="720"/>
            <w:col w:w="2560"/>
          </w:cols>
          <w:pgMar w:left="360" w:top="769" w:right="339" w:bottom="1440" w:gutter="0" w:footer="0" w:header="0"/>
          <w:type w:val="continuous"/>
        </w:sectPr>
      </w:pPr>
    </w:p>
    <w:p>
      <w:pPr>
        <w:spacing w:after="0"/>
        <w:rPr>
          <w:sz w:val="20"/>
          <w:szCs w:val="20"/>
          <w:color w:val="auto"/>
        </w:rPr>
      </w:pPr>
      <w:r>
        <w:rPr>
          <w:rFonts w:ascii="Arial" w:cs="Arial" w:eastAsia="Arial" w:hAnsi="Arial"/>
          <w:sz w:val="13"/>
          <w:szCs w:val="13"/>
          <w:b w:val="1"/>
          <w:bCs w:val="1"/>
          <w:color w:val="auto"/>
        </w:rPr>
        <w:t>Non-GAAP financial measures and reconciliation: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56515</wp:posOffset>
            </wp:positionV>
            <wp:extent cx="7132320"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Income from operations</w:t>
      </w:r>
    </w:p>
    <w:p>
      <w:pPr>
        <w:spacing w:after="0" w:line="6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Depreciation and amortization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46990</wp:posOffset>
            </wp:positionV>
            <wp:extent cx="7132320"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8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Acquisition related charges</w:t>
      </w:r>
    </w:p>
    <w:p>
      <w:pPr>
        <w:spacing w:after="0" w:line="109" w:lineRule="exact"/>
        <w:rPr>
          <w:sz w:val="20"/>
          <w:szCs w:val="20"/>
          <w:color w:val="auto"/>
        </w:rPr>
      </w:pPr>
    </w:p>
    <w:p>
      <w:pPr>
        <w:ind w:left="240"/>
        <w:spacing w:after="0"/>
        <w:rPr>
          <w:sz w:val="20"/>
          <w:szCs w:val="20"/>
          <w:color w:val="auto"/>
        </w:rPr>
      </w:pPr>
      <w:r>
        <w:rPr>
          <w:rFonts w:ascii="Arial" w:cs="Arial" w:eastAsia="Arial" w:hAnsi="Arial"/>
          <w:sz w:val="14"/>
          <w:szCs w:val="14"/>
          <w:color w:val="auto"/>
        </w:rPr>
        <w:t>Restructuring related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46990</wp:posOffset>
            </wp:positionV>
            <wp:extent cx="7132320" cy="1714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116" w:lineRule="exact"/>
        <w:rPr>
          <w:sz w:val="20"/>
          <w:szCs w:val="20"/>
          <w:color w:val="auto"/>
        </w:rPr>
      </w:pPr>
    </w:p>
    <w:p>
      <w:pPr>
        <w:spacing w:after="0"/>
        <w:rPr>
          <w:sz w:val="20"/>
          <w:szCs w:val="20"/>
          <w:color w:val="auto"/>
        </w:rPr>
      </w:pPr>
      <w:r>
        <w:rPr>
          <w:rFonts w:ascii="Arial" w:cs="Arial" w:eastAsia="Arial" w:hAnsi="Arial"/>
          <w:sz w:val="14"/>
          <w:szCs w:val="14"/>
          <w:color w:val="auto"/>
        </w:rPr>
        <w:t>Adjusted EBITDA(1)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38100</wp:posOffset>
            </wp:positionV>
            <wp:extent cx="542607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42607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ind w:left="460"/>
        <w:spacing w:after="0"/>
        <w:rPr>
          <w:sz w:val="20"/>
          <w:szCs w:val="20"/>
          <w:color w:val="auto"/>
        </w:rPr>
      </w:pPr>
      <w:r>
        <w:rPr>
          <w:rFonts w:ascii="Arial" w:cs="Arial" w:eastAsia="Arial" w:hAnsi="Arial"/>
          <w:sz w:val="14"/>
          <w:szCs w:val="14"/>
          <w:b w:val="1"/>
          <w:bCs w:val="1"/>
          <w:color w:val="auto"/>
        </w:rPr>
        <w:t>2020</w:t>
      </w:r>
    </w:p>
    <w:p>
      <w:pPr>
        <w:spacing w:after="0" w:line="113" w:lineRule="exact"/>
        <w:rPr>
          <w:sz w:val="20"/>
          <w:szCs w:val="20"/>
          <w:color w:val="auto"/>
        </w:rPr>
      </w:pPr>
    </w:p>
    <w:p>
      <w:pPr>
        <w:ind w:left="860" w:hanging="858"/>
        <w:spacing w:after="0"/>
        <w:tabs>
          <w:tab w:leader="none" w:pos="860" w:val="left"/>
        </w:tabs>
        <w:numPr>
          <w:ilvl w:val="0"/>
          <w:numId w:val="3"/>
        </w:numPr>
        <w:rPr>
          <w:rFonts w:ascii="Arial" w:cs="Arial" w:eastAsia="Arial" w:hAnsi="Arial"/>
          <w:sz w:val="12"/>
          <w:szCs w:val="12"/>
          <w:color w:val="auto"/>
        </w:rPr>
      </w:pPr>
      <w:r>
        <w:rPr>
          <w:rFonts w:ascii="Arial" w:cs="Arial" w:eastAsia="Arial" w:hAnsi="Arial"/>
          <w:sz w:val="12"/>
          <w:szCs w:val="12"/>
          <w:color w:val="auto"/>
        </w:rPr>
        <w:t>70.8</w:t>
      </w:r>
    </w:p>
    <w:p>
      <w:pPr>
        <w:spacing w:after="0" w:line="132" w:lineRule="exact"/>
        <w:rPr>
          <w:rFonts w:ascii="Arial" w:cs="Arial" w:eastAsia="Arial" w:hAnsi="Arial"/>
          <w:sz w:val="12"/>
          <w:szCs w:val="12"/>
          <w:color w:val="auto"/>
        </w:rPr>
      </w:pPr>
    </w:p>
    <w:p>
      <w:pPr>
        <w:ind w:left="860"/>
        <w:spacing w:after="0"/>
        <w:rPr>
          <w:rFonts w:ascii="Arial" w:cs="Arial" w:eastAsia="Arial" w:hAnsi="Arial"/>
          <w:sz w:val="12"/>
          <w:szCs w:val="12"/>
          <w:color w:val="auto"/>
        </w:rPr>
      </w:pPr>
      <w:r>
        <w:rPr>
          <w:rFonts w:ascii="Arial" w:cs="Arial" w:eastAsia="Arial" w:hAnsi="Arial"/>
          <w:sz w:val="12"/>
          <w:szCs w:val="12"/>
          <w:color w:val="auto"/>
        </w:rPr>
        <w:t>21.8</w:t>
      </w:r>
    </w:p>
    <w:p>
      <w:pPr>
        <w:spacing w:after="0" w:line="132" w:lineRule="exact"/>
        <w:rPr>
          <w:rFonts w:ascii="Arial" w:cs="Arial" w:eastAsia="Arial" w:hAnsi="Arial"/>
          <w:sz w:val="12"/>
          <w:szCs w:val="12"/>
          <w:color w:val="auto"/>
        </w:rPr>
      </w:pPr>
    </w:p>
    <w:p>
      <w:pPr>
        <w:ind w:left="920"/>
        <w:spacing w:after="0"/>
        <w:rPr>
          <w:rFonts w:ascii="Arial" w:cs="Arial" w:eastAsia="Arial" w:hAnsi="Arial"/>
          <w:sz w:val="12"/>
          <w:szCs w:val="12"/>
          <w:color w:val="auto"/>
        </w:rPr>
      </w:pPr>
      <w:r>
        <w:rPr>
          <w:rFonts w:ascii="Arial" w:cs="Arial" w:eastAsia="Arial" w:hAnsi="Arial"/>
          <w:sz w:val="12"/>
          <w:szCs w:val="12"/>
          <w:color w:val="auto"/>
        </w:rPr>
        <w:t>1.1</w:t>
      </w:r>
    </w:p>
    <w:p>
      <w:pPr>
        <w:spacing w:after="0" w:line="132" w:lineRule="exact"/>
        <w:rPr>
          <w:sz w:val="20"/>
          <w:szCs w:val="20"/>
          <w:color w:val="auto"/>
        </w:rPr>
      </w:pPr>
    </w:p>
    <w:p>
      <w:pPr>
        <w:jc w:val="right"/>
        <w:spacing w:after="0"/>
        <w:rPr>
          <w:sz w:val="20"/>
          <w:szCs w:val="20"/>
          <w:color w:val="auto"/>
        </w:rPr>
      </w:pPr>
      <w:r>
        <w:rPr>
          <w:rFonts w:ascii="Arial" w:cs="Arial" w:eastAsia="Arial" w:hAnsi="Arial"/>
          <w:sz w:val="14"/>
          <w:szCs w:val="14"/>
          <w:color w:val="auto"/>
        </w:rPr>
        <w:t>1.7</w:t>
      </w:r>
    </w:p>
    <w:p>
      <w:pPr>
        <w:spacing w:after="0" w:line="96" w:lineRule="exact"/>
        <w:rPr>
          <w:sz w:val="20"/>
          <w:szCs w:val="20"/>
          <w:color w:val="auto"/>
        </w:rPr>
      </w:pPr>
    </w:p>
    <w:p>
      <w:pPr>
        <w:ind w:left="860" w:hanging="858"/>
        <w:spacing w:after="0"/>
        <w:tabs>
          <w:tab w:leader="none" w:pos="860" w:val="left"/>
        </w:tabs>
        <w:numPr>
          <w:ilvl w:val="0"/>
          <w:numId w:val="4"/>
        </w:numPr>
        <w:rPr>
          <w:rFonts w:ascii="Arial" w:cs="Arial" w:eastAsia="Arial" w:hAnsi="Arial"/>
          <w:sz w:val="12"/>
          <w:szCs w:val="12"/>
          <w:color w:val="auto"/>
        </w:rPr>
      </w:pPr>
      <w:r>
        <w:rPr>
          <w:rFonts w:ascii="Arial" w:cs="Arial" w:eastAsia="Arial" w:hAnsi="Arial"/>
          <w:sz w:val="12"/>
          <w:szCs w:val="12"/>
          <w:color w:val="auto"/>
        </w:rPr>
        <w:t>95.4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-15240</wp:posOffset>
            </wp:positionH>
            <wp:positionV relativeFrom="paragraph">
              <wp:posOffset>52705</wp:posOffset>
            </wp:positionV>
            <wp:extent cx="788670" cy="82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8867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 w:lineRule="exact"/>
        <w:rPr>
          <w:sz w:val="20"/>
          <w:szCs w:val="20"/>
          <w:color w:val="auto"/>
        </w:rPr>
      </w:pPr>
    </w:p>
    <w:p>
      <w:pPr>
        <w:ind w:left="428"/>
        <w:spacing w:after="0"/>
        <w:rPr>
          <w:sz w:val="20"/>
          <w:szCs w:val="20"/>
          <w:color w:val="auto"/>
        </w:rPr>
      </w:pPr>
      <w:r>
        <w:rPr>
          <w:rFonts w:ascii="Arial" w:cs="Arial" w:eastAsia="Arial" w:hAnsi="Arial"/>
          <w:sz w:val="14"/>
          <w:szCs w:val="14"/>
          <w:b w:val="1"/>
          <w:bCs w:val="1"/>
          <w:color w:val="auto"/>
        </w:rPr>
        <w:t>2019</w:t>
      </w:r>
    </w:p>
    <w:p>
      <w:pPr>
        <w:spacing w:after="0" w:line="113" w:lineRule="exact"/>
        <w:rPr>
          <w:sz w:val="20"/>
          <w:szCs w:val="20"/>
          <w:color w:val="auto"/>
        </w:rPr>
      </w:pPr>
    </w:p>
    <w:p>
      <w:pPr>
        <w:ind w:left="828" w:hanging="828"/>
        <w:spacing w:after="0"/>
        <w:tabs>
          <w:tab w:leader="none" w:pos="828" w:val="left"/>
        </w:tabs>
        <w:numPr>
          <w:ilvl w:val="0"/>
          <w:numId w:val="5"/>
        </w:numPr>
        <w:rPr>
          <w:rFonts w:ascii="Arial" w:cs="Arial" w:eastAsia="Arial" w:hAnsi="Arial"/>
          <w:sz w:val="13"/>
          <w:szCs w:val="13"/>
          <w:color w:val="auto"/>
        </w:rPr>
      </w:pPr>
      <w:r>
        <w:rPr>
          <w:rFonts w:ascii="Arial" w:cs="Arial" w:eastAsia="Arial" w:hAnsi="Arial"/>
          <w:sz w:val="13"/>
          <w:szCs w:val="13"/>
          <w:color w:val="auto"/>
        </w:rPr>
        <w:t>70.4</w:t>
      </w:r>
    </w:p>
    <w:p>
      <w:pPr>
        <w:spacing w:after="0" w:line="120" w:lineRule="exact"/>
        <w:rPr>
          <w:rFonts w:ascii="Arial" w:cs="Arial" w:eastAsia="Arial" w:hAnsi="Arial"/>
          <w:sz w:val="13"/>
          <w:szCs w:val="13"/>
          <w:color w:val="auto"/>
        </w:rPr>
      </w:pPr>
    </w:p>
    <w:p>
      <w:pPr>
        <w:ind w:left="828"/>
        <w:spacing w:after="0"/>
        <w:rPr>
          <w:rFonts w:ascii="Arial" w:cs="Arial" w:eastAsia="Arial" w:hAnsi="Arial"/>
          <w:sz w:val="13"/>
          <w:szCs w:val="13"/>
          <w:color w:val="auto"/>
        </w:rPr>
      </w:pPr>
      <w:r>
        <w:rPr>
          <w:rFonts w:ascii="Arial" w:cs="Arial" w:eastAsia="Arial" w:hAnsi="Arial"/>
          <w:sz w:val="13"/>
          <w:szCs w:val="13"/>
          <w:color w:val="auto"/>
        </w:rPr>
        <w:t>22.3</w:t>
      </w:r>
    </w:p>
    <w:p>
      <w:pPr>
        <w:spacing w:after="0" w:line="120" w:lineRule="exact"/>
        <w:rPr>
          <w:rFonts w:ascii="Arial" w:cs="Arial" w:eastAsia="Arial" w:hAnsi="Arial"/>
          <w:sz w:val="13"/>
          <w:szCs w:val="13"/>
          <w:color w:val="auto"/>
        </w:rPr>
      </w:pPr>
    </w:p>
    <w:p>
      <w:pPr>
        <w:ind w:left="908"/>
        <w:spacing w:after="0"/>
        <w:rPr>
          <w:rFonts w:ascii="Arial" w:cs="Arial" w:eastAsia="Arial" w:hAnsi="Arial"/>
          <w:sz w:val="13"/>
          <w:szCs w:val="13"/>
          <w:color w:val="auto"/>
        </w:rPr>
      </w:pPr>
      <w:r>
        <w:rPr>
          <w:rFonts w:ascii="Arial" w:cs="Arial" w:eastAsia="Arial" w:hAnsi="Arial"/>
          <w:sz w:val="12"/>
          <w:szCs w:val="12"/>
          <w:color w:val="auto"/>
        </w:rPr>
        <w:t>0.4</w:t>
      </w:r>
    </w:p>
    <w:p>
      <w:pPr>
        <w:spacing w:after="0" w:line="132" w:lineRule="exact"/>
        <w:rPr>
          <w:sz w:val="20"/>
          <w:szCs w:val="20"/>
          <w:color w:val="auto"/>
        </w:rPr>
      </w:pPr>
    </w:p>
    <w:p>
      <w:pPr>
        <w:jc w:val="right"/>
        <w:ind w:right="100"/>
        <w:spacing w:after="0"/>
        <w:rPr>
          <w:sz w:val="20"/>
          <w:szCs w:val="20"/>
          <w:color w:val="auto"/>
        </w:rPr>
      </w:pPr>
      <w:r>
        <w:rPr>
          <w:rFonts w:ascii="Arial" w:cs="Arial" w:eastAsia="Arial" w:hAnsi="Arial"/>
          <w:sz w:val="14"/>
          <w:szCs w:val="14"/>
          <w:color w:val="auto"/>
        </w:rPr>
        <w:t>1.8</w:t>
      </w:r>
    </w:p>
    <w:p>
      <w:pPr>
        <w:spacing w:after="0" w:line="96" w:lineRule="exact"/>
        <w:rPr>
          <w:sz w:val="20"/>
          <w:szCs w:val="20"/>
          <w:color w:val="auto"/>
        </w:rPr>
      </w:pPr>
    </w:p>
    <w:p>
      <w:pPr>
        <w:ind w:left="828" w:hanging="828"/>
        <w:spacing w:after="0"/>
        <w:tabs>
          <w:tab w:leader="none" w:pos="828" w:val="left"/>
        </w:tabs>
        <w:numPr>
          <w:ilvl w:val="0"/>
          <w:numId w:val="6"/>
        </w:numPr>
        <w:rPr>
          <w:rFonts w:ascii="Arial" w:cs="Arial" w:eastAsia="Arial" w:hAnsi="Arial"/>
          <w:sz w:val="13"/>
          <w:szCs w:val="13"/>
          <w:color w:val="auto"/>
        </w:rPr>
      </w:pPr>
      <w:r>
        <w:rPr>
          <w:rFonts w:ascii="Arial" w:cs="Arial" w:eastAsia="Arial" w:hAnsi="Arial"/>
          <w:sz w:val="13"/>
          <w:szCs w:val="13"/>
          <w:color w:val="auto"/>
        </w:rPr>
        <w:t>94.8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45720</wp:posOffset>
            </wp:positionV>
            <wp:extent cx="77152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71525" cy="8255"/>
                    </a:xfrm>
                    <a:prstGeom prst="rect">
                      <a:avLst/>
                    </a:prstGeom>
                    <a:noFill/>
                  </pic:spPr>
                </pic:pic>
              </a:graphicData>
            </a:graphic>
          </wp:anchor>
        </w:drawing>
      </w:r>
    </w:p>
    <w:p>
      <w:pPr>
        <w:spacing w:after="0" w:line="211" w:lineRule="exact"/>
        <w:rPr>
          <w:sz w:val="20"/>
          <w:szCs w:val="20"/>
          <w:color w:val="auto"/>
        </w:rPr>
      </w:pPr>
    </w:p>
    <w:p>
      <w:pPr>
        <w:sectPr>
          <w:pgSz w:w="11900" w:h="16838" w:orient="portrait"/>
          <w:cols w:equalWidth="0" w:num="3">
            <w:col w:w="7940" w:space="720"/>
            <w:col w:w="1100" w:space="252"/>
            <w:col w:w="1188"/>
          </w:cols>
          <w:pgMar w:left="360" w:top="769" w:right="339" w:bottom="1440" w:gutter="0" w:footer="0" w:header="0"/>
          <w:type w:val="continuous"/>
        </w:sectPr>
      </w:pPr>
    </w:p>
    <w:p>
      <w:pPr>
        <w:spacing w:after="0" w:line="71" w:lineRule="exact"/>
        <w:rPr>
          <w:sz w:val="20"/>
          <w:szCs w:val="20"/>
          <w:color w:val="auto"/>
        </w:rPr>
      </w:pPr>
    </w:p>
    <w:p>
      <w:pPr>
        <w:ind w:left="620" w:hanging="328"/>
        <w:spacing w:after="0" w:line="273" w:lineRule="auto"/>
        <w:tabs>
          <w:tab w:leader="none" w:pos="62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Company defines adjusted EBITDA as income from operations, excluding the impact of depreciation and amortization, and items that are considered to be non-operational and are not representative of our core business, including those associated with acquisition related charges and restructuring costs.</w:t>
      </w:r>
    </w:p>
    <w:p>
      <w:pPr>
        <w:sectPr>
          <w:pgSz w:w="11900" w:h="16838" w:orient="portrait"/>
          <w:cols w:equalWidth="0" w:num="1">
            <w:col w:w="11200"/>
          </w:cols>
          <w:pgMar w:left="360" w:top="769" w:right="339" w:bottom="1440" w:gutter="0" w:footer="0" w:header="0"/>
          <w:type w:val="continuous"/>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t>WORLD FUEL SERVICES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BUSINESS SEGMENTS INFORMATION</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320" w:type="dxa"/>
            <w:vAlign w:val="bottom"/>
            <w:gridSpan w:val="4"/>
          </w:tcPr>
          <w:p>
            <w:pPr>
              <w:jc w:val="right"/>
              <w:ind w:right="308"/>
              <w:spacing w:after="0"/>
              <w:rPr>
                <w:sz w:val="20"/>
                <w:szCs w:val="20"/>
                <w:color w:val="auto"/>
              </w:rPr>
            </w:pPr>
            <w:r>
              <w:rPr>
                <w:rFonts w:ascii="Arial" w:cs="Arial" w:eastAsia="Arial" w:hAnsi="Arial"/>
                <w:sz w:val="14"/>
                <w:szCs w:val="14"/>
                <w:b w:val="1"/>
                <w:bCs w:val="1"/>
                <w:color w:val="auto"/>
              </w:rPr>
              <w:t>For the Three Months Ended</w:t>
            </w:r>
          </w:p>
        </w:tc>
      </w:tr>
      <w:tr>
        <w:trPr>
          <w:trHeight w:val="229"/>
        </w:trPr>
        <w:tc>
          <w:tcPr>
            <w:tcW w:w="8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460" w:type="dxa"/>
            <w:vAlign w:val="bottom"/>
            <w:gridSpan w:val="3"/>
          </w:tcPr>
          <w:p>
            <w:pPr>
              <w:jc w:val="right"/>
              <w:ind w:right="28"/>
              <w:spacing w:after="0"/>
              <w:rPr>
                <w:sz w:val="20"/>
                <w:szCs w:val="20"/>
                <w:color w:val="auto"/>
              </w:rPr>
            </w:pPr>
            <w:r>
              <w:rPr>
                <w:rFonts w:ascii="Arial" w:cs="Arial" w:eastAsia="Arial" w:hAnsi="Arial"/>
                <w:sz w:val="14"/>
                <w:szCs w:val="14"/>
                <w:b w:val="1"/>
                <w:bCs w:val="1"/>
                <w:color w:val="auto"/>
              </w:rPr>
              <w:t>March 31,</w:t>
            </w:r>
          </w:p>
        </w:tc>
        <w:tc>
          <w:tcPr>
            <w:tcW w:w="860" w:type="dxa"/>
            <w:vAlign w:val="bottom"/>
          </w:tcPr>
          <w:p>
            <w:pPr>
              <w:spacing w:after="0"/>
              <w:rPr>
                <w:sz w:val="19"/>
                <w:szCs w:val="19"/>
                <w:color w:val="auto"/>
              </w:rPr>
            </w:pPr>
          </w:p>
        </w:tc>
      </w:tr>
      <w:tr>
        <w:trPr>
          <w:trHeight w:val="53"/>
        </w:trPr>
        <w:tc>
          <w:tcPr>
            <w:tcW w:w="856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r>
      <w:tr>
        <w:trPr>
          <w:trHeight w:val="258"/>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Revenue:</w:t>
            </w:r>
          </w:p>
        </w:tc>
        <w:tc>
          <w:tcPr>
            <w:tcW w:w="240" w:type="dxa"/>
            <w:vAlign w:val="bottom"/>
            <w:tcBorders>
              <w:bottom w:val="single" w:sz="8" w:color="auto"/>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b w:val="1"/>
                <w:bCs w:val="1"/>
                <w:color w:val="auto"/>
              </w:rPr>
              <w:t>2020</w:t>
            </w:r>
          </w:p>
        </w:tc>
        <w:tc>
          <w:tcPr>
            <w:tcW w:w="100" w:type="dxa"/>
            <w:vAlign w:val="bottom"/>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spacing w:after="0"/>
              <w:rPr>
                <w:sz w:val="22"/>
                <w:szCs w:val="22"/>
                <w:color w:val="auto"/>
              </w:rPr>
            </w:pPr>
          </w:p>
        </w:tc>
        <w:tc>
          <w:tcPr>
            <w:tcW w:w="860" w:type="dxa"/>
            <w:vAlign w:val="bottom"/>
            <w:tcBorders>
              <w:bottom w:val="single" w:sz="8" w:color="auto"/>
            </w:tcBorders>
            <w:shd w:val="clear" w:color="auto" w:fill="CCEEFF"/>
          </w:tcPr>
          <w:p>
            <w:pPr>
              <w:jc w:val="right"/>
              <w:ind w:right="388"/>
              <w:spacing w:after="0"/>
              <w:rPr>
                <w:sz w:val="20"/>
                <w:szCs w:val="20"/>
                <w:color w:val="auto"/>
              </w:rPr>
            </w:pPr>
            <w:r>
              <w:rPr>
                <w:rFonts w:ascii="Arial" w:cs="Arial" w:eastAsia="Arial" w:hAnsi="Arial"/>
                <w:sz w:val="14"/>
                <w:szCs w:val="14"/>
                <w:b w:val="1"/>
                <w:bCs w:val="1"/>
                <w:color w:val="auto"/>
              </w:rPr>
              <w:t>2019</w:t>
            </w:r>
          </w:p>
        </w:tc>
      </w:tr>
      <w:tr>
        <w:trPr>
          <w:trHeight w:val="250"/>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3,764.1</w:t>
            </w:r>
          </w:p>
        </w:tc>
        <w:tc>
          <w:tcPr>
            <w:tcW w:w="100" w:type="dxa"/>
            <w:vAlign w:val="bottom"/>
          </w:tcPr>
          <w:p>
            <w:pPr>
              <w:spacing w:after="0"/>
              <w:rPr>
                <w:sz w:val="21"/>
                <w:szCs w:val="21"/>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4,252.7</w:t>
            </w:r>
          </w:p>
        </w:tc>
      </w:tr>
      <w:tr>
        <w:trPr>
          <w:trHeight w:val="276"/>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2,106.0</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2,493.6</w:t>
            </w: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2,145.0</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1,932.5</w:t>
            </w:r>
          </w:p>
        </w:tc>
      </w:tr>
      <w:tr>
        <w:trPr>
          <w:trHeight w:val="236"/>
        </w:trPr>
        <w:tc>
          <w:tcPr>
            <w:tcW w:w="8560" w:type="dxa"/>
            <w:vAlign w:val="bottom"/>
            <w:tcBorders>
              <w:top w:val="single" w:sz="8" w:color="auto"/>
              <w:bottom w:val="single" w:sz="8" w:color="auto"/>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8,015.2</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8,678.8</w:t>
            </w:r>
          </w:p>
        </w:tc>
      </w:tr>
      <w:tr>
        <w:trPr>
          <w:trHeight w:val="20"/>
        </w:trPr>
        <w:tc>
          <w:tcPr>
            <w:tcW w:w="8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r>
        <w:trPr>
          <w:trHeight w:val="264"/>
        </w:trPr>
        <w:tc>
          <w:tcPr>
            <w:tcW w:w="8680" w:type="dxa"/>
            <w:vAlign w:val="bottom"/>
            <w:gridSpan w:val="2"/>
          </w:tcPr>
          <w:p>
            <w:pPr>
              <w:ind w:left="40"/>
              <w:spacing w:after="0"/>
              <w:rPr>
                <w:sz w:val="20"/>
                <w:szCs w:val="20"/>
                <w:color w:val="auto"/>
              </w:rPr>
            </w:pPr>
            <w:r>
              <w:rPr>
                <w:rFonts w:ascii="Arial" w:cs="Arial" w:eastAsia="Arial" w:hAnsi="Arial"/>
                <w:sz w:val="14"/>
                <w:szCs w:val="14"/>
                <w:color w:val="auto"/>
              </w:rPr>
              <w:t>Gross profit:</w:t>
            </w:r>
          </w:p>
        </w:tc>
        <w:tc>
          <w:tcPr>
            <w:tcW w:w="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spacing w:after="0"/>
              <w:rPr>
                <w:sz w:val="22"/>
                <w:szCs w:val="22"/>
                <w:color w:val="auto"/>
              </w:rPr>
            </w:pPr>
          </w:p>
        </w:tc>
      </w:tr>
      <w:tr>
        <w:trPr>
          <w:trHeight w:val="276"/>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Aviation segment</w:t>
            </w:r>
          </w:p>
        </w:tc>
        <w:tc>
          <w:tcPr>
            <w:tcW w:w="24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93.2</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114.3</w:t>
            </w: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Land segment</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106.3</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101.5</w:t>
            </w:r>
          </w:p>
        </w:tc>
      </w:tr>
      <w:tr>
        <w:trPr>
          <w:trHeight w:val="270"/>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Marine segment</w:t>
            </w: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59.3</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35.2</w:t>
            </w:r>
          </w:p>
        </w:tc>
      </w:tr>
      <w:tr>
        <w:trPr>
          <w:trHeight w:val="277"/>
        </w:trPr>
        <w:tc>
          <w:tcPr>
            <w:tcW w:w="856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tcPr>
          <w:p>
            <w:pPr>
              <w:jc w:val="right"/>
              <w:ind w:right="48"/>
              <w:spacing w:after="0"/>
              <w:rPr>
                <w:sz w:val="20"/>
                <w:szCs w:val="20"/>
                <w:color w:val="auto"/>
              </w:rPr>
            </w:pPr>
            <w:r>
              <w:rPr>
                <w:rFonts w:ascii="Arial" w:cs="Arial" w:eastAsia="Arial" w:hAnsi="Arial"/>
                <w:sz w:val="14"/>
                <w:szCs w:val="14"/>
                <w:color w:val="auto"/>
              </w:rPr>
              <w:t>258.7</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tcPr>
          <w:p>
            <w:pPr>
              <w:jc w:val="right"/>
              <w:ind w:right="28"/>
              <w:spacing w:after="0"/>
              <w:rPr>
                <w:sz w:val="20"/>
                <w:szCs w:val="20"/>
                <w:color w:val="auto"/>
              </w:rPr>
            </w:pPr>
            <w:r>
              <w:rPr>
                <w:rFonts w:ascii="Arial" w:cs="Arial" w:eastAsia="Arial" w:hAnsi="Arial"/>
                <w:sz w:val="14"/>
                <w:szCs w:val="14"/>
                <w:color w:val="auto"/>
              </w:rPr>
              <w:t>251.1</w:t>
            </w:r>
          </w:p>
        </w:tc>
      </w:tr>
      <w:tr>
        <w:trPr>
          <w:trHeight w:val="270"/>
        </w:trPr>
        <w:tc>
          <w:tcPr>
            <w:tcW w:w="868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Income from operations:</w:t>
            </w:r>
          </w:p>
        </w:tc>
        <w:tc>
          <w:tcPr>
            <w:tcW w:w="240" w:type="dxa"/>
            <w:vAlign w:val="bottom"/>
            <w:shd w:val="clear" w:color="auto" w:fill="CCEEFF"/>
          </w:tcPr>
          <w:p>
            <w:pPr>
              <w:spacing w:after="0"/>
              <w:rPr>
                <w:sz w:val="23"/>
                <w:szCs w:val="23"/>
                <w:color w:val="auto"/>
              </w:rPr>
            </w:pPr>
          </w:p>
        </w:tc>
        <w:tc>
          <w:tcPr>
            <w:tcW w:w="10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Aviation segment</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29.1</w:t>
            </w:r>
          </w:p>
        </w:tc>
        <w:tc>
          <w:tcPr>
            <w:tcW w:w="100" w:type="dxa"/>
            <w:vAlign w:val="bottom"/>
          </w:tcPr>
          <w:p>
            <w:pPr>
              <w:spacing w:after="0"/>
              <w:rPr>
                <w:sz w:val="22"/>
                <w:szCs w:val="22"/>
                <w:color w:val="auto"/>
              </w:rPr>
            </w:pPr>
          </w:p>
        </w:tc>
        <w:tc>
          <w:tcPr>
            <w:tcW w:w="360" w:type="dxa"/>
            <w:vAlign w:val="bottom"/>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55.6</w:t>
            </w:r>
          </w:p>
        </w:tc>
      </w:tr>
      <w:tr>
        <w:trPr>
          <w:trHeight w:val="276"/>
        </w:trPr>
        <w:tc>
          <w:tcPr>
            <w:tcW w:w="868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Land segment</w:t>
            </w:r>
          </w:p>
        </w:tc>
        <w:tc>
          <w:tcPr>
            <w:tcW w:w="24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25.7</w:t>
            </w:r>
          </w:p>
        </w:tc>
        <w:tc>
          <w:tcPr>
            <w:tcW w:w="10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21.0</w:t>
            </w: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Marine segment</w:t>
            </w:r>
          </w:p>
        </w:tc>
        <w:tc>
          <w:tcPr>
            <w:tcW w:w="240" w:type="dxa"/>
            <w:vAlign w:val="bottom"/>
          </w:tcPr>
          <w:p>
            <w:pPr>
              <w:spacing w:after="0"/>
              <w:rPr>
                <w:sz w:val="22"/>
                <w:szCs w:val="22"/>
                <w:color w:val="auto"/>
              </w:rPr>
            </w:pPr>
          </w:p>
        </w:tc>
        <w:tc>
          <w:tcPr>
            <w:tcW w:w="1000" w:type="dxa"/>
            <w:vAlign w:val="bottom"/>
          </w:tcPr>
          <w:p>
            <w:pPr>
              <w:jc w:val="right"/>
              <w:ind w:right="48"/>
              <w:spacing w:after="0"/>
              <w:rPr>
                <w:sz w:val="20"/>
                <w:szCs w:val="20"/>
                <w:color w:val="auto"/>
              </w:rPr>
            </w:pPr>
            <w:r>
              <w:rPr>
                <w:rFonts w:ascii="Arial" w:cs="Arial" w:eastAsia="Arial" w:hAnsi="Arial"/>
                <w:sz w:val="14"/>
                <w:szCs w:val="14"/>
                <w:color w:val="auto"/>
              </w:rPr>
              <w:t>33.9</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13.5</w:t>
            </w:r>
          </w:p>
        </w:tc>
      </w:tr>
      <w:tr>
        <w:trPr>
          <w:trHeight w:val="256"/>
        </w:trPr>
        <w:tc>
          <w:tcPr>
            <w:tcW w:w="8560" w:type="dxa"/>
            <w:vAlign w:val="bottom"/>
            <w:tcBorders>
              <w:top w:val="single" w:sz="8" w:color="auto"/>
            </w:tcBorders>
            <w:shd w:val="clear" w:color="auto" w:fill="CCEEFF"/>
          </w:tcPr>
          <w:p>
            <w:pPr>
              <w:spacing w:after="0"/>
              <w:rPr>
                <w:sz w:val="22"/>
                <w:szCs w:val="22"/>
                <w:color w:val="auto"/>
              </w:rPr>
            </w:pPr>
          </w:p>
        </w:tc>
        <w:tc>
          <w:tcPr>
            <w:tcW w:w="120" w:type="dxa"/>
            <w:vAlign w:val="bottom"/>
            <w:tcBorders>
              <w:top w:val="single" w:sz="8" w:color="CCEEFF"/>
            </w:tcBorders>
            <w:shd w:val="clear" w:color="auto" w:fill="CCEEFF"/>
          </w:tcPr>
          <w:p>
            <w:pPr>
              <w:spacing w:after="0"/>
              <w:rPr>
                <w:sz w:val="22"/>
                <w:szCs w:val="22"/>
                <w:color w:val="auto"/>
              </w:rPr>
            </w:pPr>
          </w:p>
        </w:tc>
        <w:tc>
          <w:tcPr>
            <w:tcW w:w="240" w:type="dxa"/>
            <w:vAlign w:val="bottom"/>
            <w:tcBorders>
              <w:top w:val="single" w:sz="8" w:color="auto"/>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88.6</w:t>
            </w:r>
          </w:p>
        </w:tc>
        <w:tc>
          <w:tcPr>
            <w:tcW w:w="100" w:type="dxa"/>
            <w:vAlign w:val="bottom"/>
            <w:tcBorders>
              <w:top w:val="single" w:sz="8" w:color="CCEEFF"/>
            </w:tcBorders>
            <w:shd w:val="clear" w:color="auto" w:fill="CCEEFF"/>
          </w:tcPr>
          <w:p>
            <w:pPr>
              <w:spacing w:after="0"/>
              <w:rPr>
                <w:sz w:val="22"/>
                <w:szCs w:val="22"/>
                <w:color w:val="auto"/>
              </w:rPr>
            </w:pPr>
          </w:p>
        </w:tc>
        <w:tc>
          <w:tcPr>
            <w:tcW w:w="360" w:type="dxa"/>
            <w:vAlign w:val="bottom"/>
            <w:tcBorders>
              <w:top w:val="single" w:sz="8" w:color="auto"/>
            </w:tcBorders>
            <w:shd w:val="clear" w:color="auto" w:fill="CCEEFF"/>
          </w:tcPr>
          <w:p>
            <w:pPr>
              <w:spacing w:after="0"/>
              <w:rPr>
                <w:sz w:val="22"/>
                <w:szCs w:val="22"/>
                <w:color w:val="auto"/>
              </w:rPr>
            </w:pPr>
          </w:p>
        </w:tc>
        <w:tc>
          <w:tcPr>
            <w:tcW w:w="86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90.1</w:t>
            </w:r>
          </w:p>
        </w:tc>
      </w:tr>
      <w:tr>
        <w:trPr>
          <w:trHeight w:val="264"/>
        </w:trPr>
        <w:tc>
          <w:tcPr>
            <w:tcW w:w="8680" w:type="dxa"/>
            <w:vAlign w:val="bottom"/>
            <w:gridSpan w:val="2"/>
          </w:tcPr>
          <w:p>
            <w:pPr>
              <w:ind w:left="180"/>
              <w:spacing w:after="0"/>
              <w:rPr>
                <w:sz w:val="20"/>
                <w:szCs w:val="20"/>
                <w:color w:val="auto"/>
              </w:rPr>
            </w:pPr>
            <w:r>
              <w:rPr>
                <w:rFonts w:ascii="Arial" w:cs="Arial" w:eastAsia="Arial" w:hAnsi="Arial"/>
                <w:sz w:val="14"/>
                <w:szCs w:val="14"/>
                <w:color w:val="auto"/>
              </w:rPr>
              <w:t>Corporate overhead - unallocated</w:t>
            </w:r>
          </w:p>
        </w:tc>
        <w:tc>
          <w:tcPr>
            <w:tcW w:w="24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(17.8)</w:t>
            </w:r>
          </w:p>
        </w:tc>
        <w:tc>
          <w:tcPr>
            <w:tcW w:w="1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(19.7)</w:t>
            </w:r>
          </w:p>
        </w:tc>
      </w:tr>
      <w:tr>
        <w:trPr>
          <w:trHeight w:val="237"/>
        </w:trPr>
        <w:tc>
          <w:tcPr>
            <w:tcW w:w="8560" w:type="dxa"/>
            <w:vAlign w:val="bottom"/>
            <w:tcBorders>
              <w:top w:val="single" w:sz="8" w:color="auto"/>
              <w:bottom w:val="single" w:sz="8" w:color="auto"/>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70.8</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w:t>
            </w:r>
          </w:p>
        </w:tc>
        <w:tc>
          <w:tcPr>
            <w:tcW w:w="86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70.4</w:t>
            </w:r>
          </w:p>
        </w:tc>
      </w:tr>
      <w:tr>
        <w:trPr>
          <w:trHeight w:val="20"/>
        </w:trPr>
        <w:tc>
          <w:tcPr>
            <w:tcW w:w="8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r>
    </w:tbl>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VOLUME SUPPLEMENTAL INFORMATION</w:t>
      </w:r>
    </w:p>
    <w:p>
      <w:pPr>
        <w:spacing w:after="0" w:line="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(Unaudited - In millions)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560" w:type="dxa"/>
            <w:vAlign w:val="bottom"/>
            <w:gridSpan w:val="4"/>
          </w:tcPr>
          <w:p>
            <w:pPr>
              <w:jc w:val="center"/>
              <w:spacing w:after="0"/>
              <w:rPr>
                <w:sz w:val="20"/>
                <w:szCs w:val="20"/>
                <w:color w:val="auto"/>
              </w:rPr>
            </w:pPr>
            <w:r>
              <w:rPr>
                <w:rFonts w:ascii="Arial" w:cs="Arial" w:eastAsia="Arial" w:hAnsi="Arial"/>
                <w:sz w:val="14"/>
                <w:szCs w:val="14"/>
                <w:b w:val="1"/>
                <w:bCs w:val="1"/>
                <w:color w:val="auto"/>
                <w:w w:val="93"/>
              </w:rPr>
              <w:t>For the Three Months Ended</w:t>
            </w:r>
          </w:p>
        </w:tc>
      </w:tr>
      <w:tr>
        <w:trPr>
          <w:trHeight w:val="230"/>
        </w:trPr>
        <w:tc>
          <w:tcPr>
            <w:tcW w:w="8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00" w:type="dxa"/>
            <w:vAlign w:val="bottom"/>
            <w:gridSpan w:val="3"/>
          </w:tcPr>
          <w:p>
            <w:pPr>
              <w:jc w:val="center"/>
              <w:ind w:left="808"/>
              <w:spacing w:after="0"/>
              <w:rPr>
                <w:sz w:val="20"/>
                <w:szCs w:val="20"/>
                <w:color w:val="auto"/>
              </w:rPr>
            </w:pPr>
            <w:r>
              <w:rPr>
                <w:rFonts w:ascii="Arial" w:cs="Arial" w:eastAsia="Arial" w:hAnsi="Arial"/>
                <w:sz w:val="14"/>
                <w:szCs w:val="14"/>
                <w:b w:val="1"/>
                <w:bCs w:val="1"/>
                <w:color w:val="auto"/>
                <w:w w:val="95"/>
              </w:rPr>
              <w:t>March 31,</w:t>
            </w:r>
          </w:p>
        </w:tc>
        <w:tc>
          <w:tcPr>
            <w:tcW w:w="860" w:type="dxa"/>
            <w:vAlign w:val="bottom"/>
          </w:tcPr>
          <w:p>
            <w:pPr>
              <w:spacing w:after="0"/>
              <w:rPr>
                <w:sz w:val="19"/>
                <w:szCs w:val="19"/>
                <w:color w:val="auto"/>
              </w:rPr>
            </w:pPr>
          </w:p>
        </w:tc>
      </w:tr>
      <w:tr>
        <w:trPr>
          <w:trHeight w:val="53"/>
        </w:trPr>
        <w:tc>
          <w:tcPr>
            <w:tcW w:w="856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r>
      <w:tr>
        <w:trPr>
          <w:trHeight w:val="258"/>
        </w:trPr>
        <w:tc>
          <w:tcPr>
            <w:tcW w:w="8680" w:type="dxa"/>
            <w:vAlign w:val="bottom"/>
            <w:tcBorders>
              <w:bottom w:val="single" w:sz="8" w:color="CCEEFF"/>
            </w:tcBorders>
            <w:gridSpan w:val="2"/>
          </w:tcPr>
          <w:p>
            <w:pPr>
              <w:ind w:left="180"/>
              <w:spacing w:after="0"/>
              <w:rPr>
                <w:sz w:val="20"/>
                <w:szCs w:val="20"/>
                <w:color w:val="auto"/>
              </w:rPr>
            </w:pPr>
            <w:r>
              <w:rPr>
                <w:rFonts w:ascii="Arial" w:cs="Arial" w:eastAsia="Arial" w:hAnsi="Arial"/>
                <w:sz w:val="14"/>
                <w:szCs w:val="14"/>
                <w:color w:val="auto"/>
              </w:rPr>
              <w:t>Volume (Gallons):</w:t>
            </w:r>
          </w:p>
        </w:tc>
        <w:tc>
          <w:tcPr>
            <w:tcW w:w="1220" w:type="dxa"/>
            <w:vAlign w:val="bottom"/>
            <w:tcBorders>
              <w:bottom w:val="single" w:sz="8" w:color="auto"/>
            </w:tcBorders>
          </w:tcPr>
          <w:p>
            <w:pPr>
              <w:jc w:val="right"/>
              <w:ind w:right="388"/>
              <w:spacing w:after="0"/>
              <w:rPr>
                <w:sz w:val="20"/>
                <w:szCs w:val="20"/>
                <w:color w:val="auto"/>
              </w:rPr>
            </w:pPr>
            <w:r>
              <w:rPr>
                <w:rFonts w:ascii="Arial" w:cs="Arial" w:eastAsia="Arial" w:hAnsi="Arial"/>
                <w:sz w:val="14"/>
                <w:szCs w:val="14"/>
                <w:b w:val="1"/>
                <w:bCs w:val="1"/>
                <w:color w:val="auto"/>
              </w:rPr>
              <w:t>2020</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8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2019</w:t>
            </w:r>
          </w:p>
        </w:tc>
      </w:tr>
      <w:tr>
        <w:trPr>
          <w:trHeight w:val="256"/>
        </w:trPr>
        <w:tc>
          <w:tcPr>
            <w:tcW w:w="868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Aviation Segment</w:t>
            </w:r>
          </w:p>
        </w:tc>
        <w:tc>
          <w:tcPr>
            <w:tcW w:w="12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1,844.7</w:t>
            </w:r>
          </w:p>
        </w:tc>
        <w:tc>
          <w:tcPr>
            <w:tcW w:w="120" w:type="dxa"/>
            <w:vAlign w:val="bottom"/>
            <w:shd w:val="clear" w:color="auto" w:fill="CCEEFF"/>
          </w:tcPr>
          <w:p>
            <w:pPr>
              <w:spacing w:after="0"/>
              <w:rPr>
                <w:sz w:val="22"/>
                <w:szCs w:val="22"/>
                <w:color w:val="auto"/>
              </w:rPr>
            </w:pPr>
          </w:p>
        </w:tc>
        <w:tc>
          <w:tcPr>
            <w:tcW w:w="36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1,970.7</w:t>
            </w:r>
          </w:p>
        </w:tc>
      </w:tr>
      <w:tr>
        <w:trPr>
          <w:trHeight w:val="264"/>
        </w:trPr>
        <w:tc>
          <w:tcPr>
            <w:tcW w:w="8680" w:type="dxa"/>
            <w:vAlign w:val="bottom"/>
            <w:gridSpan w:val="2"/>
          </w:tcPr>
          <w:p>
            <w:pPr>
              <w:ind w:left="280"/>
              <w:spacing w:after="0"/>
              <w:rPr>
                <w:sz w:val="20"/>
                <w:szCs w:val="20"/>
                <w:color w:val="auto"/>
              </w:rPr>
            </w:pPr>
            <w:r>
              <w:rPr>
                <w:rFonts w:ascii="Arial" w:cs="Arial" w:eastAsia="Arial" w:hAnsi="Arial"/>
                <w:sz w:val="14"/>
                <w:szCs w:val="14"/>
                <w:color w:val="auto"/>
              </w:rPr>
              <w:t xml:space="preserve">Land Segment </w:t>
            </w:r>
            <w:r>
              <w:rPr>
                <w:rFonts w:ascii="Arial" w:cs="Arial" w:eastAsia="Arial" w:hAnsi="Arial"/>
                <w:sz w:val="8"/>
                <w:szCs w:val="8"/>
                <w:color w:val="auto"/>
              </w:rPr>
              <w:t>(1)</w:t>
            </w: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1,381.0</w:t>
            </w:r>
          </w:p>
        </w:tc>
        <w:tc>
          <w:tcPr>
            <w:tcW w:w="1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1,345.8</w:t>
            </w:r>
          </w:p>
        </w:tc>
      </w:tr>
      <w:tr>
        <w:trPr>
          <w:trHeight w:val="270"/>
        </w:trPr>
        <w:tc>
          <w:tcPr>
            <w:tcW w:w="856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 xml:space="preserve">Marine Segment </w:t>
            </w:r>
            <w:r>
              <w:rPr>
                <w:rFonts w:ascii="Arial" w:cs="Arial" w:eastAsia="Arial" w:hAnsi="Arial"/>
                <w:sz w:val="8"/>
                <w:szCs w:val="8"/>
                <w:color w:val="auto"/>
              </w:rPr>
              <w:t>(2)</w:t>
            </w:r>
          </w:p>
        </w:tc>
        <w:tc>
          <w:tcPr>
            <w:tcW w:w="120" w:type="dxa"/>
            <w:vAlign w:val="bottom"/>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1,291.1</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8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1,372.4</w:t>
            </w:r>
          </w:p>
        </w:tc>
      </w:tr>
      <w:tr>
        <w:trPr>
          <w:trHeight w:val="237"/>
        </w:trPr>
        <w:tc>
          <w:tcPr>
            <w:tcW w:w="8680" w:type="dxa"/>
            <w:vAlign w:val="bottom"/>
            <w:gridSpan w:val="2"/>
          </w:tcPr>
          <w:p>
            <w:pPr>
              <w:ind w:left="280"/>
              <w:spacing w:after="0"/>
              <w:rPr>
                <w:sz w:val="20"/>
                <w:szCs w:val="20"/>
                <w:color w:val="auto"/>
              </w:rPr>
            </w:pPr>
            <w:r>
              <w:rPr>
                <w:rFonts w:ascii="Arial" w:cs="Arial" w:eastAsia="Arial" w:hAnsi="Arial"/>
                <w:sz w:val="14"/>
                <w:szCs w:val="14"/>
                <w:color w:val="auto"/>
              </w:rPr>
              <w:t>Consolidated Total</w:t>
            </w:r>
          </w:p>
        </w:tc>
        <w:tc>
          <w:tcPr>
            <w:tcW w:w="1220" w:type="dxa"/>
            <w:vAlign w:val="bottom"/>
          </w:tcPr>
          <w:p>
            <w:pPr>
              <w:jc w:val="right"/>
              <w:ind w:right="28"/>
              <w:spacing w:after="0"/>
              <w:rPr>
                <w:sz w:val="20"/>
                <w:szCs w:val="20"/>
                <w:color w:val="auto"/>
              </w:rPr>
            </w:pPr>
            <w:r>
              <w:rPr>
                <w:rFonts w:ascii="Arial" w:cs="Arial" w:eastAsia="Arial" w:hAnsi="Arial"/>
                <w:sz w:val="14"/>
                <w:szCs w:val="14"/>
                <w:color w:val="auto"/>
              </w:rPr>
              <w:t>4,516.8</w:t>
            </w: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60" w:type="dxa"/>
            <w:vAlign w:val="bottom"/>
          </w:tcPr>
          <w:p>
            <w:pPr>
              <w:jc w:val="right"/>
              <w:ind w:right="28"/>
              <w:spacing w:after="0"/>
              <w:rPr>
                <w:sz w:val="20"/>
                <w:szCs w:val="20"/>
                <w:color w:val="auto"/>
              </w:rPr>
            </w:pPr>
            <w:r>
              <w:rPr>
                <w:rFonts w:ascii="Arial" w:cs="Arial" w:eastAsia="Arial" w:hAnsi="Arial"/>
                <w:sz w:val="14"/>
                <w:szCs w:val="14"/>
                <w:color w:val="auto"/>
              </w:rPr>
              <w:t>4,688.8</w:t>
            </w:r>
          </w:p>
        </w:tc>
      </w:tr>
      <w:tr>
        <w:trPr>
          <w:trHeight w:val="20"/>
        </w:trPr>
        <w:tc>
          <w:tcPr>
            <w:tcW w:w="8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r>
    </w:tbl>
    <w:p>
      <w:pPr>
        <w:spacing w:after="0" w:line="197"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Includes gallons and gallon equivalents of British Thermal Units (BTU) for our natural gas sales and Kilowatt Hours (kWh) for our Kinect power business.</w:t>
      </w:r>
    </w:p>
    <w:p>
      <w:pPr>
        <w:spacing w:after="0" w:line="13" w:lineRule="exact"/>
        <w:rPr>
          <w:rFonts w:ascii="Arial" w:cs="Arial" w:eastAsia="Arial" w:hAnsi="Arial"/>
          <w:sz w:val="14"/>
          <w:szCs w:val="14"/>
          <w:color w:val="auto"/>
        </w:rPr>
      </w:pPr>
    </w:p>
    <w:p>
      <w:pPr>
        <w:ind w:left="660" w:hanging="328"/>
        <w:spacing w:after="0"/>
        <w:tabs>
          <w:tab w:leader="none" w:pos="660" w:val="left"/>
        </w:tabs>
        <w:numPr>
          <w:ilvl w:val="0"/>
          <w:numId w:val="8"/>
        </w:numPr>
        <w:rPr>
          <w:rFonts w:ascii="Arial" w:cs="Arial" w:eastAsia="Arial" w:hAnsi="Arial"/>
          <w:sz w:val="14"/>
          <w:szCs w:val="14"/>
          <w:color w:val="auto"/>
        </w:rPr>
      </w:pPr>
      <w:r>
        <w:rPr>
          <w:rFonts w:ascii="Arial" w:cs="Arial" w:eastAsia="Arial" w:hAnsi="Arial"/>
          <w:sz w:val="14"/>
          <w:szCs w:val="14"/>
          <w:color w:val="auto"/>
        </w:rPr>
        <w:t>Converted from metric tons to gallons at a rate of 264 gallons per metric ton. Marine segment metric tons was 4.9 for the three months ended March 31, 2020.</w:t>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World Fuel Services Corporation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Ira M Birns, 305-428-8000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&amp; Chief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Glenn Klevitz, 305-428-8000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Vice President, Treasurer &amp; Investor Relations</w:t>
      </w:r>
    </w:p>
    <w:sectPr>
      <w:pgSz w:w="11900" w:h="16838" w:orient="portrait"/>
      <w:cols w:equalWidth="0" w:num="1">
        <w:col w:w="11240"/>
      </w:cols>
      <w:pgMar w:left="320" w:top="76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decimal"/>
      <w:start w:val="1"/>
    </w:lvl>
  </w:abstractNum>
  <w:abstractNum w:abstractNumId="7">
    <w:nsid w:val="7545E146"/>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2020-04-30T15:30:33Z</dcterms:created>
  <dcterms:modified xsi:type="dcterms:W3CDTF">2020-04-30T15:30:33Z</dcterms:modified>
</cp:coreProperties>
</file>