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13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47"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0" w:lineRule="exact"/>
        <w:rPr>
          <w:sz w:val="24"/>
          <w:szCs w:val="24"/>
          <w:color w:val="auto"/>
        </w:rPr>
      </w:pPr>
    </w:p>
    <w:p>
      <w:pPr>
        <w:spacing w:after="0" w:line="26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0" w:lineRule="exact"/>
        <w:rPr>
          <w:sz w:val="24"/>
          <w:szCs w:val="24"/>
          <w:color w:val="auto"/>
        </w:rPr>
      </w:pPr>
    </w:p>
    <w:p>
      <w:pPr>
        <w:spacing w:after="0" w:line="31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39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PURSUANT TO SECTION 13 OR 15(d) OF</w:t>
      </w:r>
    </w:p>
    <w:p>
      <w:pPr>
        <w:spacing w:after="0" w:line="395"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THE SECURITIES EXCHANGE ACT OF 1934</w:t>
      </w:r>
    </w:p>
    <w:p>
      <w:pPr>
        <w:spacing w:after="0" w:line="38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Date of Report (Date of earliest event reported): September 13, 2022</w:t>
      </w:r>
    </w:p>
    <w:p>
      <w:pPr>
        <w:spacing w:after="0" w:line="200" w:lineRule="exact"/>
        <w:rPr>
          <w:sz w:val="24"/>
          <w:szCs w:val="24"/>
          <w:color w:val="auto"/>
        </w:rPr>
      </w:pPr>
    </w:p>
    <w:p>
      <w:pPr>
        <w:spacing w:after="0" w:line="259" w:lineRule="exact"/>
        <w:rPr>
          <w:sz w:val="24"/>
          <w:szCs w:val="24"/>
          <w:color w:val="auto"/>
        </w:rPr>
      </w:pPr>
    </w:p>
    <w:p>
      <w:pPr>
        <w:ind w:left="2280"/>
        <w:spacing w:after="0"/>
        <w:rPr>
          <w:sz w:val="20"/>
          <w:szCs w:val="20"/>
          <w:color w:val="auto"/>
        </w:rPr>
      </w:pPr>
      <w:r>
        <w:rPr>
          <w:rFonts w:ascii="Times New Roman" w:cs="Times New Roman" w:eastAsia="Times New Roman" w:hAnsi="Times New Roman"/>
          <w:sz w:val="39"/>
          <w:szCs w:val="39"/>
          <w:b w:val="1"/>
          <w:bCs w:val="1"/>
          <w:color w:val="auto"/>
        </w:rPr>
        <w:t>WORLD FUEL SERVICES CORPORATION</w:t>
      </w:r>
    </w:p>
    <w:p>
      <w:pPr>
        <w:spacing w:after="0" w:line="15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ectPr>
          <w:pgSz w:w="11900" w:h="16838" w:orient="portrait"/>
          <w:cols w:equalWidth="0" w:num="1">
            <w:col w:w="11240"/>
          </w:cols>
          <w:pgMar w:left="320" w:top="1091" w:right="339" w:bottom="1440" w:gutter="0" w:footer="0" w:header="0"/>
        </w:sectPr>
      </w:pPr>
    </w:p>
    <w:p>
      <w:pPr>
        <w:spacing w:after="0" w:line="200" w:lineRule="exact"/>
        <w:rPr>
          <w:sz w:val="24"/>
          <w:szCs w:val="24"/>
          <w:color w:val="auto"/>
        </w:rPr>
      </w:pPr>
    </w:p>
    <w:p>
      <w:pPr>
        <w:spacing w:after="0" w:line="319" w:lineRule="exact"/>
        <w:rPr>
          <w:sz w:val="24"/>
          <w:szCs w:val="24"/>
          <w:color w:val="auto"/>
        </w:rPr>
      </w:pPr>
    </w:p>
    <w:p>
      <w:pPr>
        <w:ind w:left="1560"/>
        <w:spacing w:after="0"/>
        <w:rPr>
          <w:sz w:val="20"/>
          <w:szCs w:val="20"/>
          <w:color w:val="auto"/>
        </w:rPr>
      </w:pPr>
      <w:r>
        <w:rPr>
          <w:rFonts w:ascii="Times New Roman" w:cs="Times New Roman" w:eastAsia="Times New Roman" w:hAnsi="Times New Roman"/>
          <w:sz w:val="21"/>
          <w:szCs w:val="21"/>
          <w:b w:val="1"/>
          <w:bCs w:val="1"/>
          <w:color w:val="auto"/>
        </w:rPr>
        <w:t>Florida</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9"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1-9533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99"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59-2459427</w:t>
      </w:r>
    </w:p>
    <w:p>
      <w:pPr>
        <w:spacing w:after="0" w:line="45" w:lineRule="exact"/>
        <w:rPr>
          <w:sz w:val="24"/>
          <w:szCs w:val="24"/>
          <w:color w:val="auto"/>
        </w:rPr>
      </w:pPr>
    </w:p>
    <w:p>
      <w:pPr>
        <w:sectPr>
          <w:pgSz w:w="11900" w:h="16838" w:orient="portrait"/>
          <w:cols w:equalWidth="0" w:num="3">
            <w:col w:w="4760" w:space="720"/>
            <w:col w:w="2780" w:space="720"/>
            <w:col w:w="2260"/>
          </w:cols>
          <w:pgMar w:left="320" w:top="1091" w:right="339" w:bottom="1440" w:gutter="0" w:footer="0" w:header="0"/>
          <w:type w:val="continuous"/>
        </w:sectPr>
      </w:pPr>
    </w:p>
    <w:p>
      <w:pPr>
        <w:ind w:left="540"/>
        <w:spacing w:after="0"/>
        <w:rPr>
          <w:sz w:val="20"/>
          <w:szCs w:val="20"/>
          <w:color w:val="auto"/>
        </w:rPr>
      </w:pPr>
      <w:r>
        <w:rPr>
          <w:rFonts w:ascii="Times New Roman" w:cs="Times New Roman" w:eastAsia="Times New Roman" w:hAnsi="Times New Roman"/>
          <w:sz w:val="14"/>
          <w:szCs w:val="14"/>
          <w:b w:val="1"/>
          <w:bCs w:val="1"/>
          <w:color w:val="auto"/>
        </w:rPr>
        <w:t>(State or other jurisdiction of incorporation)</w:t>
      </w:r>
    </w:p>
    <w:p>
      <w:pPr>
        <w:spacing w:after="0" w:line="20" w:lineRule="exact"/>
        <w:rPr>
          <w:sz w:val="24"/>
          <w:szCs w:val="24"/>
          <w:color w:val="auto"/>
        </w:rPr>
      </w:pPr>
      <w:r>
        <w:rPr>
          <w:sz w:val="24"/>
          <w:szCs w:val="24"/>
          <w:color w:val="auto"/>
        </w:rPr>
        <w:br w:type="column"/>
      </w:r>
    </w:p>
    <w:p>
      <w:pPr>
        <w:jc w:val="center"/>
        <w:ind w:right="1060"/>
        <w:spacing w:after="0"/>
        <w:rPr>
          <w:sz w:val="20"/>
          <w:szCs w:val="20"/>
          <w:color w:val="auto"/>
        </w:rPr>
      </w:pPr>
      <w:r>
        <w:rPr>
          <w:rFonts w:ascii="Times New Roman" w:cs="Times New Roman" w:eastAsia="Times New Roman" w:hAnsi="Times New Roman"/>
          <w:sz w:val="14"/>
          <w:szCs w:val="14"/>
          <w:b w:val="1"/>
          <w:bCs w:val="1"/>
          <w:color w:val="auto"/>
        </w:rPr>
        <w:t>(Commission File Number)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(I.R.S. Employer Identification No.)</w:t>
      </w:r>
    </w:p>
    <w:p>
      <w:pPr>
        <w:spacing w:after="0" w:line="200" w:lineRule="exact"/>
        <w:rPr>
          <w:sz w:val="24"/>
          <w:szCs w:val="24"/>
          <w:color w:val="auto"/>
        </w:rPr>
      </w:pPr>
    </w:p>
    <w:p>
      <w:pPr>
        <w:sectPr>
          <w:pgSz w:w="11900" w:h="16838" w:orient="portrait"/>
          <w:cols w:equalWidth="0" w:num="3">
            <w:col w:w="4240" w:space="720"/>
            <w:col w:w="2720" w:space="720"/>
            <w:col w:w="2840"/>
          </w:cols>
          <w:pgMar w:left="320" w:top="1091" w:right="339" w:bottom="1440" w:gutter="0" w:footer="0" w:header="0"/>
          <w:type w:val="continuous"/>
        </w:sectPr>
      </w:pPr>
    </w:p>
    <w:p>
      <w:pPr>
        <w:spacing w:after="0" w:line="365" w:lineRule="exact"/>
        <w:rPr>
          <w:sz w:val="24"/>
          <w:szCs w:val="24"/>
          <w:color w:val="auto"/>
        </w:rPr>
      </w:pPr>
    </w:p>
    <w:p>
      <w:pPr>
        <w:ind w:left="400"/>
        <w:spacing w:after="0"/>
        <w:rPr>
          <w:sz w:val="20"/>
          <w:szCs w:val="20"/>
          <w:color w:val="auto"/>
        </w:rPr>
      </w:pPr>
      <w:r>
        <w:rPr>
          <w:rFonts w:ascii="Times New Roman" w:cs="Times New Roman" w:eastAsia="Times New Roman" w:hAnsi="Times New Roman"/>
          <w:sz w:val="21"/>
          <w:szCs w:val="21"/>
          <w:b w:val="1"/>
          <w:bCs w:val="1"/>
          <w:color w:val="auto"/>
        </w:rPr>
        <w:t>9800 N.W. 41st Street,</w:t>
      </w:r>
    </w:p>
    <w:p>
      <w:pPr>
        <w:spacing w:after="0" w:line="20" w:lineRule="exact"/>
        <w:rPr>
          <w:sz w:val="24"/>
          <w:szCs w:val="24"/>
          <w:color w:val="auto"/>
        </w:rPr>
      </w:pPr>
      <w:r>
        <w:rPr>
          <w:sz w:val="24"/>
          <w:szCs w:val="24"/>
          <w:color w:val="auto"/>
        </w:rPr>
        <w:br w:type="column"/>
      </w:r>
    </w:p>
    <w:p>
      <w:pPr>
        <w:spacing w:after="0" w:line="34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Miami,</w:t>
      </w:r>
    </w:p>
    <w:p>
      <w:pPr>
        <w:spacing w:after="0" w:line="20" w:lineRule="exact"/>
        <w:rPr>
          <w:sz w:val="24"/>
          <w:szCs w:val="24"/>
          <w:color w:val="auto"/>
        </w:rPr>
      </w:pPr>
      <w:r>
        <w:rPr>
          <w:sz w:val="24"/>
          <w:szCs w:val="24"/>
          <w:color w:val="auto"/>
        </w:rPr>
        <w:br w:type="column"/>
      </w:r>
    </w:p>
    <w:p>
      <w:pPr>
        <w:spacing w:after="0" w:line="34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Florida</w:t>
      </w:r>
    </w:p>
    <w:p>
      <w:pPr>
        <w:spacing w:after="0" w:line="20" w:lineRule="exact"/>
        <w:rPr>
          <w:sz w:val="24"/>
          <w:szCs w:val="24"/>
          <w:color w:val="auto"/>
        </w:rPr>
      </w:pPr>
      <w:r>
        <w:rPr>
          <w:sz w:val="24"/>
          <w:szCs w:val="24"/>
          <w:color w:val="auto"/>
        </w:rPr>
        <w:br w:type="column"/>
      </w:r>
    </w:p>
    <w:p>
      <w:pPr>
        <w:spacing w:after="0" w:line="345"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b w:val="1"/>
          <w:bCs w:val="1"/>
          <w:color w:val="auto"/>
        </w:rPr>
        <w:t>33178</w:t>
      </w:r>
    </w:p>
    <w:p>
      <w:pPr>
        <w:spacing w:after="0" w:line="98" w:lineRule="exact"/>
        <w:rPr>
          <w:sz w:val="24"/>
          <w:szCs w:val="24"/>
          <w:color w:val="auto"/>
        </w:rPr>
      </w:pPr>
    </w:p>
    <w:p>
      <w:pPr>
        <w:sectPr>
          <w:pgSz w:w="11900" w:h="16838" w:orient="portrait"/>
          <w:cols w:equalWidth="0" w:num="4">
            <w:col w:w="2420" w:space="720"/>
            <w:col w:w="660" w:space="560"/>
            <w:col w:w="5140" w:space="720"/>
            <w:col w:w="1020"/>
          </w:cols>
          <w:pgMar w:left="320" w:top="1091" w:right="339" w:bottom="1440" w:gutter="0" w:footer="0" w:header="0"/>
          <w:type w:val="continuous"/>
        </w:sectPr>
      </w:pPr>
    </w:p>
    <w:p>
      <w:pPr>
        <w:spacing w:after="0" w:line="5"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5"/>
          <w:szCs w:val="15"/>
          <w:b w:val="1"/>
          <w:bCs w:val="1"/>
          <w:color w:val="auto"/>
        </w:rPr>
        <w:t>(Zip Code)</w:t>
      </w:r>
    </w:p>
    <w:p>
      <w:pPr>
        <w:spacing w:after="0" w:line="200" w:lineRule="exact"/>
        <w:rPr>
          <w:sz w:val="24"/>
          <w:szCs w:val="24"/>
          <w:color w:val="auto"/>
        </w:rPr>
      </w:pPr>
    </w:p>
    <w:p>
      <w:pPr>
        <w:sectPr>
          <w:pgSz w:w="11900" w:h="16838" w:orient="portrait"/>
          <w:cols w:equalWidth="0" w:num="2">
            <w:col w:w="9400" w:space="720"/>
            <w:col w:w="1120"/>
          </w:cols>
          <w:pgMar w:left="320" w:top="1091" w:right="339" w:bottom="1440" w:gutter="0" w:footer="0" w:header="0"/>
          <w:type w:val="continuous"/>
        </w:sectPr>
      </w:pPr>
    </w:p>
    <w:p>
      <w:pPr>
        <w:spacing w:after="0" w:line="350" w:lineRule="exact"/>
        <w:rPr>
          <w:sz w:val="24"/>
          <w:szCs w:val="24"/>
          <w:color w:val="auto"/>
        </w:rPr>
      </w:pPr>
    </w:p>
    <w:p>
      <w:pPr>
        <w:jc w:val="center"/>
        <w:ind w:right="80"/>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(305) 428-8000</w:t>
      </w:r>
    </w:p>
    <w:p>
      <w:pPr>
        <w:spacing w:after="0" w:line="121"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0"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Written communications pursuant to Rule 425 under Securities Act (17 CFR 230.425)</w:t>
      </w:r>
    </w:p>
    <w:p>
      <w:pPr>
        <w:spacing w:after="0" w:line="58"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Soliciting material pursuant to Rule 14a-12 under the Exchange Act (17 CFR 240.14-12)</w:t>
      </w:r>
    </w:p>
    <w:p>
      <w:pPr>
        <w:spacing w:after="0" w:line="2"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6"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24" w:lineRule="exact"/>
        <w:rPr>
          <w:sz w:val="24"/>
          <w:szCs w:val="24"/>
          <w:color w:val="auto"/>
        </w:rPr>
      </w:pPr>
    </w:p>
    <w:tbl>
      <w:tblPr>
        <w:tblLayout w:type="fixed"/>
        <w:tblInd w:w="1020" w:type="dxa"/>
        <w:tblCellMar>
          <w:top w:w="0" w:type="dxa"/>
          <w:left w:w="0" w:type="dxa"/>
          <w:bottom w:w="0" w:type="dxa"/>
          <w:right w:w="0" w:type="dxa"/>
        </w:tblCellMar>
      </w:tblPr>
      <w:tr>
        <w:trPr>
          <w:trHeight w:val="207"/>
        </w:trPr>
        <w:tc>
          <w:tcPr>
            <w:tcW w:w="860" w:type="dxa"/>
            <w:vAlign w:val="bottom"/>
          </w:tcPr>
          <w:p>
            <w:pPr>
              <w:spacing w:after="0"/>
              <w:rPr>
                <w:sz w:val="18"/>
                <w:szCs w:val="18"/>
                <w:color w:val="auto"/>
              </w:rPr>
            </w:pPr>
          </w:p>
        </w:tc>
        <w:tc>
          <w:tcPr>
            <w:tcW w:w="3440" w:type="dxa"/>
            <w:vAlign w:val="bottom"/>
            <w:gridSpan w:val="2"/>
          </w:tcPr>
          <w:p>
            <w:pPr>
              <w:jc w:val="center"/>
              <w:ind w:right="2140"/>
              <w:spacing w:after="0"/>
              <w:rPr>
                <w:sz w:val="20"/>
                <w:szCs w:val="20"/>
                <w:color w:val="auto"/>
              </w:rPr>
            </w:pPr>
            <w:r>
              <w:rPr>
                <w:rFonts w:ascii="Times New Roman" w:cs="Times New Roman" w:eastAsia="Times New Roman" w:hAnsi="Times New Roman"/>
                <w:sz w:val="18"/>
                <w:szCs w:val="18"/>
                <w:color w:val="auto"/>
                <w:w w:val="99"/>
              </w:rPr>
              <w:t>Title of each class</w:t>
            </w:r>
          </w:p>
        </w:tc>
        <w:tc>
          <w:tcPr>
            <w:tcW w:w="2180" w:type="dxa"/>
            <w:vAlign w:val="bottom"/>
            <w:gridSpan w:val="2"/>
          </w:tcPr>
          <w:p>
            <w:pPr>
              <w:jc w:val="center"/>
              <w:ind w:right="820"/>
              <w:spacing w:after="0"/>
              <w:rPr>
                <w:sz w:val="20"/>
                <w:szCs w:val="20"/>
                <w:color w:val="auto"/>
              </w:rPr>
            </w:pPr>
            <w:r>
              <w:rPr>
                <w:rFonts w:ascii="Times New Roman" w:cs="Times New Roman" w:eastAsia="Times New Roman" w:hAnsi="Times New Roman"/>
                <w:sz w:val="18"/>
                <w:szCs w:val="18"/>
                <w:color w:val="auto"/>
                <w:w w:val="99"/>
              </w:rPr>
              <w:t>Trading Symbol(s)</w:t>
            </w: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Name of each exchange on which registered</w:t>
            </w:r>
          </w:p>
        </w:tc>
      </w:tr>
      <w:tr>
        <w:trPr>
          <w:trHeight w:val="20"/>
        </w:trPr>
        <w:tc>
          <w:tcPr>
            <w:tcW w:w="86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r>
      <w:tr>
        <w:trPr>
          <w:trHeight w:val="398"/>
        </w:trPr>
        <w:tc>
          <w:tcPr>
            <w:tcW w:w="4300" w:type="dxa"/>
            <w:vAlign w:val="bottom"/>
            <w:gridSpan w:val="3"/>
          </w:tcPr>
          <w:p>
            <w:pPr>
              <w:jc w:val="center"/>
              <w:ind w:right="1280"/>
              <w:spacing w:after="0"/>
              <w:rPr>
                <w:sz w:val="20"/>
                <w:szCs w:val="20"/>
                <w:color w:val="auto"/>
              </w:rPr>
            </w:pPr>
            <w:r>
              <w:rPr>
                <w:rFonts w:ascii="Times New Roman" w:cs="Times New Roman" w:eastAsia="Times New Roman" w:hAnsi="Times New Roman"/>
                <w:sz w:val="18"/>
                <w:szCs w:val="18"/>
                <w:color w:val="auto"/>
                <w:w w:val="99"/>
              </w:rPr>
              <w:t>Common Stock, par value $0.01 per share</w:t>
            </w:r>
          </w:p>
        </w:tc>
        <w:tc>
          <w:tcPr>
            <w:tcW w:w="2180" w:type="dxa"/>
            <w:vAlign w:val="bottom"/>
            <w:gridSpan w:val="2"/>
          </w:tcPr>
          <w:p>
            <w:pPr>
              <w:jc w:val="center"/>
              <w:ind w:right="800"/>
              <w:spacing w:after="0"/>
              <w:rPr>
                <w:sz w:val="20"/>
                <w:szCs w:val="20"/>
                <w:color w:val="auto"/>
              </w:rPr>
            </w:pPr>
            <w:r>
              <w:rPr>
                <w:rFonts w:ascii="Times New Roman" w:cs="Times New Roman" w:eastAsia="Times New Roman" w:hAnsi="Times New Roman"/>
                <w:sz w:val="18"/>
                <w:szCs w:val="18"/>
                <w:color w:val="auto"/>
                <w:w w:val="99"/>
              </w:rPr>
              <w:t>INT</w:t>
            </w:r>
          </w:p>
        </w:tc>
        <w:tc>
          <w:tcPr>
            <w:tcW w:w="31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New York Stock Exchange</w:t>
            </w:r>
          </w:p>
        </w:tc>
      </w:tr>
    </w:tbl>
    <w:p>
      <w:pPr>
        <w:spacing w:after="0" w:line="184" w:lineRule="exact"/>
        <w:rPr>
          <w:sz w:val="24"/>
          <w:szCs w:val="24"/>
          <w:color w:val="auto"/>
        </w:rPr>
      </w:pPr>
    </w:p>
    <w:p>
      <w:pPr>
        <w:ind w:right="2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18"/>
          <w:szCs w:val="18"/>
          <w:color w:val="auto"/>
        </w:rPr>
        <w:t>☐</w:t>
      </w:r>
    </w:p>
    <w:p>
      <w:pPr>
        <w:spacing w:after="0" w:line="71"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601345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22"/>
          <w:szCs w:val="22"/>
          <w:b w:val="1"/>
          <w:bCs w:val="1"/>
          <w:color w:val="auto"/>
        </w:rPr>
        <w:t>Item 7.01. Regulation FD Disclosure</w:t>
      </w:r>
    </w:p>
    <w:p>
      <w:pPr>
        <w:spacing w:after="0" w:line="206" w:lineRule="exact"/>
        <w:rPr>
          <w:sz w:val="20"/>
          <w:szCs w:val="20"/>
          <w:color w:val="auto"/>
        </w:rPr>
      </w:pPr>
    </w:p>
    <w:p>
      <w:pPr>
        <w:jc w:val="both"/>
        <w:ind w:right="180" w:firstLine="648"/>
        <w:spacing w:after="0" w:line="250" w:lineRule="auto"/>
        <w:rPr>
          <w:sz w:val="20"/>
          <w:szCs w:val="20"/>
          <w:color w:val="auto"/>
        </w:rPr>
      </w:pPr>
      <w:r>
        <w:rPr>
          <w:rFonts w:ascii="Times New Roman" w:cs="Times New Roman" w:eastAsia="Times New Roman" w:hAnsi="Times New Roman"/>
          <w:sz w:val="18"/>
          <w:szCs w:val="18"/>
          <w:color w:val="auto"/>
        </w:rPr>
        <w:t>World Fuel Services Corporation announced today that its board of directors has approved a 17% increase to its quarterly cash dividend to $0.14 per share, which is payable on October 7, 2022 to shareholders of record on September 23, 2022. A copy of the press release is attached hereto as Exhibit 99.1.</w:t>
      </w:r>
    </w:p>
    <w:p>
      <w:pPr>
        <w:spacing w:after="0" w:line="8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9.01. Financial Statements and Exhibits</w:t>
      </w:r>
    </w:p>
    <w:p>
      <w:pPr>
        <w:spacing w:after="0" w:line="21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(d) Exhibits</w:t>
      </w:r>
    </w:p>
    <w:p>
      <w:pPr>
        <w:spacing w:after="0" w:line="200" w:lineRule="exact"/>
        <w:rPr>
          <w:sz w:val="20"/>
          <w:szCs w:val="20"/>
          <w:color w:val="auto"/>
        </w:rPr>
      </w:pP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220" w:type="dxa"/>
            <w:vAlign w:val="bottom"/>
          </w:tcPr>
          <w:p>
            <w:pPr>
              <w:spacing w:after="0"/>
              <w:rPr>
                <w:sz w:val="17"/>
                <w:szCs w:val="17"/>
                <w:color w:val="auto"/>
              </w:rPr>
            </w:pPr>
          </w:p>
        </w:tc>
        <w:tc>
          <w:tcPr>
            <w:tcW w:w="288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61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22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5240" w:type="dxa"/>
            <w:vAlign w:val="bottom"/>
          </w:tcPr>
          <w:p>
            <w:pPr>
              <w:spacing w:after="0" w:line="20" w:lineRule="exact"/>
              <w:rPr>
                <w:sz w:val="1"/>
                <w:szCs w:val="1"/>
                <w:color w:val="auto"/>
              </w:rPr>
            </w:pPr>
          </w:p>
        </w:tc>
      </w:tr>
      <w:tr>
        <w:trPr>
          <w:trHeight w:val="209"/>
        </w:trPr>
        <w:tc>
          <w:tcPr>
            <w:tcW w:w="2220" w:type="dxa"/>
            <w:vAlign w:val="bottom"/>
          </w:tcPr>
          <w:p>
            <w:pPr>
              <w:spacing w:after="0"/>
              <w:rPr>
                <w:sz w:val="18"/>
                <w:szCs w:val="18"/>
                <w:color w:val="auto"/>
              </w:rPr>
            </w:pPr>
          </w:p>
        </w:tc>
        <w:tc>
          <w:tcPr>
            <w:tcW w:w="880" w:type="dxa"/>
            <w:vAlign w:val="bottom"/>
            <w:gridSpan w:val="2"/>
          </w:tcPr>
          <w:p>
            <w:pPr>
              <w:spacing w:after="0"/>
              <w:rPr>
                <w:sz w:val="20"/>
                <w:szCs w:val="20"/>
                <w:color w:val="auto"/>
              </w:rPr>
            </w:pPr>
            <w:r>
              <w:rPr>
                <w:rFonts w:ascii="Times New Roman" w:cs="Times New Roman" w:eastAsia="Times New Roman" w:hAnsi="Times New Roman"/>
                <w:sz w:val="18"/>
                <w:szCs w:val="18"/>
                <w:color w:val="0000FF"/>
              </w:rPr>
              <w:t>99.</w:t>
            </w:r>
            <w:r>
              <w:rPr>
                <w:rFonts w:ascii="Times New Roman" w:cs="Times New Roman" w:eastAsia="Times New Roman" w:hAnsi="Times New Roman"/>
                <w:sz w:val="18"/>
                <w:szCs w:val="18"/>
                <w:u w:val="single" w:color="auto"/>
                <w:color w:val="0000FF"/>
              </w:rPr>
              <w:t>1</w:t>
            </w:r>
          </w:p>
        </w:tc>
        <w:tc>
          <w:tcPr>
            <w:tcW w:w="2000" w:type="dxa"/>
            <w:vAlign w:val="bottom"/>
          </w:tcPr>
          <w:p>
            <w:pPr>
              <w:spacing w:after="0"/>
              <w:rPr>
                <w:sz w:val="18"/>
                <w:szCs w:val="18"/>
                <w:color w:val="auto"/>
              </w:rPr>
            </w:pPr>
          </w:p>
        </w:tc>
        <w:tc>
          <w:tcPr>
            <w:tcW w:w="6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Press Release, dated September 13, 2022</w:t>
            </w:r>
          </w:p>
        </w:tc>
      </w:tr>
      <w:tr>
        <w:trPr>
          <w:trHeight w:val="218"/>
        </w:trPr>
        <w:tc>
          <w:tcPr>
            <w:tcW w:w="2220" w:type="dxa"/>
            <w:vAlign w:val="bottom"/>
          </w:tcPr>
          <w:p>
            <w:pPr>
              <w:spacing w:after="0"/>
              <w:rPr>
                <w:sz w:val="18"/>
                <w:szCs w:val="18"/>
                <w:color w:val="auto"/>
              </w:rPr>
            </w:pPr>
          </w:p>
        </w:tc>
        <w:tc>
          <w:tcPr>
            <w:tcW w:w="320" w:type="dxa"/>
            <w:vAlign w:val="bottom"/>
            <w:tcBorders>
              <w:top w:val="single" w:sz="8" w:color="0000FF"/>
            </w:tcBorders>
          </w:tcPr>
          <w:p>
            <w:pPr>
              <w:spacing w:after="0"/>
              <w:rPr>
                <w:sz w:val="20"/>
                <w:szCs w:val="20"/>
                <w:color w:val="auto"/>
              </w:rPr>
            </w:pPr>
            <w:r>
              <w:rPr>
                <w:rFonts w:ascii="Times New Roman" w:cs="Times New Roman" w:eastAsia="Times New Roman" w:hAnsi="Times New Roman"/>
                <w:sz w:val="18"/>
                <w:szCs w:val="18"/>
                <w:color w:val="auto"/>
              </w:rPr>
              <w:t>104</w:t>
            </w:r>
          </w:p>
        </w:tc>
        <w:tc>
          <w:tcPr>
            <w:tcW w:w="560" w:type="dxa"/>
            <w:vAlign w:val="bottom"/>
          </w:tcPr>
          <w:p>
            <w:pPr>
              <w:spacing w:after="0"/>
              <w:rPr>
                <w:sz w:val="18"/>
                <w:szCs w:val="18"/>
                <w:color w:val="auto"/>
              </w:rPr>
            </w:pPr>
          </w:p>
        </w:tc>
        <w:tc>
          <w:tcPr>
            <w:tcW w:w="2000" w:type="dxa"/>
            <w:vAlign w:val="bottom"/>
          </w:tcPr>
          <w:p>
            <w:pPr>
              <w:spacing w:after="0"/>
              <w:rPr>
                <w:sz w:val="18"/>
                <w:szCs w:val="18"/>
                <w:color w:val="auto"/>
              </w:rPr>
            </w:pPr>
          </w:p>
        </w:tc>
        <w:tc>
          <w:tcPr>
            <w:tcW w:w="6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Cover Page Interactive Data File, formatted in</w:t>
            </w:r>
          </w:p>
        </w:tc>
      </w:tr>
      <w:tr>
        <w:trPr>
          <w:trHeight w:val="234"/>
        </w:trPr>
        <w:tc>
          <w:tcPr>
            <w:tcW w:w="2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0" w:type="dxa"/>
            <w:vAlign w:val="bottom"/>
          </w:tcPr>
          <w:p>
            <w:pPr>
              <w:spacing w:after="0"/>
              <w:rPr>
                <w:sz w:val="20"/>
                <w:szCs w:val="20"/>
                <w:color w:val="auto"/>
              </w:rPr>
            </w:pPr>
          </w:p>
        </w:tc>
        <w:tc>
          <w:tcPr>
            <w:tcW w:w="61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inline XBRL</w:t>
            </w:r>
          </w:p>
        </w:tc>
      </w:tr>
      <w:tr>
        <w:trPr>
          <w:trHeight w:val="1735"/>
        </w:trPr>
        <w:tc>
          <w:tcPr>
            <w:tcW w:w="222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2000" w:type="dxa"/>
            <w:vAlign w:val="bottom"/>
            <w:tcBorders>
              <w:bottom w:val="single" w:sz="8" w:color="9A9A9A"/>
            </w:tcBorders>
          </w:tcPr>
          <w:p>
            <w:pPr>
              <w:spacing w:after="0"/>
              <w:rPr>
                <w:sz w:val="24"/>
                <w:szCs w:val="24"/>
                <w:color w:val="auto"/>
              </w:rPr>
            </w:pPr>
          </w:p>
        </w:tc>
        <w:tc>
          <w:tcPr>
            <w:tcW w:w="900" w:type="dxa"/>
            <w:vAlign w:val="bottom"/>
            <w:tcBorders>
              <w:bottom w:val="single" w:sz="8" w:color="9A9A9A"/>
            </w:tcBorders>
          </w:tcPr>
          <w:p>
            <w:pPr>
              <w:spacing w:after="0"/>
              <w:rPr>
                <w:sz w:val="24"/>
                <w:szCs w:val="24"/>
                <w:color w:val="auto"/>
              </w:rPr>
            </w:pPr>
          </w:p>
        </w:tc>
        <w:tc>
          <w:tcPr>
            <w:tcW w:w="52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215"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2"/>
          <w:szCs w:val="22"/>
          <w:color w:val="auto"/>
        </w:rPr>
        <w:t>SIGNATURES</w:t>
      </w:r>
    </w:p>
    <w:p>
      <w:pPr>
        <w:spacing w:after="0" w:line="200" w:lineRule="exact"/>
        <w:rPr>
          <w:sz w:val="20"/>
          <w:szCs w:val="20"/>
          <w:color w:val="auto"/>
        </w:rPr>
      </w:pPr>
    </w:p>
    <w:p>
      <w:pPr>
        <w:spacing w:after="0" w:line="25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0"/>
        <w:spacing w:after="0"/>
        <w:tabs>
          <w:tab w:leader="none" w:pos="5540" w:val="left"/>
        </w:tabs>
        <w:rPr>
          <w:sz w:val="20"/>
          <w:szCs w:val="20"/>
          <w:color w:val="auto"/>
        </w:rPr>
      </w:pPr>
      <w:r>
        <w:rPr>
          <w:rFonts w:ascii="Times New Roman" w:cs="Times New Roman" w:eastAsia="Times New Roman" w:hAnsi="Times New Roman"/>
          <w:sz w:val="18"/>
          <w:szCs w:val="18"/>
          <w:color w:val="auto"/>
        </w:rPr>
        <w:t>Date: September 13, 2022</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00" w:lineRule="exact"/>
        <w:rPr>
          <w:sz w:val="20"/>
          <w:szCs w:val="20"/>
          <w:color w:val="auto"/>
        </w:rPr>
      </w:pPr>
    </w:p>
    <w:p>
      <w:pPr>
        <w:spacing w:after="0" w:line="218"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/s/ Amy Quintana Avalos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3519805</wp:posOffset>
            </wp:positionH>
            <wp:positionV relativeFrom="paragraph">
              <wp:posOffset>102870</wp:posOffset>
            </wp:positionV>
            <wp:extent cx="35058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505835" cy="8255"/>
                    </a:xfrm>
                    <a:prstGeom prst="rect">
                      <a:avLst/>
                    </a:prstGeom>
                    <a:noFill/>
                  </pic:spPr>
                </pic:pic>
              </a:graphicData>
            </a:graphic>
          </wp:anchor>
        </w:drawing>
      </w:r>
    </w:p>
    <w:p>
      <w:pPr>
        <w:spacing w:after="0" w:line="165"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Amy Quintana Avalos</w:t>
      </w:r>
    </w:p>
    <w:p>
      <w:pPr>
        <w:spacing w:after="0" w:line="63"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Senior Vice President, Chief Corporate Counsel and Corporate Secretary</w:t>
      </w:r>
    </w:p>
    <w:p>
      <w:pPr>
        <w:sectPr>
          <w:pgSz w:w="11900" w:h="16838" w:orient="portrait"/>
          <w:cols w:equalWidth="0" w:num="1">
            <w:col w:w="11240"/>
          </w:cols>
          <w:pgMar w:left="320" w:top="1111"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WORLD FUEL SERVICES CORPORATION INCREASES QUARTERLY DIVIDEND BY 17%</w:t>
      </w:r>
    </w:p>
    <w:p>
      <w:pPr>
        <w:spacing w:after="0" w:line="200" w:lineRule="exact"/>
        <w:rPr>
          <w:sz w:val="20"/>
          <w:szCs w:val="20"/>
          <w:color w:val="auto"/>
        </w:rPr>
      </w:pPr>
    </w:p>
    <w:p>
      <w:pPr>
        <w:spacing w:after="0" w:line="226"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MIAMI — (BUSINESS WIRE) — September 13, 2022 — World Fuel Services Corporation (NYSE:INT) announced today that its board of directors has has approved a 17% increase to its quarterly cash dividend to $0.14 per share, which is payable on October 7, 2022 to shareholders of record on September 23, 2022.</w:t>
      </w:r>
    </w:p>
    <w:p>
      <w:pPr>
        <w:spacing w:after="0" w:line="29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22"/>
          <w:szCs w:val="22"/>
          <w:color w:val="auto"/>
        </w:rPr>
        <w:t>“Today’s announcement is a reflection of our confidence in the rapidly evolving growth opportunities of our business and related cash generation,” said Ira M. Birns, executive vice president and chief financial officer. “Our disciplined approach to capital allocation demonstrates our commitment to generating long-term value for our shareholders.”</w:t>
      </w:r>
    </w:p>
    <w:p>
      <w:pPr>
        <w:spacing w:after="0" w:line="3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About World Fuel Services Corporation</w:t>
      </w:r>
    </w:p>
    <w:p>
      <w:pPr>
        <w:spacing w:after="0" w:line="8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also offers natural gas and electricity, as well as energy advisory services, including programs for sustainability solutions and renewable energy alternatives. World Fuel Services sells fuel and delivers services to its clients at more than 8,000 locations in more than 200 countries and territories worldwide.</w:t>
      </w:r>
    </w:p>
    <w:p>
      <w:pPr>
        <w:spacing w:after="0" w:line="3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For more information, visit </w:t>
      </w:r>
      <w:r>
        <w:rPr>
          <w:rFonts w:ascii="Times New Roman" w:cs="Times New Roman" w:eastAsia="Times New Roman" w:hAnsi="Times New Roman"/>
          <w:sz w:val="20"/>
          <w:szCs w:val="20"/>
          <w:u w:val="single" w:color="auto"/>
          <w:color w:val="0000FF"/>
        </w:rPr>
        <w:t>www.wfscorp.com</w:t>
      </w:r>
      <w:r>
        <w:rPr>
          <w:rFonts w:ascii="Times New Roman" w:cs="Times New Roman" w:eastAsia="Times New Roman" w:hAnsi="Times New Roman"/>
          <w:sz w:val="20"/>
          <w:szCs w:val="20"/>
          <w:color w:val="auto"/>
        </w:rPr>
        <w:t>.</w:t>
      </w: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Contacts</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Ira M. Birns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Executive Vice President &amp; Chief Financial Officer</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or</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Glenn Klevitz</w:t>
      </w:r>
    </w:p>
    <w:p>
      <w:pPr>
        <w:spacing w:after="0" w:line="1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Vice President, Treasurer and Investor Relations</w:t>
      </w:r>
    </w:p>
    <w:p>
      <w:pPr>
        <w:spacing w:after="0" w:line="6" w:lineRule="exact"/>
        <w:rPr>
          <w:sz w:val="20"/>
          <w:szCs w:val="20"/>
          <w:color w:val="auto"/>
        </w:rPr>
      </w:pPr>
    </w:p>
    <w:p>
      <w:pPr>
        <w:ind w:right="9300" w:firstLine="8"/>
        <w:spacing w:after="0" w:line="286" w:lineRule="auto"/>
        <w:tabs>
          <w:tab w:leader="none" w:pos="478" w:val="left"/>
        </w:tabs>
        <w:numPr>
          <w:ilvl w:val="0"/>
          <w:numId w:val="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428-8000 investors@wfscorp.com</w:t>
      </w:r>
    </w:p>
    <w:sectPr>
      <w:pgSz w:w="11900" w:h="16838" w:orient="portrait"/>
      <w:cols w:equalWidth="0" w:num="1">
        <w:col w:w="11240"/>
      </w:cols>
      <w:pgMar w:left="320" w:top="98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305"/>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2022-09-13T16:50:00Z</dcterms:created>
  <dcterms:modified xsi:type="dcterms:W3CDTF">2022-09-13T16:50:00Z</dcterms:modified>
</cp:coreProperties>
</file>