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2"/>
          <w:szCs w:val="22"/>
          <w:b w:val="1"/>
          <w:bCs w:val="1"/>
          <w:color w:val="auto"/>
        </w:rPr>
        <w:t>UNITED STATES</w:t>
      </w:r>
    </w:p>
    <w:p>
      <w:pPr>
        <w:spacing w:after="0" w:line="260"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66" w:lineRule="exact"/>
        <w:rPr>
          <w:sz w:val="24"/>
          <w:szCs w:val="24"/>
          <w:color w:val="auto"/>
        </w:rPr>
      </w:pPr>
    </w:p>
    <w:p>
      <w:pPr>
        <w:ind w:left="4360"/>
        <w:spacing w:after="0"/>
        <w:rPr>
          <w:sz w:val="20"/>
          <w:szCs w:val="20"/>
          <w:color w:val="auto"/>
        </w:rPr>
      </w:pPr>
      <w:r>
        <w:rPr>
          <w:rFonts w:ascii="Arial" w:cs="Arial" w:eastAsia="Arial" w:hAnsi="Arial"/>
          <w:sz w:val="22"/>
          <w:szCs w:val="22"/>
          <w:color w:val="auto"/>
        </w:rPr>
        <w:t>_________________________</w:t>
      </w:r>
    </w:p>
    <w:p>
      <w:pPr>
        <w:spacing w:after="0" w:line="25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FORM 8-K</w:t>
      </w:r>
    </w:p>
    <w:p>
      <w:pPr>
        <w:spacing w:after="0" w:line="260"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260"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PURSUANT TO SECTION 13 OR 15(d) OF</w:t>
      </w:r>
    </w:p>
    <w:p>
      <w:pPr>
        <w:spacing w:after="0" w:line="260"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66" w:lineRule="exact"/>
        <w:rPr>
          <w:sz w:val="24"/>
          <w:szCs w:val="24"/>
          <w:color w:val="auto"/>
        </w:rPr>
      </w:pPr>
    </w:p>
    <w:p>
      <w:pPr>
        <w:ind w:left="4360"/>
        <w:spacing w:after="0"/>
        <w:rPr>
          <w:sz w:val="20"/>
          <w:szCs w:val="20"/>
          <w:color w:val="auto"/>
        </w:rPr>
      </w:pPr>
      <w:r>
        <w:rPr>
          <w:rFonts w:ascii="Arial" w:cs="Arial" w:eastAsia="Arial" w:hAnsi="Arial"/>
          <w:sz w:val="22"/>
          <w:szCs w:val="22"/>
          <w:color w:val="auto"/>
        </w:rPr>
        <w:t>_________________________</w:t>
      </w:r>
    </w:p>
    <w:p>
      <w:pPr>
        <w:spacing w:after="0" w:line="260" w:lineRule="exact"/>
        <w:rPr>
          <w:sz w:val="24"/>
          <w:szCs w:val="24"/>
          <w:color w:val="auto"/>
        </w:rPr>
      </w:pPr>
    </w:p>
    <w:p>
      <w:pPr>
        <w:jc w:val="center"/>
        <w:ind w:right="-19"/>
        <w:spacing w:after="0"/>
        <w:rPr>
          <w:sz w:val="20"/>
          <w:szCs w:val="20"/>
          <w:color w:val="auto"/>
        </w:rPr>
      </w:pPr>
      <w:r>
        <w:rPr>
          <w:rFonts w:ascii="Arial" w:cs="Arial" w:eastAsia="Arial" w:hAnsi="Arial"/>
          <w:sz w:val="19"/>
          <w:szCs w:val="19"/>
          <w:color w:val="auto"/>
        </w:rPr>
        <w:t>Date of Report (Date of earliest event reported): October 11, 2018</w:t>
      </w:r>
    </w:p>
    <w:p>
      <w:pPr>
        <w:spacing w:after="0" w:line="28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WORLD FUEL SERVICES CORPORATION</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(Exact name of registrant as specified in its charter)</w:t>
      </w:r>
    </w:p>
    <w:p>
      <w:pPr>
        <w:sectPr>
          <w:pgSz w:w="11900" w:h="16838" w:orient="portrait"/>
          <w:cols w:equalWidth="0" w:num="1">
            <w:col w:w="11400"/>
          </w:cols>
          <w:pgMar w:left="240" w:top="693" w:right="259" w:bottom="1440" w:gutter="0" w:footer="0" w:header="0"/>
        </w:sectPr>
      </w:pPr>
    </w:p>
    <w:p>
      <w:pPr>
        <w:spacing w:after="0" w:line="385" w:lineRule="exact"/>
        <w:rPr>
          <w:sz w:val="24"/>
          <w:szCs w:val="24"/>
          <w:color w:val="auto"/>
        </w:rPr>
      </w:pPr>
    </w:p>
    <w:p>
      <w:pPr>
        <w:jc w:val="center"/>
        <w:ind w:left="280"/>
        <w:spacing w:after="0"/>
        <w:rPr>
          <w:sz w:val="20"/>
          <w:szCs w:val="20"/>
          <w:color w:val="auto"/>
        </w:rPr>
      </w:pPr>
      <w:r>
        <w:rPr>
          <w:rFonts w:ascii="Arial" w:cs="Arial" w:eastAsia="Arial" w:hAnsi="Arial"/>
          <w:sz w:val="22"/>
          <w:szCs w:val="22"/>
          <w:b w:val="1"/>
          <w:bCs w:val="1"/>
          <w:color w:val="auto"/>
        </w:rPr>
        <w:t>Florida</w:t>
      </w:r>
    </w:p>
    <w:p>
      <w:pPr>
        <w:spacing w:after="0" w:line="14" w:lineRule="exact"/>
        <w:rPr>
          <w:sz w:val="24"/>
          <w:szCs w:val="24"/>
          <w:color w:val="auto"/>
        </w:rPr>
      </w:pPr>
    </w:p>
    <w:p>
      <w:pPr>
        <w:jc w:val="center"/>
        <w:ind w:left="280"/>
        <w:spacing w:after="0"/>
        <w:rPr>
          <w:sz w:val="20"/>
          <w:szCs w:val="20"/>
          <w:color w:val="auto"/>
        </w:rPr>
      </w:pPr>
      <w:r>
        <w:rPr>
          <w:rFonts w:ascii="Arial" w:cs="Arial" w:eastAsia="Arial" w:hAnsi="Arial"/>
          <w:sz w:val="19"/>
          <w:szCs w:val="19"/>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365"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1-9533</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19"/>
          <w:szCs w:val="19"/>
          <w:color w:val="auto"/>
        </w:rPr>
        <w:t>(Commission File Number)</w:t>
      </w:r>
    </w:p>
    <w:p>
      <w:pPr>
        <w:spacing w:after="0" w:line="20" w:lineRule="exact"/>
        <w:rPr>
          <w:sz w:val="24"/>
          <w:szCs w:val="24"/>
          <w:color w:val="auto"/>
        </w:rPr>
      </w:pPr>
      <w:r>
        <w:rPr>
          <w:sz w:val="24"/>
          <w:szCs w:val="24"/>
          <w:color w:val="auto"/>
        </w:rPr>
        <w:br w:type="column"/>
      </w:r>
    </w:p>
    <w:p>
      <w:pPr>
        <w:spacing w:after="0" w:line="365"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59-2459427</w:t>
      </w:r>
    </w:p>
    <w:p>
      <w:pPr>
        <w:spacing w:after="0" w:line="14" w:lineRule="exact"/>
        <w:rPr>
          <w:sz w:val="24"/>
          <w:szCs w:val="24"/>
          <w:color w:val="auto"/>
        </w:rPr>
      </w:pPr>
    </w:p>
    <w:p>
      <w:pPr>
        <w:jc w:val="center"/>
        <w:ind w:right="60"/>
        <w:spacing w:after="0"/>
        <w:rPr>
          <w:sz w:val="20"/>
          <w:szCs w:val="20"/>
          <w:color w:val="auto"/>
        </w:rPr>
      </w:pPr>
      <w:r>
        <w:rPr>
          <w:rFonts w:ascii="Arial" w:cs="Arial" w:eastAsia="Arial" w:hAnsi="Arial"/>
          <w:sz w:val="19"/>
          <w:szCs w:val="19"/>
          <w:color w:val="auto"/>
        </w:rPr>
        <w:t>(I.R.S. Employer Identification No.)</w:t>
      </w:r>
    </w:p>
    <w:p>
      <w:pPr>
        <w:spacing w:after="0" w:line="200" w:lineRule="exact"/>
        <w:rPr>
          <w:sz w:val="24"/>
          <w:szCs w:val="24"/>
          <w:color w:val="auto"/>
        </w:rPr>
      </w:pPr>
    </w:p>
    <w:p>
      <w:pPr>
        <w:sectPr>
          <w:pgSz w:w="11900" w:h="16838" w:orient="portrait"/>
          <w:cols w:equalWidth="0" w:num="3">
            <w:col w:w="4560" w:space="720"/>
            <w:col w:w="2380" w:space="540"/>
            <w:col w:w="3200"/>
          </w:cols>
          <w:pgMar w:left="240" w:top="693" w:right="259" w:bottom="1440" w:gutter="0" w:footer="0" w:header="0"/>
          <w:type w:val="continuous"/>
        </w:sectPr>
      </w:pPr>
    </w:p>
    <w:p>
      <w:pPr>
        <w:spacing w:after="0" w:line="98" w:lineRule="exact"/>
        <w:rPr>
          <w:sz w:val="24"/>
          <w:szCs w:val="24"/>
          <w:color w:val="auto"/>
        </w:rPr>
      </w:pPr>
    </w:p>
    <w:p>
      <w:pPr>
        <w:jc w:val="center"/>
        <w:ind w:right="440"/>
        <w:spacing w:after="0"/>
        <w:rPr>
          <w:sz w:val="20"/>
          <w:szCs w:val="20"/>
          <w:color w:val="auto"/>
        </w:rPr>
      </w:pPr>
      <w:r>
        <w:rPr>
          <w:rFonts w:ascii="Arial" w:cs="Arial" w:eastAsia="Arial" w:hAnsi="Arial"/>
          <w:sz w:val="22"/>
          <w:szCs w:val="22"/>
          <w:b w:val="1"/>
          <w:bCs w:val="1"/>
          <w:color w:val="auto"/>
        </w:rPr>
        <w:t>9800 N.W. 41</w:t>
      </w:r>
      <w:r>
        <w:rPr>
          <w:rFonts w:ascii="Arial" w:cs="Arial" w:eastAsia="Arial" w:hAnsi="Arial"/>
          <w:sz w:val="14"/>
          <w:szCs w:val="14"/>
          <w:b w:val="1"/>
          <w:bCs w:val="1"/>
          <w:color w:val="auto"/>
        </w:rPr>
        <w:t>st</w:t>
      </w:r>
      <w:r>
        <w:rPr>
          <w:rFonts w:ascii="Arial" w:cs="Arial" w:eastAsia="Arial" w:hAnsi="Arial"/>
          <w:sz w:val="22"/>
          <w:szCs w:val="22"/>
          <w:b w:val="1"/>
          <w:bCs w:val="1"/>
          <w:color w:val="auto"/>
        </w:rPr>
        <w:t xml:space="preserve"> Street</w:t>
      </w:r>
    </w:p>
    <w:p>
      <w:pPr>
        <w:spacing w:after="0" w:line="4" w:lineRule="exact"/>
        <w:rPr>
          <w:sz w:val="24"/>
          <w:szCs w:val="24"/>
          <w:color w:val="auto"/>
        </w:rPr>
      </w:pPr>
    </w:p>
    <w:p>
      <w:pPr>
        <w:jc w:val="center"/>
        <w:ind w:right="440"/>
        <w:spacing w:after="0"/>
        <w:rPr>
          <w:sz w:val="20"/>
          <w:szCs w:val="20"/>
          <w:color w:val="auto"/>
        </w:rPr>
      </w:pPr>
      <w:r>
        <w:rPr>
          <w:rFonts w:ascii="Arial" w:cs="Arial" w:eastAsia="Arial" w:hAnsi="Arial"/>
          <w:sz w:val="22"/>
          <w:szCs w:val="22"/>
          <w:b w:val="1"/>
          <w:bCs w:val="1"/>
          <w:color w:val="auto"/>
        </w:rPr>
        <w:t>Miami, FL</w:t>
      </w:r>
    </w:p>
    <w:p>
      <w:pPr>
        <w:jc w:val="center"/>
        <w:ind w:right="440"/>
        <w:spacing w:after="0"/>
        <w:rPr>
          <w:sz w:val="20"/>
          <w:szCs w:val="20"/>
          <w:color w:val="auto"/>
        </w:rPr>
      </w:pPr>
      <w:r>
        <w:rPr>
          <w:rFonts w:ascii="Arial" w:cs="Arial" w:eastAsia="Arial" w:hAnsi="Arial"/>
          <w:sz w:val="19"/>
          <w:szCs w:val="19"/>
          <w:color w:val="auto"/>
        </w:rPr>
        <w:t>(Address of principal executive offices)</w:t>
      </w:r>
    </w:p>
    <w:p>
      <w:pPr>
        <w:spacing w:after="0" w:line="20" w:lineRule="exact"/>
        <w:rPr>
          <w:sz w:val="24"/>
          <w:szCs w:val="24"/>
          <w:color w:val="auto"/>
        </w:rPr>
      </w:pPr>
      <w:r>
        <w:rPr>
          <w:sz w:val="24"/>
          <w:szCs w:val="24"/>
          <w:color w:val="auto"/>
        </w:rPr>
        <w:br w:type="column"/>
      </w:r>
    </w:p>
    <w:p>
      <w:pPr>
        <w:spacing w:after="0" w:line="321" w:lineRule="exact"/>
        <w:rPr>
          <w:sz w:val="24"/>
          <w:szCs w:val="24"/>
          <w:color w:val="auto"/>
        </w:rPr>
      </w:pPr>
    </w:p>
    <w:p>
      <w:pPr>
        <w:jc w:val="center"/>
        <w:ind w:right="1160"/>
        <w:spacing w:after="0"/>
        <w:rPr>
          <w:sz w:val="20"/>
          <w:szCs w:val="20"/>
          <w:color w:val="auto"/>
        </w:rPr>
      </w:pPr>
      <w:r>
        <w:rPr>
          <w:rFonts w:ascii="Arial" w:cs="Arial" w:eastAsia="Arial" w:hAnsi="Arial"/>
          <w:sz w:val="22"/>
          <w:szCs w:val="22"/>
          <w:b w:val="1"/>
          <w:bCs w:val="1"/>
          <w:color w:val="auto"/>
        </w:rPr>
        <w:t>33178</w:t>
      </w:r>
    </w:p>
    <w:p>
      <w:pPr>
        <w:spacing w:after="0" w:line="14" w:lineRule="exact"/>
        <w:rPr>
          <w:sz w:val="24"/>
          <w:szCs w:val="24"/>
          <w:color w:val="auto"/>
        </w:rPr>
      </w:pPr>
    </w:p>
    <w:p>
      <w:pPr>
        <w:jc w:val="center"/>
        <w:ind w:right="1160"/>
        <w:spacing w:after="0"/>
        <w:rPr>
          <w:sz w:val="20"/>
          <w:szCs w:val="20"/>
          <w:color w:val="auto"/>
        </w:rPr>
      </w:pPr>
      <w:r>
        <w:rPr>
          <w:rFonts w:ascii="Arial" w:cs="Arial" w:eastAsia="Arial" w:hAnsi="Arial"/>
          <w:sz w:val="19"/>
          <w:szCs w:val="19"/>
          <w:color w:val="auto"/>
        </w:rPr>
        <w:t>(Zip Code)</w:t>
      </w:r>
    </w:p>
    <w:p>
      <w:pPr>
        <w:spacing w:after="0" w:line="200" w:lineRule="exact"/>
        <w:rPr>
          <w:sz w:val="24"/>
          <w:szCs w:val="24"/>
          <w:color w:val="auto"/>
        </w:rPr>
      </w:pPr>
    </w:p>
    <w:p>
      <w:pPr>
        <w:sectPr>
          <w:pgSz w:w="11900" w:h="16838" w:orient="portrait"/>
          <w:cols w:equalWidth="0" w:num="2">
            <w:col w:w="8580" w:space="720"/>
            <w:col w:w="2100"/>
          </w:cols>
          <w:pgMar w:left="240" w:top="693" w:right="259" w:bottom="1440" w:gutter="0" w:footer="0" w:header="0"/>
          <w:type w:val="continuous"/>
        </w:sectPr>
      </w:pPr>
    </w:p>
    <w:p>
      <w:pPr>
        <w:spacing w:after="0" w:line="341" w:lineRule="exact"/>
        <w:rPr>
          <w:sz w:val="24"/>
          <w:szCs w:val="24"/>
          <w:color w:val="auto"/>
        </w:rPr>
      </w:pPr>
    </w:p>
    <w:p>
      <w:pPr>
        <w:ind w:left="2920"/>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b w:val="1"/>
          <w:bCs w:val="1"/>
          <w:color w:val="auto"/>
        </w:rPr>
        <w:t>(305) 428-8000</w:t>
      </w:r>
    </w:p>
    <w:p>
      <w:pPr>
        <w:spacing w:after="0" w:line="260"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23"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 ]</w:t>
      </w:r>
    </w:p>
    <w:p>
      <w:pPr>
        <w:spacing w:after="0" w:line="306" w:lineRule="exact"/>
        <w:rPr>
          <w:sz w:val="24"/>
          <w:szCs w:val="24"/>
          <w:color w:val="auto"/>
        </w:rPr>
      </w:pPr>
    </w:p>
    <w:p>
      <w:pPr>
        <w:spacing w:after="0" w:line="324"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 ]</w:t>
      </w:r>
    </w:p>
    <w:p>
      <w:pPr>
        <w:sectPr>
          <w:pgSz w:w="11900" w:h="16838" w:orient="portrait"/>
          <w:cols w:equalWidth="0" w:num="1">
            <w:col w:w="11400"/>
          </w:cols>
          <w:pgMar w:left="240" w:top="693" w:right="25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26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21"/>
          <w:szCs w:val="21"/>
          <w:color w:val="auto"/>
        </w:rPr>
        <w:t>On October 11, 2018, World Fuel Services Corporation (the “Company”) issued a press release announcing that a conference call has been scheduled on Thursday, October 25, 2018 at 5:00PM Eastern Time to discuss the Company’s third quarter results as well as certain forward-looking information. The Company plans to release its earnings results after the market closes on the same date. A copy of the press release is attached hereto as Exhibit 99.1.</w:t>
      </w:r>
    </w:p>
    <w:p>
      <w:pPr>
        <w:spacing w:after="0" w:line="210"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00" w:lineRule="exact"/>
        <w:rPr>
          <w:sz w:val="20"/>
          <w:szCs w:val="20"/>
          <w:color w:val="auto"/>
        </w:rPr>
      </w:pP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266" w:lineRule="exact"/>
        <w:rPr>
          <w:sz w:val="20"/>
          <w:szCs w:val="20"/>
          <w:color w:val="auto"/>
        </w:rPr>
      </w:pPr>
    </w:p>
    <w:p>
      <w:pPr>
        <w:ind w:left="1120" w:hanging="464"/>
        <w:spacing w:after="0"/>
        <w:tabs>
          <w:tab w:leader="none" w:pos="1120" w:val="left"/>
        </w:tabs>
        <w:numPr>
          <w:ilvl w:val="0"/>
          <w:numId w:val="2"/>
        </w:numPr>
        <w:rPr>
          <w:rFonts w:ascii="Arial" w:cs="Arial" w:eastAsia="Arial" w:hAnsi="Arial"/>
          <w:sz w:val="22"/>
          <w:szCs w:val="22"/>
          <w:color w:val="auto"/>
        </w:rPr>
      </w:pPr>
      <w:r>
        <w:rPr>
          <w:rFonts w:ascii="Arial" w:cs="Arial" w:eastAsia="Arial" w:hAnsi="Arial"/>
          <w:sz w:val="22"/>
          <w:szCs w:val="22"/>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2120" w:type="dxa"/>
        <w:tblCellMar>
          <w:top w:w="0" w:type="dxa"/>
          <w:left w:w="0" w:type="dxa"/>
          <w:bottom w:w="0" w:type="dxa"/>
          <w:right w:w="0" w:type="dxa"/>
        </w:tblCellMar>
      </w:tblPr>
      <w:tr>
        <w:trPr>
          <w:trHeight w:val="253"/>
        </w:trPr>
        <w:tc>
          <w:tcPr>
            <w:tcW w:w="1000" w:type="dxa"/>
            <w:vAlign w:val="bottom"/>
            <w:tcBorders>
              <w:bottom w:val="single" w:sz="8" w:color="auto"/>
            </w:tcBorders>
            <w:gridSpan w:val="3"/>
          </w:tcPr>
          <w:p>
            <w:pPr>
              <w:jc w:val="center"/>
              <w:spacing w:after="0"/>
              <w:rPr>
                <w:sz w:val="20"/>
                <w:szCs w:val="20"/>
                <w:color w:val="auto"/>
              </w:rPr>
            </w:pPr>
            <w:r>
              <w:rPr>
                <w:rFonts w:ascii="Arial" w:cs="Arial" w:eastAsia="Arial" w:hAnsi="Arial"/>
                <w:sz w:val="22"/>
                <w:szCs w:val="22"/>
                <w:color w:val="auto"/>
                <w:w w:val="93"/>
              </w:rPr>
              <w:t>Exhibit No.</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Borders>
              <w:bottom w:val="single" w:sz="8" w:color="auto"/>
            </w:tcBorders>
          </w:tcPr>
          <w:p>
            <w:pPr>
              <w:spacing w:after="0"/>
              <w:rPr>
                <w:sz w:val="20"/>
                <w:szCs w:val="20"/>
                <w:color w:val="auto"/>
              </w:rPr>
            </w:pPr>
            <w:r>
              <w:rPr>
                <w:rFonts w:ascii="Arial" w:cs="Arial" w:eastAsia="Arial" w:hAnsi="Arial"/>
                <w:sz w:val="22"/>
                <w:szCs w:val="22"/>
                <w:color w:val="auto"/>
                <w:w w:val="90"/>
              </w:rPr>
              <w:t>Description</w:t>
            </w:r>
          </w:p>
        </w:tc>
        <w:tc>
          <w:tcPr>
            <w:tcW w:w="2300" w:type="dxa"/>
            <w:vAlign w:val="bottom"/>
          </w:tcPr>
          <w:p>
            <w:pPr>
              <w:spacing w:after="0"/>
              <w:rPr>
                <w:sz w:val="21"/>
                <w:szCs w:val="21"/>
                <w:color w:val="auto"/>
              </w:rPr>
            </w:pPr>
          </w:p>
        </w:tc>
      </w:tr>
      <w:tr>
        <w:trPr>
          <w:trHeight w:val="277"/>
        </w:trPr>
        <w:tc>
          <w:tcPr>
            <w:tcW w:w="300" w:type="dxa"/>
            <w:vAlign w:val="bottom"/>
          </w:tcPr>
          <w:p>
            <w:pPr>
              <w:spacing w:after="0"/>
              <w:rPr>
                <w:sz w:val="24"/>
                <w:szCs w:val="24"/>
                <w:color w:val="auto"/>
              </w:rPr>
            </w:pPr>
          </w:p>
        </w:tc>
        <w:tc>
          <w:tcPr>
            <w:tcW w:w="380" w:type="dxa"/>
            <w:vAlign w:val="bottom"/>
            <w:tcBorders>
              <w:bottom w:val="single" w:sz="8" w:color="0000FF"/>
            </w:tcBorders>
          </w:tcPr>
          <w:p>
            <w:pPr>
              <w:jc w:val="center"/>
              <w:spacing w:after="0"/>
              <w:rPr>
                <w:rFonts w:ascii="Arial" w:cs="Arial" w:eastAsia="Arial" w:hAnsi="Arial"/>
                <w:sz w:val="22"/>
                <w:szCs w:val="22"/>
                <w:color w:val="0000FF"/>
                <w:w w:val="83"/>
              </w:rPr>
            </w:pPr>
            <w:hyperlink w:anchor="page5">
              <w:r>
                <w:rPr>
                  <w:rFonts w:ascii="Arial" w:cs="Arial" w:eastAsia="Arial" w:hAnsi="Arial"/>
                  <w:sz w:val="22"/>
                  <w:szCs w:val="22"/>
                  <w:color w:val="0000FF"/>
                  <w:w w:val="83"/>
                </w:rPr>
                <w:t>99.</w:t>
              </w:r>
              <w:r>
                <w:rPr>
                  <w:rFonts w:ascii="Arial" w:cs="Arial" w:eastAsia="Arial" w:hAnsi="Arial"/>
                  <w:sz w:val="22"/>
                  <w:szCs w:val="22"/>
                  <w:u w:val="single" w:color="auto"/>
                  <w:color w:val="0000FF"/>
                  <w:w w:val="83"/>
                </w:rPr>
                <w:t>1</w:t>
              </w:r>
            </w:hyperlink>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560" w:type="dxa"/>
            <w:vAlign w:val="bottom"/>
            <w:gridSpan w:val="3"/>
          </w:tcPr>
          <w:p>
            <w:pPr>
              <w:ind w:left="240"/>
              <w:spacing w:after="0"/>
              <w:rPr>
                <w:sz w:val="20"/>
                <w:szCs w:val="20"/>
                <w:color w:val="auto"/>
              </w:rPr>
            </w:pPr>
            <w:r>
              <w:rPr>
                <w:rFonts w:ascii="Arial" w:cs="Arial" w:eastAsia="Arial" w:hAnsi="Arial"/>
                <w:sz w:val="22"/>
                <w:szCs w:val="22"/>
                <w:color w:val="auto"/>
                <w:w w:val="85"/>
              </w:rPr>
              <w:t>Press Release, dated October 11, 2018</w:t>
            </w:r>
          </w:p>
        </w:tc>
      </w:tr>
    </w:tbl>
    <w:p>
      <w:pPr>
        <w:sectPr>
          <w:pgSz w:w="11900" w:h="16838" w:orient="portrait"/>
          <w:cols w:equalWidth="0" w:num="1">
            <w:col w:w="11420"/>
          </w:cols>
          <w:pgMar w:left="240" w:top="585" w:right="2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2"/>
          <w:szCs w:val="22"/>
          <w:b w:val="1"/>
          <w:bCs w:val="1"/>
          <w:color w:val="auto"/>
        </w:rPr>
        <w:t>SIGNATURES</w:t>
      </w:r>
    </w:p>
    <w:p>
      <w:pPr>
        <w:spacing w:after="0" w:line="200" w:lineRule="exact"/>
        <w:rPr>
          <w:sz w:val="20"/>
          <w:szCs w:val="20"/>
          <w:color w:val="auto"/>
        </w:rPr>
      </w:pPr>
    </w:p>
    <w:p>
      <w:pPr>
        <w:spacing w:after="0" w:line="323"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tabs>
          <w:tab w:leader="none" w:pos="2760" w:val="left"/>
        </w:tabs>
        <w:rPr>
          <w:sz w:val="20"/>
          <w:szCs w:val="20"/>
          <w:color w:val="auto"/>
        </w:rPr>
      </w:pPr>
      <w:r>
        <w:rPr>
          <w:rFonts w:ascii="Arial" w:cs="Arial" w:eastAsia="Arial" w:hAnsi="Arial"/>
          <w:sz w:val="22"/>
          <w:szCs w:val="22"/>
          <w:color w:val="auto"/>
        </w:rPr>
        <w:t>Date: October 11, 2018</w:t>
      </w:r>
      <w:r>
        <w:rPr>
          <w:sz w:val="20"/>
          <w:szCs w:val="20"/>
          <w:color w:val="auto"/>
        </w:rPr>
        <w:tab/>
      </w:r>
      <w:r>
        <w:rPr>
          <w:rFonts w:ascii="Arial" w:cs="Arial" w:eastAsia="Arial" w:hAnsi="Arial"/>
          <w:sz w:val="19"/>
          <w:szCs w:val="19"/>
          <w:b w:val="1"/>
          <w:bCs w:val="1"/>
          <w:color w:val="auto"/>
        </w:rPr>
        <w:t>World Fuel Services Corporation</w:t>
      </w:r>
    </w:p>
    <w:p>
      <w:pPr>
        <w:spacing w:after="0" w:line="200" w:lineRule="exact"/>
        <w:rPr>
          <w:sz w:val="20"/>
          <w:szCs w:val="20"/>
          <w:color w:val="auto"/>
        </w:rPr>
      </w:pPr>
    </w:p>
    <w:p>
      <w:pPr>
        <w:spacing w:after="0" w:line="323" w:lineRule="exact"/>
        <w:rPr>
          <w:sz w:val="20"/>
          <w:szCs w:val="20"/>
          <w:color w:val="auto"/>
        </w:rPr>
      </w:pPr>
    </w:p>
    <w:p>
      <w:pPr>
        <w:ind w:left="3900"/>
        <w:spacing w:after="0"/>
        <w:rPr>
          <w:sz w:val="20"/>
          <w:szCs w:val="20"/>
          <w:color w:val="auto"/>
        </w:rPr>
      </w:pPr>
      <w:r>
        <w:rPr>
          <w:rFonts w:ascii="Arial" w:cs="Arial" w:eastAsia="Arial" w:hAnsi="Arial"/>
          <w:sz w:val="22"/>
          <w:szCs w:val="22"/>
          <w:u w:val="single" w:color="auto"/>
          <w:color w:val="auto"/>
        </w:rPr>
        <w:t>/s/ R. Alexander Lake</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R. Alexander Lake</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Executive Vice President, Chief Legal Officer and</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Corporate Secretary</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00"/>
          </w:cols>
          <w:pgMar w:left="240" w:top="585" w:right="259" w:bottom="1440" w:gutter="0" w:footer="0" w:header="0"/>
        </w:sectPr>
      </w:pPr>
    </w:p>
    <w:bookmarkStart w:id="3" w:name="page4"/>
    <w:bookmarkEnd w:id="3"/>
    <w:tbl>
      <w:tblPr>
        <w:tblLayout w:type="fixed"/>
        <w:tblInd w:w="920" w:type="dxa"/>
        <w:tblCellMar>
          <w:top w:w="0" w:type="dxa"/>
          <w:left w:w="0" w:type="dxa"/>
          <w:bottom w:w="0" w:type="dxa"/>
          <w:right w:w="0" w:type="dxa"/>
        </w:tblCellMar>
      </w:tblPr>
      <w:tr>
        <w:trPr>
          <w:trHeight w:val="275"/>
        </w:trPr>
        <w:tc>
          <w:tcPr>
            <w:tcW w:w="3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300" w:type="dxa"/>
            <w:vAlign w:val="bottom"/>
          </w:tcPr>
          <w:p>
            <w:pPr>
              <w:ind w:left="280"/>
              <w:spacing w:after="0"/>
              <w:rPr>
                <w:sz w:val="20"/>
                <w:szCs w:val="20"/>
                <w:color w:val="auto"/>
              </w:rPr>
            </w:pPr>
            <w:r>
              <w:rPr>
                <w:rFonts w:ascii="Arial" w:cs="Arial" w:eastAsia="Arial" w:hAnsi="Arial"/>
                <w:sz w:val="22"/>
                <w:szCs w:val="22"/>
                <w:color w:val="auto"/>
              </w:rPr>
              <w:t>EXHIBIT INDEX</w:t>
            </w:r>
          </w:p>
        </w:tc>
      </w:tr>
      <w:tr>
        <w:trPr>
          <w:trHeight w:val="868"/>
        </w:trPr>
        <w:tc>
          <w:tcPr>
            <w:tcW w:w="1000" w:type="dxa"/>
            <w:vAlign w:val="bottom"/>
            <w:tcBorders>
              <w:bottom w:val="single" w:sz="8" w:color="auto"/>
            </w:tcBorders>
            <w:gridSpan w:val="3"/>
          </w:tcPr>
          <w:p>
            <w:pPr>
              <w:jc w:val="center"/>
              <w:spacing w:after="0"/>
              <w:rPr>
                <w:sz w:val="20"/>
                <w:szCs w:val="20"/>
                <w:color w:val="auto"/>
              </w:rPr>
            </w:pPr>
            <w:r>
              <w:rPr>
                <w:rFonts w:ascii="Arial" w:cs="Arial" w:eastAsia="Arial" w:hAnsi="Arial"/>
                <w:sz w:val="22"/>
                <w:szCs w:val="22"/>
                <w:color w:val="auto"/>
                <w:w w:val="93"/>
              </w:rPr>
              <w:t>Exhibit No.</w:t>
            </w: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Borders>
              <w:bottom w:val="single" w:sz="8" w:color="auto"/>
            </w:tcBorders>
          </w:tcPr>
          <w:p>
            <w:pPr>
              <w:spacing w:after="0"/>
              <w:rPr>
                <w:sz w:val="20"/>
                <w:szCs w:val="20"/>
                <w:color w:val="auto"/>
              </w:rPr>
            </w:pPr>
            <w:r>
              <w:rPr>
                <w:rFonts w:ascii="Arial" w:cs="Arial" w:eastAsia="Arial" w:hAnsi="Arial"/>
                <w:sz w:val="22"/>
                <w:szCs w:val="22"/>
                <w:color w:val="auto"/>
                <w:w w:val="90"/>
              </w:rPr>
              <w:t>Description</w:t>
            </w:r>
          </w:p>
        </w:tc>
        <w:tc>
          <w:tcPr>
            <w:tcW w:w="2300" w:type="dxa"/>
            <w:vAlign w:val="bottom"/>
          </w:tcPr>
          <w:p>
            <w:pPr>
              <w:spacing w:after="0"/>
              <w:rPr>
                <w:sz w:val="24"/>
                <w:szCs w:val="24"/>
                <w:color w:val="auto"/>
              </w:rPr>
            </w:pPr>
          </w:p>
        </w:tc>
      </w:tr>
      <w:tr>
        <w:trPr>
          <w:trHeight w:val="277"/>
        </w:trPr>
        <w:tc>
          <w:tcPr>
            <w:tcW w:w="300" w:type="dxa"/>
            <w:vAlign w:val="bottom"/>
          </w:tcPr>
          <w:p>
            <w:pPr>
              <w:spacing w:after="0"/>
              <w:rPr>
                <w:sz w:val="24"/>
                <w:szCs w:val="24"/>
                <w:color w:val="auto"/>
              </w:rPr>
            </w:pPr>
          </w:p>
        </w:tc>
        <w:tc>
          <w:tcPr>
            <w:tcW w:w="380" w:type="dxa"/>
            <w:vAlign w:val="bottom"/>
            <w:tcBorders>
              <w:bottom w:val="single" w:sz="8" w:color="0000FF"/>
            </w:tcBorders>
          </w:tcPr>
          <w:p>
            <w:pPr>
              <w:jc w:val="center"/>
              <w:spacing w:after="0"/>
              <w:rPr>
                <w:rFonts w:ascii="Arial" w:cs="Arial" w:eastAsia="Arial" w:hAnsi="Arial"/>
                <w:sz w:val="22"/>
                <w:szCs w:val="22"/>
                <w:color w:val="0000FF"/>
                <w:w w:val="83"/>
              </w:rPr>
            </w:pPr>
            <w:hyperlink w:anchor="page5">
              <w:r>
                <w:rPr>
                  <w:rFonts w:ascii="Arial" w:cs="Arial" w:eastAsia="Arial" w:hAnsi="Arial"/>
                  <w:sz w:val="22"/>
                  <w:szCs w:val="22"/>
                  <w:color w:val="0000FF"/>
                  <w:w w:val="83"/>
                </w:rPr>
                <w:t>99.</w:t>
              </w:r>
              <w:r>
                <w:rPr>
                  <w:rFonts w:ascii="Arial" w:cs="Arial" w:eastAsia="Arial" w:hAnsi="Arial"/>
                  <w:sz w:val="22"/>
                  <w:szCs w:val="22"/>
                  <w:u w:val="single" w:color="auto"/>
                  <w:color w:val="0000FF"/>
                  <w:w w:val="83"/>
                </w:rPr>
                <w:t>1</w:t>
              </w:r>
            </w:hyperlink>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560" w:type="dxa"/>
            <w:vAlign w:val="bottom"/>
            <w:gridSpan w:val="3"/>
          </w:tcPr>
          <w:p>
            <w:pPr>
              <w:ind w:left="240"/>
              <w:spacing w:after="0"/>
              <w:rPr>
                <w:sz w:val="20"/>
                <w:szCs w:val="20"/>
                <w:color w:val="auto"/>
              </w:rPr>
            </w:pPr>
            <w:r>
              <w:rPr>
                <w:rFonts w:ascii="Arial" w:cs="Arial" w:eastAsia="Arial" w:hAnsi="Arial"/>
                <w:sz w:val="22"/>
                <w:szCs w:val="22"/>
                <w:color w:val="auto"/>
                <w:w w:val="85"/>
              </w:rPr>
              <w:t>Press Release, dated October 11, 2018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9019"/>
          </w:cols>
          <w:pgMar w:left="1440" w:top="591"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color w:val="auto"/>
        </w:rPr>
        <w:t>Exhibit 99.1</w:t>
      </w: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WORLD FUEL SERVICES CORPORATION TO HOST</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THIRD QUARTER 2018 EARNINGS CONFERENCE CALL</w:t>
      </w:r>
    </w:p>
    <w:p>
      <w:pPr>
        <w:spacing w:after="0" w:line="200" w:lineRule="exact"/>
        <w:rPr>
          <w:sz w:val="20"/>
          <w:szCs w:val="20"/>
          <w:color w:val="auto"/>
        </w:rPr>
      </w:pPr>
    </w:p>
    <w:p>
      <w:pPr>
        <w:spacing w:after="0" w:line="228"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Miami, FL (October 11, 2018) - World Fuel Services Corporation (NYSE:INT) invites you to participate in a conference call with its management team on Thursday, October 25, 2018 at 5:00PM Eastern Time to discuss the Company’s third quarter results, as well as certain forward-looking information. The Company plans to release its third quarter results after the market closes on the same date.</w:t>
      </w:r>
    </w:p>
    <w:p>
      <w:pPr>
        <w:spacing w:after="0" w:line="296" w:lineRule="exact"/>
        <w:rPr>
          <w:sz w:val="20"/>
          <w:szCs w:val="20"/>
          <w:color w:val="auto"/>
        </w:rPr>
      </w:pPr>
    </w:p>
    <w:p>
      <w:pPr>
        <w:jc w:val="both"/>
        <w:spacing w:after="0" w:line="271" w:lineRule="auto"/>
        <w:rPr>
          <w:sz w:val="20"/>
          <w:szCs w:val="20"/>
          <w:color w:val="auto"/>
        </w:rPr>
      </w:pPr>
      <w:r>
        <w:rPr>
          <w:rFonts w:ascii="Arial" w:cs="Arial" w:eastAsia="Arial" w:hAnsi="Arial"/>
          <w:sz w:val="21"/>
          <w:szCs w:val="21"/>
          <w:color w:val="auto"/>
        </w:rPr>
        <w:t>The live conference call will be accessible by telephone at (888) 221-1887 (within the United States and Canada) or (303) 223-2690 (International). Audio replay of the call will be available through November 8, 2018. The replay numbers are: (800) 633-8284 (within the United States and Canada) and (402) 977-9140 (International). The call ID is 21897426.</w:t>
      </w:r>
    </w:p>
    <w:p>
      <w:pPr>
        <w:spacing w:after="0" w:line="208" w:lineRule="exact"/>
        <w:rPr>
          <w:sz w:val="20"/>
          <w:szCs w:val="20"/>
          <w:color w:val="auto"/>
        </w:rPr>
      </w:pPr>
    </w:p>
    <w:p>
      <w:pPr>
        <w:jc w:val="both"/>
        <w:spacing w:after="0" w:line="271" w:lineRule="auto"/>
        <w:rPr>
          <w:sz w:val="20"/>
          <w:szCs w:val="20"/>
          <w:color w:val="auto"/>
        </w:rPr>
      </w:pPr>
      <w:r>
        <w:rPr>
          <w:rFonts w:ascii="Arial" w:cs="Arial" w:eastAsia="Arial" w:hAnsi="Arial"/>
          <w:sz w:val="21"/>
          <w:szCs w:val="21"/>
          <w:color w:val="auto"/>
        </w:rPr>
        <w:t xml:space="preserve">The conference call will also be available via live webcast. The live webcast may be accessed by visiting the Company’s website at </w:t>
      </w:r>
      <w:r>
        <w:rPr>
          <w:rFonts w:ascii="Arial" w:cs="Arial" w:eastAsia="Arial" w:hAnsi="Arial"/>
          <w:sz w:val="21"/>
          <w:szCs w:val="21"/>
          <w:u w:val="single" w:color="auto"/>
          <w:color w:val="0000FF"/>
        </w:rPr>
        <w:t>www.wfscorp.com</w:t>
      </w:r>
      <w:r>
        <w:rPr>
          <w:rFonts w:ascii="Arial" w:cs="Arial" w:eastAsia="Arial" w:hAnsi="Arial"/>
          <w:sz w:val="21"/>
          <w:szCs w:val="21"/>
          <w:color w:val="0000FF"/>
        </w:rPr>
        <w:t xml:space="preserve"> </w:t>
      </w:r>
      <w:r>
        <w:rPr>
          <w:rFonts w:ascii="Arial" w:cs="Arial" w:eastAsia="Arial" w:hAnsi="Arial"/>
          <w:sz w:val="21"/>
          <w:szCs w:val="21"/>
          <w:color w:val="000000"/>
        </w:rPr>
        <w:t>and clicking on the webcast icon. An archive of the webcast will be available on the Company’s website two</w:t>
      </w:r>
      <w:r>
        <w:rPr>
          <w:rFonts w:ascii="Arial" w:cs="Arial" w:eastAsia="Arial" w:hAnsi="Arial"/>
          <w:sz w:val="21"/>
          <w:szCs w:val="21"/>
          <w:color w:val="0000FF"/>
        </w:rPr>
        <w:t xml:space="preserve"> </w:t>
      </w:r>
      <w:r>
        <w:rPr>
          <w:rFonts w:ascii="Arial" w:cs="Arial" w:eastAsia="Arial" w:hAnsi="Arial"/>
          <w:sz w:val="21"/>
          <w:szCs w:val="21"/>
          <w:color w:val="000000"/>
        </w:rPr>
        <w:t>hours after the completion of the live call and will remain available until November 8, 2018.</w:t>
      </w:r>
    </w:p>
    <w:p>
      <w:pPr>
        <w:spacing w:after="0" w:line="370"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85" w:lineRule="exact"/>
        <w:rPr>
          <w:sz w:val="20"/>
          <w:szCs w:val="20"/>
          <w:color w:val="auto"/>
        </w:rPr>
      </w:pPr>
    </w:p>
    <w:p>
      <w:pPr>
        <w:ind w:right="540"/>
        <w:spacing w:after="0" w:line="302"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supply fulfillment, energy procurement advisory services,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89"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For more information, call 305-428-8000 or visit </w:t>
      </w:r>
      <w:r>
        <w:rPr>
          <w:rFonts w:ascii="Arial" w:cs="Arial" w:eastAsia="Arial" w:hAnsi="Arial"/>
          <w:sz w:val="22"/>
          <w:szCs w:val="22"/>
          <w:u w:val="single" w:color="auto"/>
          <w:color w:val="0000FF"/>
        </w:rPr>
        <w:t>www.wfscorp.com</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20"/>
          <w:szCs w:val="20"/>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Ira M. Birns</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Executive Vice President &amp; Chief Financial Officer</w:t>
      </w:r>
    </w:p>
    <w:p>
      <w:pPr>
        <w:spacing w:after="0"/>
        <w:rPr>
          <w:sz w:val="20"/>
          <w:szCs w:val="20"/>
          <w:color w:val="auto"/>
        </w:rPr>
      </w:pPr>
      <w:r>
        <w:rPr>
          <w:rFonts w:ascii="Arial" w:cs="Arial" w:eastAsia="Arial" w:hAnsi="Arial"/>
          <w:sz w:val="20"/>
          <w:szCs w:val="20"/>
          <w:color w:val="auto"/>
        </w:rPr>
        <w:t>or</w:t>
      </w:r>
    </w:p>
    <w:p>
      <w:pPr>
        <w:spacing w:after="0"/>
        <w:rPr>
          <w:sz w:val="20"/>
          <w:szCs w:val="20"/>
          <w:color w:val="auto"/>
        </w:rPr>
      </w:pPr>
      <w:r>
        <w:rPr>
          <w:rFonts w:ascii="Arial" w:cs="Arial" w:eastAsia="Arial" w:hAnsi="Arial"/>
          <w:sz w:val="20"/>
          <w:szCs w:val="20"/>
          <w:color w:val="auto"/>
        </w:rPr>
        <w:t>Glenn Klevitz, Vice President, Assistant Treasurer &amp; Investor Relations</w:t>
      </w:r>
    </w:p>
    <w:p>
      <w:pPr>
        <w:spacing w:after="0"/>
        <w:rPr>
          <w:sz w:val="20"/>
          <w:szCs w:val="20"/>
          <w:color w:val="auto"/>
        </w:rPr>
      </w:pPr>
      <w:r>
        <w:rPr>
          <w:rFonts w:ascii="Arial" w:cs="Arial" w:eastAsia="Arial" w:hAnsi="Arial"/>
          <w:sz w:val="20"/>
          <w:szCs w:val="20"/>
          <w:color w:val="auto"/>
        </w:rPr>
        <w:t>305-428-8000</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2019-12-28T19:02:18Z</dcterms:created>
  <dcterms:modified xsi:type="dcterms:W3CDTF">2019-12-28T19:02:18Z</dcterms:modified>
</cp:coreProperties>
</file>