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4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18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25" w:lineRule="exact"/>
        <w:rPr>
          <w:sz w:val="24"/>
          <w:szCs w:val="24"/>
          <w:color w:val="auto"/>
        </w:rPr>
      </w:pPr>
    </w:p>
    <w:p>
      <w:pPr>
        <w:ind w:left="4000" w:right="1760" w:hanging="3918"/>
        <w:spacing w:after="0" w:line="587" w:lineRule="auto"/>
        <w:tabs>
          <w:tab w:leader="none" w:pos="331"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 xml:space="preserve">QUARTERLY REPORT PURSUANT TO SECTION 13 OR 15(d) OF THE SECURITIES EXCHANGE ACT OF 1934 </w:t>
      </w:r>
      <w:r>
        <w:rPr>
          <w:rFonts w:ascii="Arial" w:cs="Arial" w:eastAsia="Arial" w:hAnsi="Arial"/>
          <w:sz w:val="18"/>
          <w:szCs w:val="18"/>
          <w:color w:val="auto"/>
        </w:rPr>
        <w:t>For the quarterly period ended June 30, 2020</w:t>
      </w:r>
    </w:p>
    <w:p>
      <w:pPr>
        <w:ind w:left="5780"/>
        <w:spacing w:after="0"/>
        <w:rPr>
          <w:sz w:val="20"/>
          <w:szCs w:val="20"/>
          <w:color w:val="auto"/>
        </w:rPr>
      </w:pPr>
      <w:r>
        <w:rPr>
          <w:rFonts w:ascii="Arial" w:cs="Arial" w:eastAsia="Arial" w:hAnsi="Arial"/>
          <w:sz w:val="18"/>
          <w:szCs w:val="18"/>
          <w:b w:val="1"/>
          <w:bCs w:val="1"/>
          <w:color w:val="auto"/>
        </w:rPr>
        <w:t>OR</w:t>
      </w:r>
    </w:p>
    <w:p>
      <w:pPr>
        <w:spacing w:after="0" w:line="63" w:lineRule="exact"/>
        <w:rPr>
          <w:sz w:val="24"/>
          <w:szCs w:val="24"/>
          <w:color w:val="auto"/>
        </w:rPr>
      </w:pPr>
    </w:p>
    <w:p>
      <w:pPr>
        <w:ind w:left="340" w:hanging="314"/>
        <w:spacing w:after="0"/>
        <w:tabs>
          <w:tab w:leader="none" w:pos="340" w:val="left"/>
        </w:tabs>
        <w:numPr>
          <w:ilvl w:val="0"/>
          <w:numId w:val="2"/>
        </w:numPr>
        <w:rPr>
          <w:rFonts w:ascii="MS PGothic" w:cs="MS PGothic" w:eastAsia="MS PGothic" w:hAnsi="MS PGothic"/>
          <w:sz w:val="17"/>
          <w:szCs w:val="17"/>
          <w:color w:val="auto"/>
        </w:rPr>
      </w:pPr>
      <w:r>
        <w:rPr>
          <w:rFonts w:ascii="Arial" w:cs="Arial" w:eastAsia="Arial" w:hAnsi="Arial"/>
          <w:sz w:val="17"/>
          <w:szCs w:val="17"/>
          <w:b w:val="1"/>
          <w:bCs w:val="1"/>
          <w:color w:val="auto"/>
        </w:rPr>
        <w:t>TRANSITION REPORT PURSUANT TO SECTION 13 OR 15(d) OF THE SECURITIES EXCHANGE ACT OF 1934</w:t>
      </w:r>
    </w:p>
    <w:p>
      <w:pPr>
        <w:spacing w:after="0" w:line="322" w:lineRule="exact"/>
        <w:rPr>
          <w:sz w:val="24"/>
          <w:szCs w:val="24"/>
          <w:color w:val="auto"/>
        </w:rPr>
      </w:pPr>
    </w:p>
    <w:p>
      <w:pPr>
        <w:ind w:left="3000"/>
        <w:spacing w:after="0"/>
        <w:rPr>
          <w:sz w:val="20"/>
          <w:szCs w:val="20"/>
          <w:color w:val="auto"/>
        </w:rPr>
      </w:pPr>
      <w:r>
        <w:rPr>
          <w:rFonts w:ascii="Arial" w:cs="Arial" w:eastAsia="Arial" w:hAnsi="Arial"/>
          <w:sz w:val="18"/>
          <w:szCs w:val="18"/>
          <w:color w:val="auto"/>
        </w:rPr>
        <w:t>For the transition period from __________ to ___________</w:t>
      </w:r>
    </w:p>
    <w:p>
      <w:pPr>
        <w:spacing w:after="0" w:line="16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1-9533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2910840</wp:posOffset>
            </wp:positionH>
            <wp:positionV relativeFrom="paragraph">
              <wp:posOffset>85725</wp:posOffset>
            </wp:positionV>
            <wp:extent cx="1320165" cy="557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16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WORLD FUEL SERVICES CORPORATION</w:t>
      </w:r>
    </w:p>
    <w:p>
      <w:pPr>
        <w:sectPr>
          <w:pgSz w:w="11900" w:h="16838" w:orient="portrait"/>
          <w:cols w:equalWidth="0" w:num="1">
            <w:col w:w="11240"/>
          </w:cols>
          <w:pgMar w:left="320" w:top="989" w:right="339" w:bottom="1440" w:gutter="0" w:footer="0" w:header="0"/>
        </w:sectPr>
      </w:pPr>
    </w:p>
    <w:p>
      <w:pPr>
        <w:spacing w:after="0" w:line="289" w:lineRule="exact"/>
        <w:rPr>
          <w:sz w:val="24"/>
          <w:szCs w:val="24"/>
          <w:color w:val="auto"/>
        </w:rPr>
      </w:pPr>
    </w:p>
    <w:p>
      <w:pPr>
        <w:jc w:val="center"/>
        <w:ind w:left="580"/>
        <w:spacing w:after="0"/>
        <w:rPr>
          <w:sz w:val="20"/>
          <w:szCs w:val="20"/>
          <w:color w:val="auto"/>
        </w:rPr>
      </w:pPr>
      <w:r>
        <w:rPr>
          <w:rFonts w:ascii="Arial" w:cs="Arial" w:eastAsia="Arial" w:hAnsi="Arial"/>
          <w:sz w:val="18"/>
          <w:szCs w:val="18"/>
          <w:b w:val="1"/>
          <w:bCs w:val="1"/>
          <w:color w:val="auto"/>
        </w:rPr>
        <w:t>Florida</w:t>
      </w:r>
    </w:p>
    <w:p>
      <w:pPr>
        <w:spacing w:after="0" w:line="67" w:lineRule="exact"/>
        <w:rPr>
          <w:sz w:val="24"/>
          <w:szCs w:val="24"/>
          <w:color w:val="auto"/>
        </w:rPr>
      </w:pPr>
    </w:p>
    <w:p>
      <w:pPr>
        <w:jc w:val="both"/>
        <w:ind w:left="680" w:right="100" w:firstLine="38"/>
        <w:spacing w:after="0" w:line="342" w:lineRule="auto"/>
        <w:rPr>
          <w:sz w:val="20"/>
          <w:szCs w:val="20"/>
          <w:color w:val="auto"/>
        </w:rPr>
      </w:pPr>
      <w:r>
        <w:rPr>
          <w:rFonts w:ascii="Arial" w:cs="Arial" w:eastAsia="Arial" w:hAnsi="Arial"/>
          <w:sz w:val="16"/>
          <w:szCs w:val="16"/>
          <w:color w:val="auto"/>
        </w:rPr>
        <w:t>(State or other jurisdiction of incorporation or organization)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0" w:lineRule="exact"/>
        <w:rPr>
          <w:sz w:val="24"/>
          <w:szCs w:val="24"/>
          <w:color w:val="auto"/>
        </w:rPr>
      </w:pPr>
    </w:p>
    <w:p>
      <w:pPr>
        <w:jc w:val="center"/>
        <w:ind w:left="580"/>
        <w:spacing w:after="0"/>
        <w:rPr>
          <w:sz w:val="20"/>
          <w:szCs w:val="20"/>
          <w:color w:val="auto"/>
        </w:rPr>
      </w:pPr>
      <w:r>
        <w:rPr>
          <w:rFonts w:ascii="Arial" w:cs="Arial" w:eastAsia="Arial" w:hAnsi="Arial"/>
          <w:sz w:val="18"/>
          <w:szCs w:val="18"/>
          <w:color w:val="auto"/>
        </w:rPr>
        <w:t>Title of each class</w:t>
      </w:r>
    </w:p>
    <w:p>
      <w:pPr>
        <w:spacing w:after="0" w:line="171" w:lineRule="exact"/>
        <w:rPr>
          <w:sz w:val="24"/>
          <w:szCs w:val="24"/>
          <w:color w:val="auto"/>
        </w:rPr>
      </w:pPr>
    </w:p>
    <w:p>
      <w:pPr>
        <w:jc w:val="center"/>
        <w:ind w:left="580"/>
        <w:spacing w:after="0"/>
        <w:rPr>
          <w:sz w:val="20"/>
          <w:szCs w:val="20"/>
          <w:color w:val="auto"/>
        </w:rPr>
      </w:pPr>
      <w:r>
        <w:rPr>
          <w:rFonts w:ascii="Arial" w:cs="Arial" w:eastAsia="Arial" w:hAnsi="Arial"/>
          <w:sz w:val="16"/>
          <w:szCs w:val="16"/>
          <w:color w:val="auto"/>
        </w:rPr>
        <w:t>Common Stock , $0.01 par value</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ind w:left="180"/>
        <w:spacing w:after="0"/>
        <w:rPr>
          <w:sz w:val="20"/>
          <w:szCs w:val="20"/>
          <w:color w:val="auto"/>
        </w:rPr>
      </w:pPr>
      <w:r>
        <w:rPr>
          <w:rFonts w:ascii="Arial" w:cs="Arial" w:eastAsia="Arial" w:hAnsi="Arial"/>
          <w:sz w:val="17"/>
          <w:szCs w:val="17"/>
          <w:color w:val="auto"/>
        </w:rPr>
        <w:t>(Exact name of registrant as specified in its charter)</w:t>
      </w:r>
    </w:p>
    <w:p>
      <w:pPr>
        <w:spacing w:after="0" w:line="55" w:lineRule="exact"/>
        <w:rPr>
          <w:sz w:val="24"/>
          <w:szCs w:val="24"/>
          <w:color w:val="auto"/>
        </w:rPr>
      </w:pPr>
    </w:p>
    <w:p>
      <w:pPr>
        <w:jc w:val="right"/>
        <w:spacing w:after="0"/>
        <w:tabs>
          <w:tab w:leader="none" w:pos="440" w:val="left"/>
        </w:tabs>
        <w:rPr>
          <w:sz w:val="20"/>
          <w:szCs w:val="20"/>
          <w:color w:val="auto"/>
        </w:rPr>
      </w:pPr>
      <w:r>
        <w:rPr>
          <w:rFonts w:ascii="Arial" w:cs="Arial" w:eastAsia="Arial" w:hAnsi="Arial"/>
          <w:sz w:val="18"/>
          <w:szCs w:val="18"/>
          <w:b w:val="1"/>
          <w:bCs w:val="1"/>
          <w:color w:val="auto"/>
        </w:rPr>
        <w:t>9800 N.W. 41st Street, Miami, Florida</w:t>
      </w:r>
      <w:r>
        <w:rPr>
          <w:sz w:val="20"/>
          <w:szCs w:val="20"/>
          <w:color w:val="auto"/>
        </w:rPr>
        <w:tab/>
      </w:r>
      <w:r>
        <w:rPr>
          <w:rFonts w:ascii="Arial" w:cs="Arial" w:eastAsia="Arial" w:hAnsi="Arial"/>
          <w:sz w:val="16"/>
          <w:szCs w:val="16"/>
          <w:b w:val="1"/>
          <w:bCs w:val="1"/>
          <w:color w:val="auto"/>
        </w:rPr>
        <w:t>33178</w:t>
      </w:r>
    </w:p>
    <w:p>
      <w:pPr>
        <w:spacing w:after="0" w:line="175" w:lineRule="exact"/>
        <w:rPr>
          <w:sz w:val="24"/>
          <w:szCs w:val="24"/>
          <w:color w:val="auto"/>
        </w:rPr>
      </w:pPr>
    </w:p>
    <w:p>
      <w:pPr>
        <w:ind w:left="180"/>
        <w:spacing w:after="0"/>
        <w:rPr>
          <w:sz w:val="20"/>
          <w:szCs w:val="20"/>
          <w:color w:val="auto"/>
        </w:rPr>
      </w:pPr>
      <w:r>
        <w:rPr>
          <w:rFonts w:ascii="Arial" w:cs="Arial" w:eastAsia="Arial" w:hAnsi="Arial"/>
          <w:sz w:val="18"/>
          <w:szCs w:val="18"/>
          <w:color w:val="auto"/>
        </w:rPr>
        <w:t>(Address of Principal Executive Offices) (Zip Code)</w:t>
      </w:r>
    </w:p>
    <w:p>
      <w:pPr>
        <w:spacing w:after="0" w:line="171" w:lineRule="exact"/>
        <w:rPr>
          <w:sz w:val="24"/>
          <w:szCs w:val="24"/>
          <w:color w:val="auto"/>
        </w:rPr>
      </w:pPr>
    </w:p>
    <w:p>
      <w:pPr>
        <w:ind w:left="180"/>
        <w:spacing w:after="0"/>
        <w:rPr>
          <w:sz w:val="20"/>
          <w:szCs w:val="20"/>
          <w:color w:val="auto"/>
        </w:rPr>
      </w:pPr>
      <w:r>
        <w:rPr>
          <w:rFonts w:ascii="Arial" w:cs="Arial" w:eastAsia="Arial" w:hAnsi="Arial"/>
          <w:sz w:val="17"/>
          <w:szCs w:val="17"/>
          <w:color w:val="auto"/>
        </w:rPr>
        <w:t>Registrant’s telephone number, including area code:</w:t>
      </w:r>
    </w:p>
    <w:p>
      <w:pPr>
        <w:spacing w:after="0" w:line="71" w:lineRule="exact"/>
        <w:rPr>
          <w:sz w:val="24"/>
          <w:szCs w:val="24"/>
          <w:color w:val="auto"/>
        </w:rPr>
      </w:pPr>
    </w:p>
    <w:p>
      <w:pPr>
        <w:ind w:left="1580"/>
        <w:spacing w:after="0"/>
        <w:tabs>
          <w:tab w:leader="none" w:pos="2300" w:val="left"/>
        </w:tabs>
        <w:rPr>
          <w:sz w:val="20"/>
          <w:szCs w:val="20"/>
          <w:color w:val="auto"/>
        </w:rPr>
      </w:pPr>
      <w:r>
        <w:rPr>
          <w:rFonts w:ascii="Arial" w:cs="Arial" w:eastAsia="Arial" w:hAnsi="Arial"/>
          <w:sz w:val="18"/>
          <w:szCs w:val="18"/>
          <w:b w:val="1"/>
          <w:bCs w:val="1"/>
          <w:color w:val="auto"/>
        </w:rPr>
        <w:t>( 305 )</w:t>
      </w:r>
      <w:r>
        <w:rPr>
          <w:sz w:val="20"/>
          <w:szCs w:val="20"/>
          <w:color w:val="auto"/>
        </w:rPr>
        <w:tab/>
      </w:r>
      <w:r>
        <w:rPr>
          <w:rFonts w:ascii="Arial" w:cs="Arial" w:eastAsia="Arial" w:hAnsi="Arial"/>
          <w:sz w:val="16"/>
          <w:szCs w:val="16"/>
          <w:b w:val="1"/>
          <w:bCs w:val="1"/>
          <w:color w:val="auto"/>
        </w:rPr>
        <w:t>428-8000</w:t>
      </w:r>
    </w:p>
    <w:p>
      <w:pPr>
        <w:spacing w:after="0" w:line="67" w:lineRule="exact"/>
        <w:rPr>
          <w:sz w:val="24"/>
          <w:szCs w:val="24"/>
          <w:color w:val="auto"/>
        </w:rPr>
      </w:pPr>
    </w:p>
    <w:p>
      <w:pPr>
        <w:spacing w:after="0"/>
        <w:rPr>
          <w:sz w:val="20"/>
          <w:szCs w:val="20"/>
          <w:color w:val="auto"/>
        </w:rPr>
      </w:pPr>
      <w:r>
        <w:rPr>
          <w:rFonts w:ascii="Arial" w:cs="Arial" w:eastAsia="Arial" w:hAnsi="Arial"/>
          <w:sz w:val="17"/>
          <w:szCs w:val="17"/>
          <w:color w:val="auto"/>
        </w:rPr>
        <w:t>Securities registered pursuant to Section 12(b) of the Act</w:t>
      </w:r>
    </w:p>
    <w:p>
      <w:pPr>
        <w:spacing w:after="0" w:line="183" w:lineRule="exact"/>
        <w:rPr>
          <w:sz w:val="24"/>
          <w:szCs w:val="24"/>
          <w:color w:val="auto"/>
        </w:rPr>
      </w:pPr>
    </w:p>
    <w:p>
      <w:pPr>
        <w:jc w:val="center"/>
        <w:ind w:right="180"/>
        <w:spacing w:after="0"/>
        <w:rPr>
          <w:sz w:val="20"/>
          <w:szCs w:val="20"/>
          <w:color w:val="auto"/>
        </w:rPr>
      </w:pPr>
      <w:r>
        <w:rPr>
          <w:rFonts w:ascii="Arial" w:cs="Arial" w:eastAsia="Arial" w:hAnsi="Arial"/>
          <w:sz w:val="18"/>
          <w:szCs w:val="18"/>
          <w:color w:val="auto"/>
        </w:rPr>
        <w:t>Trading Symbol (s)</w:t>
      </w:r>
    </w:p>
    <w:p>
      <w:pPr>
        <w:spacing w:after="0" w:line="171" w:lineRule="exact"/>
        <w:rPr>
          <w:sz w:val="24"/>
          <w:szCs w:val="24"/>
          <w:color w:val="auto"/>
        </w:rPr>
      </w:pPr>
    </w:p>
    <w:p>
      <w:pPr>
        <w:jc w:val="center"/>
        <w:ind w:right="180"/>
        <w:spacing w:after="0"/>
        <w:rPr>
          <w:sz w:val="20"/>
          <w:szCs w:val="20"/>
          <w:color w:val="auto"/>
        </w:rPr>
      </w:pPr>
      <w:r>
        <w:rPr>
          <w:rFonts w:ascii="Arial" w:cs="Arial" w:eastAsia="Arial" w:hAnsi="Arial"/>
          <w:sz w:val="18"/>
          <w:szCs w:val="18"/>
          <w:color w:val="auto"/>
        </w:rPr>
        <w:t>INT</w:t>
      </w:r>
    </w:p>
    <w:p>
      <w:pPr>
        <w:spacing w:after="0" w:line="20" w:lineRule="exact"/>
        <w:rPr>
          <w:sz w:val="24"/>
          <w:szCs w:val="24"/>
          <w:color w:val="auto"/>
        </w:rPr>
      </w:pPr>
      <w:r>
        <w:rPr>
          <w:sz w:val="24"/>
          <w:szCs w:val="24"/>
          <w:color w:val="auto"/>
        </w:rPr>
        <w:br w:type="column"/>
      </w:r>
    </w:p>
    <w:p>
      <w:pPr>
        <w:spacing w:after="0" w:line="269" w:lineRule="exact"/>
        <w:rPr>
          <w:sz w:val="24"/>
          <w:szCs w:val="24"/>
          <w:color w:val="auto"/>
        </w:rPr>
      </w:pPr>
    </w:p>
    <w:p>
      <w:pPr>
        <w:ind w:left="780"/>
        <w:spacing w:after="0"/>
        <w:rPr>
          <w:sz w:val="20"/>
          <w:szCs w:val="20"/>
          <w:color w:val="auto"/>
        </w:rPr>
      </w:pPr>
      <w:r>
        <w:rPr>
          <w:rFonts w:ascii="Arial" w:cs="Arial" w:eastAsia="Arial" w:hAnsi="Arial"/>
          <w:sz w:val="18"/>
          <w:szCs w:val="18"/>
          <w:b w:val="1"/>
          <w:bCs w:val="1"/>
          <w:color w:val="auto"/>
        </w:rPr>
        <w:t>59-2459427</w:t>
      </w:r>
    </w:p>
    <w:p>
      <w:pPr>
        <w:spacing w:after="0" w:line="67" w:lineRule="exact"/>
        <w:rPr>
          <w:sz w:val="24"/>
          <w:szCs w:val="24"/>
          <w:color w:val="auto"/>
        </w:rPr>
      </w:pPr>
    </w:p>
    <w:p>
      <w:pPr>
        <w:ind w:left="600"/>
        <w:spacing w:after="0"/>
        <w:rPr>
          <w:sz w:val="20"/>
          <w:szCs w:val="20"/>
          <w:color w:val="auto"/>
        </w:rPr>
      </w:pPr>
      <w:r>
        <w:rPr>
          <w:rFonts w:ascii="Arial" w:cs="Arial" w:eastAsia="Arial" w:hAnsi="Arial"/>
          <w:sz w:val="18"/>
          <w:szCs w:val="18"/>
          <w:color w:val="auto"/>
        </w:rPr>
        <w:t>(I.R.S. Employer</w:t>
      </w:r>
    </w:p>
    <w:p>
      <w:pPr>
        <w:spacing w:after="0" w:line="23" w:lineRule="exact"/>
        <w:rPr>
          <w:sz w:val="24"/>
          <w:szCs w:val="24"/>
          <w:color w:val="auto"/>
        </w:rPr>
      </w:pPr>
    </w:p>
    <w:p>
      <w:pPr>
        <w:jc w:val="center"/>
        <w:ind w:right="540"/>
        <w:spacing w:after="0"/>
        <w:rPr>
          <w:sz w:val="20"/>
          <w:szCs w:val="20"/>
          <w:color w:val="auto"/>
        </w:rPr>
      </w:pPr>
      <w:r>
        <w:rPr>
          <w:rFonts w:ascii="Arial" w:cs="Arial" w:eastAsia="Arial" w:hAnsi="Arial"/>
          <w:sz w:val="18"/>
          <w:szCs w:val="18"/>
          <w:color w:val="auto"/>
        </w:rPr>
        <w:t>Identification No.)</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jc w:val="center"/>
        <w:ind w:right="540"/>
        <w:spacing w:after="0"/>
        <w:rPr>
          <w:sz w:val="20"/>
          <w:szCs w:val="20"/>
          <w:color w:val="auto"/>
        </w:rPr>
      </w:pPr>
      <w:r>
        <w:rPr>
          <w:rFonts w:ascii="Arial" w:cs="Arial" w:eastAsia="Arial" w:hAnsi="Arial"/>
          <w:sz w:val="16"/>
          <w:szCs w:val="16"/>
          <w:color w:val="auto"/>
        </w:rPr>
        <w:t>Name of each exchange on which</w:t>
      </w:r>
    </w:p>
    <w:p>
      <w:pPr>
        <w:spacing w:after="0" w:line="46" w:lineRule="exact"/>
        <w:rPr>
          <w:sz w:val="24"/>
          <w:szCs w:val="24"/>
          <w:color w:val="auto"/>
        </w:rPr>
      </w:pPr>
    </w:p>
    <w:p>
      <w:pPr>
        <w:jc w:val="center"/>
        <w:ind w:right="540"/>
        <w:spacing w:after="0"/>
        <w:rPr>
          <w:sz w:val="20"/>
          <w:szCs w:val="20"/>
          <w:color w:val="auto"/>
        </w:rPr>
      </w:pPr>
      <w:r>
        <w:rPr>
          <w:rFonts w:ascii="Arial" w:cs="Arial" w:eastAsia="Arial" w:hAnsi="Arial"/>
          <w:sz w:val="18"/>
          <w:szCs w:val="18"/>
          <w:color w:val="auto"/>
        </w:rPr>
        <w:t>registered</w:t>
      </w:r>
    </w:p>
    <w:p>
      <w:pPr>
        <w:spacing w:after="0" w:line="49" w:lineRule="exact"/>
        <w:rPr>
          <w:sz w:val="24"/>
          <w:szCs w:val="24"/>
          <w:color w:val="auto"/>
        </w:rPr>
      </w:pPr>
    </w:p>
    <w:p>
      <w:pPr>
        <w:ind w:left="240"/>
        <w:spacing w:after="0"/>
        <w:rPr>
          <w:sz w:val="20"/>
          <w:szCs w:val="20"/>
          <w:color w:val="auto"/>
        </w:rPr>
      </w:pPr>
      <w:r>
        <w:rPr>
          <w:rFonts w:ascii="Arial" w:cs="Arial" w:eastAsia="Arial" w:hAnsi="Arial"/>
          <w:sz w:val="18"/>
          <w:szCs w:val="18"/>
          <w:color w:val="auto"/>
        </w:rPr>
        <w:t>New York Stock Exchange</w:t>
      </w:r>
    </w:p>
    <w:p>
      <w:pPr>
        <w:spacing w:after="0" w:line="200" w:lineRule="exact"/>
        <w:rPr>
          <w:sz w:val="24"/>
          <w:szCs w:val="24"/>
          <w:color w:val="auto"/>
        </w:rPr>
      </w:pPr>
    </w:p>
    <w:p>
      <w:pPr>
        <w:sectPr>
          <w:pgSz w:w="11900" w:h="16838" w:orient="portrait"/>
          <w:cols w:equalWidth="0" w:num="3">
            <w:col w:w="2960" w:space="620"/>
            <w:col w:w="4280" w:space="420"/>
            <w:col w:w="2960"/>
          </w:cols>
          <w:pgMar w:left="320" w:top="989" w:right="339" w:bottom="1440" w:gutter="0" w:footer="0" w:header="0"/>
          <w:type w:val="continuous"/>
        </w:sectPr>
      </w:pPr>
    </w:p>
    <w:p>
      <w:pPr>
        <w:spacing w:after="0" w:line="200" w:lineRule="exact"/>
        <w:rPr>
          <w:sz w:val="24"/>
          <w:szCs w:val="24"/>
          <w:color w:val="auto"/>
        </w:rPr>
      </w:pPr>
    </w:p>
    <w:p>
      <w:pPr>
        <w:spacing w:after="0" w:line="203" w:lineRule="exact"/>
        <w:rPr>
          <w:sz w:val="24"/>
          <w:szCs w:val="24"/>
          <w:color w:val="auto"/>
        </w:rPr>
      </w:pPr>
    </w:p>
    <w:p>
      <w:pPr>
        <w:ind w:left="440"/>
        <w:spacing w:after="0"/>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w:t>
      </w:r>
    </w:p>
    <w:p>
      <w:pPr>
        <w:spacing w:after="0" w:line="46" w:lineRule="exact"/>
        <w:rPr>
          <w:sz w:val="24"/>
          <w:szCs w:val="24"/>
          <w:color w:val="auto"/>
        </w:rPr>
      </w:pPr>
    </w:p>
    <w:p>
      <w:pPr>
        <w:jc w:val="both"/>
        <w:spacing w:after="0" w:line="226" w:lineRule="exact"/>
        <w:rPr>
          <w:sz w:val="20"/>
          <w:szCs w:val="20"/>
          <w:color w:val="auto"/>
        </w:rPr>
      </w:pPr>
      <w:r>
        <w:rPr>
          <w:rFonts w:ascii="Arial" w:cs="Arial" w:eastAsia="Arial" w:hAnsi="Arial"/>
          <w:sz w:val="18"/>
          <w:szCs w:val="18"/>
          <w:color w:val="auto"/>
        </w:rPr>
        <w:t xml:space="preserve">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8" w:lineRule="exact"/>
        <w:rPr>
          <w:sz w:val="24"/>
          <w:szCs w:val="24"/>
          <w:color w:val="auto"/>
        </w:rPr>
      </w:pPr>
    </w:p>
    <w:p>
      <w:pPr>
        <w:jc w:val="both"/>
        <w:ind w:firstLine="324"/>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30" w:lineRule="exact"/>
        <w:rPr>
          <w:sz w:val="24"/>
          <w:szCs w:val="24"/>
          <w:color w:val="auto"/>
        </w:rPr>
      </w:pPr>
    </w:p>
    <w:p>
      <w:pPr>
        <w:jc w:val="both"/>
        <w:ind w:firstLine="324"/>
        <w:spacing w:after="0" w:line="228" w:lineRule="exact"/>
        <w:rPr>
          <w:sz w:val="20"/>
          <w:szCs w:val="20"/>
          <w:color w:val="auto"/>
        </w:rPr>
      </w:pPr>
      <w:r>
        <w:rPr>
          <w:rFonts w:ascii="Arial" w:cs="Arial" w:eastAsia="Arial" w:hAnsi="Arial"/>
          <w:sz w:val="17"/>
          <w:szCs w:val="17"/>
          <w:color w:val="auto"/>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Large accelerated filer </w:t>
      </w:r>
      <w:r>
        <w:rPr>
          <w:rFonts w:ascii="MS PGothic" w:cs="MS PGothic" w:eastAsia="MS PGothic" w:hAnsi="MS PGothic"/>
          <w:sz w:val="17"/>
          <w:szCs w:val="17"/>
          <w:color w:val="auto"/>
        </w:rPr>
        <w:t>☑</w:t>
      </w:r>
      <w:r>
        <w:rPr>
          <w:rFonts w:ascii="Arial" w:cs="Arial" w:eastAsia="Arial" w:hAnsi="Arial"/>
          <w:sz w:val="17"/>
          <w:szCs w:val="17"/>
          <w:color w:val="auto"/>
        </w:rPr>
        <w:t xml:space="preserve"> Accelerated filer </w:t>
      </w:r>
      <w:r>
        <w:rPr>
          <w:rFonts w:ascii="MS PGothic" w:cs="MS PGothic" w:eastAsia="MS PGothic" w:hAnsi="MS PGothic"/>
          <w:sz w:val="17"/>
          <w:szCs w:val="17"/>
          <w:color w:val="auto"/>
        </w:rPr>
        <w:t>☐</w:t>
      </w:r>
      <w:r>
        <w:rPr>
          <w:rFonts w:ascii="Arial" w:cs="Arial" w:eastAsia="Arial" w:hAnsi="Arial"/>
          <w:sz w:val="17"/>
          <w:szCs w:val="17"/>
          <w:color w:val="auto"/>
        </w:rPr>
        <w:t xml:space="preserve"> Non-accelerated filer </w:t>
      </w:r>
      <w:r>
        <w:rPr>
          <w:rFonts w:ascii="MS PGothic" w:cs="MS PGothic" w:eastAsia="MS PGothic" w:hAnsi="MS PGothic"/>
          <w:sz w:val="17"/>
          <w:szCs w:val="17"/>
          <w:color w:val="auto"/>
        </w:rPr>
        <w:t>☐</w:t>
      </w:r>
      <w:r>
        <w:rPr>
          <w:rFonts w:ascii="Arial" w:cs="Arial" w:eastAsia="Arial" w:hAnsi="Arial"/>
          <w:sz w:val="17"/>
          <w:szCs w:val="17"/>
          <w:color w:val="auto"/>
        </w:rPr>
        <w:t xml:space="preserve"> Smaller reporting company </w:t>
      </w:r>
      <w:r>
        <w:rPr>
          <w:rFonts w:ascii="MS PGothic" w:cs="MS PGothic" w:eastAsia="MS PGothic" w:hAnsi="MS PGothic"/>
          <w:sz w:val="17"/>
          <w:szCs w:val="17"/>
          <w:color w:val="auto"/>
        </w:rPr>
        <w:t>☐</w:t>
      </w:r>
      <w:r>
        <w:rPr>
          <w:rFonts w:ascii="Arial" w:cs="Arial" w:eastAsia="Arial" w:hAnsi="Arial"/>
          <w:sz w:val="17"/>
          <w:szCs w:val="17"/>
          <w:color w:val="auto"/>
        </w:rPr>
        <w:t xml:space="preserve"> Emerging growth company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89" w:right="339" w:bottom="1440" w:gutter="0" w:footer="0" w:header="0"/>
          <w:type w:val="continuous"/>
        </w:sectPr>
      </w:pPr>
    </w:p>
    <w:bookmarkStart w:id="1" w:name="page2"/>
    <w:bookmarkEnd w:id="1"/>
    <w:p>
      <w:pPr>
        <w:ind w:firstLine="324"/>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7" w:lineRule="exact"/>
        <w:rPr>
          <w:sz w:val="20"/>
          <w:szCs w:val="20"/>
          <w:color w:val="auto"/>
        </w:rPr>
      </w:pPr>
    </w:p>
    <w:p>
      <w:pPr>
        <w:ind w:left="340"/>
        <w:spacing w:after="0" w:line="196" w:lineRule="exact"/>
        <w:tabs>
          <w:tab w:leader="none" w:pos="9220" w:val="left"/>
        </w:tabs>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registrant had a total of 63,489,928 shares of common stock, par value $0.01 per share, issued and outstanding as of July 24,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733425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60"/>
          </w:cols>
          <w:pgMar w:left="320" w:top="895" w:right="5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70" w:lineRule="exact"/>
        <w:rPr>
          <w:sz w:val="20"/>
          <w:szCs w:val="20"/>
          <w:color w:val="auto"/>
        </w:rPr>
      </w:pPr>
    </w:p>
    <w:p>
      <w:pPr>
        <w:ind w:left="20"/>
        <w:spacing w:after="0"/>
        <w:tabs>
          <w:tab w:leader="none" w:pos="780" w:val="left"/>
        </w:tabs>
        <w:rPr>
          <w:rFonts w:ascii="Arial" w:cs="Arial" w:eastAsia="Arial" w:hAnsi="Arial"/>
          <w:sz w:val="16"/>
          <w:szCs w:val="16"/>
          <w:u w:val="single" w:color="auto"/>
          <w:color w:val="0000FF"/>
        </w:rPr>
      </w:pPr>
      <w:hyperlink w:anchor="page4">
        <w:r>
          <w:rPr>
            <w:rFonts w:ascii="Arial" w:cs="Arial" w:eastAsia="Arial" w:hAnsi="Arial"/>
            <w:sz w:val="18"/>
            <w:szCs w:val="18"/>
            <w:u w:val="single" w:color="auto"/>
            <w:color w:val="0000FF"/>
          </w:rPr>
          <w:t>Part I.</w:t>
        </w:r>
      </w:hyperlink>
      <w:r>
        <w:rPr>
          <w:rFonts w:ascii="Arial" w:cs="Arial" w:eastAsia="Arial" w:hAnsi="Arial"/>
          <w:sz w:val="18"/>
          <w:szCs w:val="18"/>
          <w:u w:val="single" w:color="auto"/>
          <w:color w:val="0000FF"/>
        </w:rPr>
        <w:tab/>
      </w:r>
      <w:hyperlink w:anchor="page4">
        <w:r>
          <w:rPr>
            <w:rFonts w:ascii="Arial" w:cs="Arial" w:eastAsia="Arial" w:hAnsi="Arial"/>
            <w:sz w:val="16"/>
            <w:szCs w:val="16"/>
            <w:u w:val="single" w:color="auto"/>
            <w:color w:val="0000FF"/>
          </w:rPr>
          <w:t>Financial Information</w:t>
        </w:r>
      </w:hyperlink>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1720" w:type="dxa"/>
            <w:vAlign w:val="bottom"/>
          </w:tcPr>
          <w:p>
            <w:pPr>
              <w:ind w:left="800"/>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Item 1.</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Financial Statements (Unaudited)</w:t>
              </w:r>
            </w:hyperlink>
          </w:p>
        </w:tc>
        <w:tc>
          <w:tcPr>
            <w:tcW w:w="360" w:type="dxa"/>
            <w:vAlign w:val="bottom"/>
          </w:tcPr>
          <w:p>
            <w:pPr>
              <w:spacing w:after="0"/>
              <w:rPr>
                <w:sz w:val="19"/>
                <w:szCs w:val="19"/>
                <w:color w:val="auto"/>
              </w:rPr>
            </w:pPr>
          </w:p>
        </w:tc>
      </w:tr>
      <w:tr>
        <w:trPr>
          <w:trHeight w:val="230"/>
        </w:trPr>
        <w:tc>
          <w:tcPr>
            <w:tcW w:w="1720" w:type="dxa"/>
            <w:vAlign w:val="bottom"/>
          </w:tcPr>
          <w:p>
            <w:pPr>
              <w:spacing w:after="0"/>
              <w:rPr>
                <w:sz w:val="19"/>
                <w:szCs w:val="19"/>
                <w:color w:val="auto"/>
              </w:rPr>
            </w:pPr>
          </w:p>
        </w:tc>
        <w:tc>
          <w:tcPr>
            <w:tcW w:w="9160" w:type="dxa"/>
            <w:vAlign w:val="bottom"/>
            <w:gridSpan w:val="2"/>
          </w:tcPr>
          <w:p>
            <w:pPr>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Consolidated Balance Sheets as of June 30, 2020 and December 31, 2019</w:t>
              </w:r>
            </w:hyperlink>
          </w:p>
        </w:tc>
        <w:tc>
          <w:tcPr>
            <w:tcW w:w="360" w:type="dxa"/>
            <w:vAlign w:val="bottom"/>
          </w:tcPr>
          <w:p>
            <w:pPr>
              <w:jc w:val="right"/>
              <w:spacing w:after="0"/>
              <w:rPr>
                <w:rFonts w:ascii="Arial" w:cs="Arial" w:eastAsia="Arial" w:hAnsi="Arial"/>
                <w:sz w:val="18"/>
                <w:szCs w:val="18"/>
                <w:color w:val="0000FF"/>
              </w:rPr>
            </w:pPr>
            <w:hyperlink w:anchor="page4">
              <w:r>
                <w:rPr>
                  <w:rFonts w:ascii="Arial" w:cs="Arial" w:eastAsia="Arial" w:hAnsi="Arial"/>
                  <w:sz w:val="18"/>
                  <w:szCs w:val="18"/>
                  <w:color w:val="0000FF"/>
                </w:rPr>
                <w:t>1</w:t>
              </w:r>
            </w:hyperlink>
          </w:p>
        </w:tc>
      </w:tr>
      <w:tr>
        <w:trPr>
          <w:trHeight w:val="229"/>
        </w:trPr>
        <w:tc>
          <w:tcPr>
            <w:tcW w:w="1720" w:type="dxa"/>
            <w:vAlign w:val="bottom"/>
          </w:tcPr>
          <w:p>
            <w:pPr>
              <w:spacing w:after="0"/>
              <w:rPr>
                <w:sz w:val="19"/>
                <w:szCs w:val="19"/>
                <w:color w:val="auto"/>
              </w:rPr>
            </w:pPr>
          </w:p>
        </w:tc>
        <w:tc>
          <w:tcPr>
            <w:tcW w:w="9160" w:type="dxa"/>
            <w:vAlign w:val="bottom"/>
            <w:gridSpan w:val="2"/>
          </w:tcPr>
          <w:p>
            <w:pPr>
              <w:spacing w:after="0"/>
              <w:rPr>
                <w:rFonts w:ascii="Arial" w:cs="Arial" w:eastAsia="Arial" w:hAnsi="Arial"/>
                <w:sz w:val="18"/>
                <w:szCs w:val="18"/>
                <w:u w:val="single" w:color="auto"/>
                <w:color w:val="0000FF"/>
                <w:w w:val="90"/>
              </w:rPr>
            </w:pPr>
            <w:hyperlink w:anchor="page4">
              <w:r>
                <w:rPr>
                  <w:rFonts w:ascii="Arial" w:cs="Arial" w:eastAsia="Arial" w:hAnsi="Arial"/>
                  <w:sz w:val="18"/>
                  <w:szCs w:val="18"/>
                  <w:u w:val="single" w:color="auto"/>
                  <w:color w:val="0000FF"/>
                  <w:w w:val="90"/>
                </w:rPr>
                <w:t>Consolidated Statements of Income and Comprehensive Income for the Three and Six Months ended June 30, 2020 and 2019</w:t>
              </w:r>
            </w:hyperlink>
          </w:p>
        </w:tc>
        <w:tc>
          <w:tcPr>
            <w:tcW w:w="360" w:type="dxa"/>
            <w:vAlign w:val="bottom"/>
          </w:tcPr>
          <w:p>
            <w:pPr>
              <w:jc w:val="right"/>
              <w:spacing w:after="0"/>
              <w:rPr>
                <w:rFonts w:ascii="Arial" w:cs="Arial" w:eastAsia="Arial" w:hAnsi="Arial"/>
                <w:sz w:val="18"/>
                <w:szCs w:val="18"/>
                <w:color w:val="0000FF"/>
              </w:rPr>
            </w:pPr>
            <w:hyperlink w:anchor="page4">
              <w:r>
                <w:rPr>
                  <w:rFonts w:ascii="Arial" w:cs="Arial" w:eastAsia="Arial" w:hAnsi="Arial"/>
                  <w:sz w:val="18"/>
                  <w:szCs w:val="18"/>
                  <w:color w:val="0000FF"/>
                </w:rPr>
                <w:t>2</w:t>
              </w:r>
            </w:hyperlink>
          </w:p>
        </w:tc>
      </w:tr>
      <w:tr>
        <w:trPr>
          <w:trHeight w:val="230"/>
        </w:trPr>
        <w:tc>
          <w:tcPr>
            <w:tcW w:w="1720" w:type="dxa"/>
            <w:vAlign w:val="bottom"/>
          </w:tcPr>
          <w:p>
            <w:pPr>
              <w:spacing w:after="0"/>
              <w:rPr>
                <w:sz w:val="19"/>
                <w:szCs w:val="19"/>
                <w:color w:val="auto"/>
              </w:rPr>
            </w:pPr>
          </w:p>
        </w:tc>
        <w:tc>
          <w:tcPr>
            <w:tcW w:w="9160" w:type="dxa"/>
            <w:vAlign w:val="bottom"/>
            <w:gridSpan w:val="2"/>
          </w:tcPr>
          <w:p>
            <w:pPr>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Consolidated Statements of Shareholders’ Equity for the Three and Six Months ended June 30, 2020 and 2019</w:t>
              </w:r>
            </w:hyperlink>
          </w:p>
        </w:tc>
        <w:tc>
          <w:tcPr>
            <w:tcW w:w="360" w:type="dxa"/>
            <w:vAlign w:val="bottom"/>
          </w:tcPr>
          <w:p>
            <w:pPr>
              <w:jc w:val="right"/>
              <w:spacing w:after="0"/>
              <w:rPr>
                <w:rFonts w:ascii="Arial" w:cs="Arial" w:eastAsia="Arial" w:hAnsi="Arial"/>
                <w:sz w:val="18"/>
                <w:szCs w:val="18"/>
                <w:color w:val="0000FF"/>
              </w:rPr>
            </w:pPr>
            <w:hyperlink w:anchor="page5">
              <w:r>
                <w:rPr>
                  <w:rFonts w:ascii="Arial" w:cs="Arial" w:eastAsia="Arial" w:hAnsi="Arial"/>
                  <w:sz w:val="18"/>
                  <w:szCs w:val="18"/>
                  <w:color w:val="0000FF"/>
                </w:rPr>
                <w:t>3</w:t>
              </w:r>
            </w:hyperlink>
          </w:p>
        </w:tc>
      </w:tr>
      <w:tr>
        <w:trPr>
          <w:trHeight w:val="190"/>
        </w:trPr>
        <w:tc>
          <w:tcPr>
            <w:tcW w:w="1720" w:type="dxa"/>
            <w:vAlign w:val="bottom"/>
          </w:tcPr>
          <w:p>
            <w:pPr>
              <w:spacing w:after="0"/>
              <w:rPr>
                <w:sz w:val="16"/>
                <w:szCs w:val="16"/>
                <w:color w:val="auto"/>
              </w:rPr>
            </w:pPr>
          </w:p>
        </w:tc>
        <w:tc>
          <w:tcPr>
            <w:tcW w:w="9160" w:type="dxa"/>
            <w:vAlign w:val="bottom"/>
            <w:gridSpan w:val="2"/>
          </w:tcPr>
          <w:p>
            <w:pPr>
              <w:spacing w:after="0" w:line="190" w:lineRule="exact"/>
              <w:rPr>
                <w:rFonts w:ascii="Arial" w:cs="Arial" w:eastAsia="Arial" w:hAnsi="Arial"/>
                <w:sz w:val="18"/>
                <w:szCs w:val="18"/>
                <w:color w:val="0000FF"/>
              </w:rPr>
            </w:pPr>
            <w:hyperlink w:anchor="page7">
              <w:r>
                <w:rPr>
                  <w:rFonts w:ascii="Arial" w:cs="Arial" w:eastAsia="Arial" w:hAnsi="Arial"/>
                  <w:sz w:val="18"/>
                  <w:szCs w:val="18"/>
                  <w:color w:val="0000FF"/>
                </w:rPr>
                <w:t xml:space="preserve">Consolidated Statements of Cash Flows for the Six Months ended June </w:t>
              </w:r>
            </w:hyperlink>
            <w:r>
              <w:rPr>
                <w:rFonts w:ascii="Arial" w:cs="Arial" w:eastAsia="Arial" w:hAnsi="Arial"/>
                <w:sz w:val="18"/>
                <w:szCs w:val="18"/>
                <w:color w:val="0000FF"/>
              </w:rPr>
              <w:t>30</w:t>
            </w:r>
            <w:hyperlink w:anchor="page7">
              <w:r>
                <w:rPr>
                  <w:rFonts w:ascii="Arial" w:cs="Arial" w:eastAsia="Arial" w:hAnsi="Arial"/>
                  <w:sz w:val="18"/>
                  <w:szCs w:val="18"/>
                  <w:color w:val="0000FF"/>
                </w:rPr>
                <w:t xml:space="preserve">, </w:t>
              </w:r>
              <w:r>
                <w:rPr>
                  <w:rFonts w:ascii="Arial" w:cs="Arial" w:eastAsia="Arial" w:hAnsi="Arial"/>
                  <w:sz w:val="18"/>
                  <w:szCs w:val="18"/>
                  <w:u w:val="single" w:color="auto"/>
                  <w:color w:val="0000FF"/>
                </w:rPr>
                <w:t>2020 and 2019</w:t>
              </w:r>
            </w:hyperlink>
          </w:p>
        </w:tc>
        <w:tc>
          <w:tcPr>
            <w:tcW w:w="360" w:type="dxa"/>
            <w:vAlign w:val="bottom"/>
          </w:tcPr>
          <w:p>
            <w:pPr>
              <w:jc w:val="right"/>
              <w:spacing w:after="0" w:line="190" w:lineRule="exact"/>
              <w:rPr>
                <w:rFonts w:ascii="Arial" w:cs="Arial" w:eastAsia="Arial" w:hAnsi="Arial"/>
                <w:sz w:val="18"/>
                <w:szCs w:val="18"/>
                <w:color w:val="0000FF"/>
              </w:rPr>
            </w:pPr>
            <w:hyperlink w:anchor="page7">
              <w:r>
                <w:rPr>
                  <w:rFonts w:ascii="Arial" w:cs="Arial" w:eastAsia="Arial" w:hAnsi="Arial"/>
                  <w:sz w:val="18"/>
                  <w:szCs w:val="18"/>
                  <w:color w:val="0000FF"/>
                </w:rPr>
                <w:t>5</w:t>
              </w:r>
            </w:hyperlink>
          </w:p>
        </w:tc>
      </w:tr>
      <w:tr>
        <w:trPr>
          <w:trHeight w:val="250"/>
        </w:trPr>
        <w:tc>
          <w:tcPr>
            <w:tcW w:w="1720" w:type="dxa"/>
            <w:vAlign w:val="bottom"/>
          </w:tcPr>
          <w:p>
            <w:pPr>
              <w:spacing w:after="0"/>
              <w:rPr>
                <w:sz w:val="21"/>
                <w:szCs w:val="21"/>
                <w:color w:val="auto"/>
              </w:rPr>
            </w:pPr>
          </w:p>
        </w:tc>
        <w:tc>
          <w:tcPr>
            <w:tcW w:w="5340" w:type="dxa"/>
            <w:vAlign w:val="bottom"/>
            <w:tcBorders>
              <w:top w:val="single" w:sz="8" w:color="0000FF"/>
            </w:tcBorders>
          </w:tcPr>
          <w:p>
            <w:pPr>
              <w:spacing w:after="0"/>
              <w:rPr>
                <w:rFonts w:ascii="Arial" w:cs="Arial" w:eastAsia="Arial" w:hAnsi="Arial"/>
                <w:sz w:val="18"/>
                <w:szCs w:val="18"/>
                <w:u w:val="single" w:color="auto"/>
                <w:color w:val="0000FF"/>
              </w:rPr>
            </w:pPr>
            <w:hyperlink w:anchor="page9">
              <w:r>
                <w:rPr>
                  <w:rFonts w:ascii="Arial" w:cs="Arial" w:eastAsia="Arial" w:hAnsi="Arial"/>
                  <w:sz w:val="18"/>
                  <w:szCs w:val="18"/>
                  <w:u w:val="single" w:color="auto"/>
                  <w:color w:val="0000FF"/>
                </w:rPr>
                <w:t>Notes to the Consolidated Financial Statements</w:t>
              </w:r>
            </w:hyperlink>
          </w:p>
        </w:tc>
        <w:tc>
          <w:tcPr>
            <w:tcW w:w="3820" w:type="dxa"/>
            <w:vAlign w:val="bottom"/>
          </w:tcPr>
          <w:p>
            <w:pPr>
              <w:spacing w:after="0"/>
              <w:rPr>
                <w:sz w:val="21"/>
                <w:szCs w:val="21"/>
                <w:color w:val="auto"/>
              </w:rPr>
            </w:pPr>
          </w:p>
        </w:tc>
        <w:tc>
          <w:tcPr>
            <w:tcW w:w="360" w:type="dxa"/>
            <w:vAlign w:val="bottom"/>
          </w:tcPr>
          <w:p>
            <w:pPr>
              <w:jc w:val="right"/>
              <w:spacing w:after="0"/>
              <w:rPr>
                <w:rFonts w:ascii="Arial" w:cs="Arial" w:eastAsia="Arial" w:hAnsi="Arial"/>
                <w:sz w:val="18"/>
                <w:szCs w:val="18"/>
                <w:color w:val="0000FF"/>
              </w:rPr>
            </w:pPr>
            <w:hyperlink w:anchor="page9">
              <w:r>
                <w:rPr>
                  <w:rFonts w:ascii="Arial" w:cs="Arial" w:eastAsia="Arial" w:hAnsi="Arial"/>
                  <w:sz w:val="18"/>
                  <w:szCs w:val="18"/>
                  <w:color w:val="0000FF"/>
                </w:rPr>
                <w:t>7</w:t>
              </w:r>
            </w:hyperlink>
          </w:p>
        </w:tc>
      </w:tr>
      <w:tr>
        <w:trPr>
          <w:trHeight w:val="500"/>
        </w:trPr>
        <w:tc>
          <w:tcPr>
            <w:tcW w:w="1720" w:type="dxa"/>
            <w:vAlign w:val="bottom"/>
          </w:tcPr>
          <w:p>
            <w:pPr>
              <w:ind w:left="800"/>
              <w:spacing w:after="0"/>
              <w:rPr>
                <w:rFonts w:ascii="Arial" w:cs="Arial" w:eastAsia="Arial" w:hAnsi="Arial"/>
                <w:sz w:val="18"/>
                <w:szCs w:val="18"/>
                <w:u w:val="single" w:color="auto"/>
                <w:color w:val="0000FF"/>
              </w:rPr>
            </w:pPr>
            <w:hyperlink w:anchor="page27">
              <w:r>
                <w:rPr>
                  <w:rFonts w:ascii="Arial" w:cs="Arial" w:eastAsia="Arial" w:hAnsi="Arial"/>
                  <w:sz w:val="18"/>
                  <w:szCs w:val="18"/>
                  <w:u w:val="single" w:color="auto"/>
                  <w:color w:val="0000FF"/>
                </w:rPr>
                <w:t>Item 2.</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27">
              <w:r>
                <w:rPr>
                  <w:rFonts w:ascii="Arial" w:cs="Arial" w:eastAsia="Arial" w:hAnsi="Arial"/>
                  <w:sz w:val="18"/>
                  <w:szCs w:val="18"/>
                  <w:u w:val="single" w:color="auto"/>
                  <w:color w:val="0000FF"/>
                </w:rPr>
                <w:t>Management’s Discussion and Analysis of Financial Condition and Results of Operations</w:t>
              </w:r>
            </w:hyperlink>
          </w:p>
        </w:tc>
        <w:tc>
          <w:tcPr>
            <w:tcW w:w="360" w:type="dxa"/>
            <w:vAlign w:val="bottom"/>
          </w:tcPr>
          <w:p>
            <w:pPr>
              <w:jc w:val="right"/>
              <w:spacing w:after="0"/>
              <w:rPr>
                <w:rFonts w:ascii="Arial" w:cs="Arial" w:eastAsia="Arial" w:hAnsi="Arial"/>
                <w:sz w:val="18"/>
                <w:szCs w:val="18"/>
                <w:color w:val="0000FF"/>
              </w:rPr>
            </w:pPr>
            <w:hyperlink w:anchor="page27">
              <w:r>
                <w:rPr>
                  <w:rFonts w:ascii="Arial" w:cs="Arial" w:eastAsia="Arial" w:hAnsi="Arial"/>
                  <w:sz w:val="18"/>
                  <w:szCs w:val="18"/>
                  <w:color w:val="0000FF"/>
                </w:rPr>
                <w:t>25</w:t>
              </w:r>
            </w:hyperlink>
          </w:p>
        </w:tc>
      </w:tr>
      <w:tr>
        <w:trPr>
          <w:trHeight w:val="499"/>
        </w:trPr>
        <w:tc>
          <w:tcPr>
            <w:tcW w:w="1720" w:type="dxa"/>
            <w:vAlign w:val="bottom"/>
          </w:tcPr>
          <w:p>
            <w:pPr>
              <w:ind w:left="800"/>
              <w:spacing w:after="0"/>
              <w:rPr>
                <w:rFonts w:ascii="Arial" w:cs="Arial" w:eastAsia="Arial" w:hAnsi="Arial"/>
                <w:sz w:val="18"/>
                <w:szCs w:val="18"/>
                <w:u w:val="single" w:color="auto"/>
                <w:color w:val="0000FF"/>
              </w:rPr>
            </w:pPr>
            <w:hyperlink w:anchor="page41">
              <w:r>
                <w:rPr>
                  <w:rFonts w:ascii="Arial" w:cs="Arial" w:eastAsia="Arial" w:hAnsi="Arial"/>
                  <w:sz w:val="18"/>
                  <w:szCs w:val="18"/>
                  <w:u w:val="single" w:color="auto"/>
                  <w:color w:val="0000FF"/>
                </w:rPr>
                <w:t>Item 3.</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41">
              <w:r>
                <w:rPr>
                  <w:rFonts w:ascii="Arial" w:cs="Arial" w:eastAsia="Arial" w:hAnsi="Arial"/>
                  <w:sz w:val="18"/>
                  <w:szCs w:val="18"/>
                  <w:u w:val="single" w:color="auto"/>
                  <w:color w:val="0000FF"/>
                </w:rPr>
                <w:t>Quantitative and Qualitative Disclosures About Market Risk</w:t>
              </w:r>
            </w:hyperlink>
          </w:p>
        </w:tc>
        <w:tc>
          <w:tcPr>
            <w:tcW w:w="360" w:type="dxa"/>
            <w:vAlign w:val="bottom"/>
          </w:tcPr>
          <w:p>
            <w:pPr>
              <w:jc w:val="right"/>
              <w:spacing w:after="0"/>
              <w:rPr>
                <w:rFonts w:ascii="Arial" w:cs="Arial" w:eastAsia="Arial" w:hAnsi="Arial"/>
                <w:sz w:val="18"/>
                <w:szCs w:val="18"/>
                <w:color w:val="0000FF"/>
              </w:rPr>
            </w:pPr>
            <w:hyperlink w:anchor="page41">
              <w:r>
                <w:rPr>
                  <w:rFonts w:ascii="Arial" w:cs="Arial" w:eastAsia="Arial" w:hAnsi="Arial"/>
                  <w:sz w:val="18"/>
                  <w:szCs w:val="18"/>
                  <w:color w:val="0000FF"/>
                </w:rPr>
                <w:t>38</w:t>
              </w:r>
            </w:hyperlink>
          </w:p>
        </w:tc>
      </w:tr>
      <w:tr>
        <w:trPr>
          <w:trHeight w:val="499"/>
        </w:trPr>
        <w:tc>
          <w:tcPr>
            <w:tcW w:w="1720" w:type="dxa"/>
            <w:vAlign w:val="bottom"/>
          </w:tcPr>
          <w:p>
            <w:pPr>
              <w:ind w:left="800"/>
              <w:spacing w:after="0"/>
              <w:rPr>
                <w:rFonts w:ascii="Arial" w:cs="Arial" w:eastAsia="Arial" w:hAnsi="Arial"/>
                <w:sz w:val="18"/>
                <w:szCs w:val="18"/>
                <w:u w:val="single" w:color="auto"/>
                <w:color w:val="0000FF"/>
              </w:rPr>
            </w:pPr>
            <w:hyperlink w:anchor="page41">
              <w:r>
                <w:rPr>
                  <w:rFonts w:ascii="Arial" w:cs="Arial" w:eastAsia="Arial" w:hAnsi="Arial"/>
                  <w:sz w:val="18"/>
                  <w:szCs w:val="18"/>
                  <w:u w:val="single" w:color="auto"/>
                  <w:color w:val="0000FF"/>
                </w:rPr>
                <w:t>Item 4.</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41">
              <w:r>
                <w:rPr>
                  <w:rFonts w:ascii="Arial" w:cs="Arial" w:eastAsia="Arial" w:hAnsi="Arial"/>
                  <w:sz w:val="18"/>
                  <w:szCs w:val="18"/>
                  <w:u w:val="single" w:color="auto"/>
                  <w:color w:val="0000FF"/>
                </w:rPr>
                <w:t>Controls and Procedures</w:t>
              </w:r>
            </w:hyperlink>
          </w:p>
        </w:tc>
        <w:tc>
          <w:tcPr>
            <w:tcW w:w="360" w:type="dxa"/>
            <w:vAlign w:val="bottom"/>
          </w:tcPr>
          <w:p>
            <w:pPr>
              <w:jc w:val="right"/>
              <w:spacing w:after="0"/>
              <w:rPr>
                <w:rFonts w:ascii="Arial" w:cs="Arial" w:eastAsia="Arial" w:hAnsi="Arial"/>
                <w:sz w:val="18"/>
                <w:szCs w:val="18"/>
                <w:color w:val="0000FF"/>
              </w:rPr>
            </w:pPr>
            <w:hyperlink w:anchor="page41">
              <w:r>
                <w:rPr>
                  <w:rFonts w:ascii="Arial" w:cs="Arial" w:eastAsia="Arial" w:hAnsi="Arial"/>
                  <w:sz w:val="18"/>
                  <w:szCs w:val="18"/>
                  <w:color w:val="0000FF"/>
                </w:rPr>
                <w:t>38</w:t>
              </w:r>
            </w:hyperlink>
          </w:p>
        </w:tc>
      </w:tr>
      <w:tr>
        <w:trPr>
          <w:trHeight w:val="500"/>
        </w:trPr>
        <w:tc>
          <w:tcPr>
            <w:tcW w:w="10880" w:type="dxa"/>
            <w:vAlign w:val="bottom"/>
            <w:gridSpan w:val="3"/>
          </w:tcPr>
          <w:p>
            <w:pPr>
              <w:ind w:left="20"/>
              <w:spacing w:after="0"/>
              <w:rPr>
                <w:rFonts w:ascii="Arial" w:cs="Arial" w:eastAsia="Arial" w:hAnsi="Arial"/>
                <w:sz w:val="18"/>
                <w:szCs w:val="18"/>
                <w:color w:val="0000FF"/>
              </w:rPr>
            </w:pPr>
            <w:hyperlink w:anchor="page42">
              <w:r>
                <w:rPr>
                  <w:rFonts w:ascii="Arial" w:cs="Arial" w:eastAsia="Arial" w:hAnsi="Arial"/>
                  <w:sz w:val="18"/>
                  <w:szCs w:val="18"/>
                  <w:u w:val="single" w:color="auto"/>
                  <w:color w:val="0000FF"/>
                </w:rPr>
                <w:t>Part II</w:t>
              </w:r>
              <w:r>
                <w:rPr>
                  <w:rFonts w:ascii="Arial" w:cs="Arial" w:eastAsia="Arial" w:hAnsi="Arial"/>
                  <w:sz w:val="18"/>
                  <w:szCs w:val="18"/>
                  <w:color w:val="0000FF"/>
                </w:rPr>
                <w:t xml:space="preserve">.   </w:t>
              </w:r>
              <w:r>
                <w:rPr>
                  <w:rFonts w:ascii="Arial" w:cs="Arial" w:eastAsia="Arial" w:hAnsi="Arial"/>
                  <w:sz w:val="18"/>
                  <w:szCs w:val="18"/>
                  <w:u w:val="single" w:color="auto"/>
                  <w:color w:val="0000FF"/>
                </w:rPr>
                <w:t>Other Information</w:t>
              </w:r>
            </w:hyperlink>
          </w:p>
        </w:tc>
        <w:tc>
          <w:tcPr>
            <w:tcW w:w="360" w:type="dxa"/>
            <w:vAlign w:val="bottom"/>
          </w:tcPr>
          <w:p>
            <w:pPr>
              <w:spacing w:after="0"/>
              <w:rPr>
                <w:sz w:val="24"/>
                <w:szCs w:val="24"/>
                <w:color w:val="auto"/>
              </w:rPr>
            </w:pPr>
          </w:p>
        </w:tc>
      </w:tr>
      <w:tr>
        <w:trPr>
          <w:trHeight w:val="499"/>
        </w:trPr>
        <w:tc>
          <w:tcPr>
            <w:tcW w:w="1720" w:type="dxa"/>
            <w:vAlign w:val="bottom"/>
          </w:tcPr>
          <w:p>
            <w:pPr>
              <w:ind w:left="800"/>
              <w:spacing w:after="0"/>
              <w:rPr>
                <w:rFonts w:ascii="Arial" w:cs="Arial" w:eastAsia="Arial" w:hAnsi="Arial"/>
                <w:sz w:val="18"/>
                <w:szCs w:val="18"/>
                <w:u w:val="single" w:color="auto"/>
                <w:color w:val="0000FF"/>
              </w:rPr>
            </w:pPr>
            <w:hyperlink w:anchor="page42">
              <w:r>
                <w:rPr>
                  <w:rFonts w:ascii="Arial" w:cs="Arial" w:eastAsia="Arial" w:hAnsi="Arial"/>
                  <w:sz w:val="18"/>
                  <w:szCs w:val="18"/>
                  <w:u w:val="single" w:color="auto"/>
                  <w:color w:val="0000FF"/>
                </w:rPr>
                <w:t>Item 1.</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42">
              <w:r>
                <w:rPr>
                  <w:rFonts w:ascii="Arial" w:cs="Arial" w:eastAsia="Arial" w:hAnsi="Arial"/>
                  <w:sz w:val="18"/>
                  <w:szCs w:val="18"/>
                  <w:u w:val="single" w:color="auto"/>
                  <w:color w:val="0000FF"/>
                </w:rPr>
                <w:t>Legal Proceedings</w:t>
              </w:r>
            </w:hyperlink>
          </w:p>
        </w:tc>
        <w:tc>
          <w:tcPr>
            <w:tcW w:w="360" w:type="dxa"/>
            <w:vAlign w:val="bottom"/>
          </w:tcPr>
          <w:p>
            <w:pPr>
              <w:jc w:val="right"/>
              <w:spacing w:after="0"/>
              <w:rPr>
                <w:rFonts w:ascii="Arial" w:cs="Arial" w:eastAsia="Arial" w:hAnsi="Arial"/>
                <w:sz w:val="18"/>
                <w:szCs w:val="18"/>
                <w:color w:val="0000FF"/>
              </w:rPr>
            </w:pPr>
            <w:hyperlink w:anchor="page42">
              <w:r>
                <w:rPr>
                  <w:rFonts w:ascii="Arial" w:cs="Arial" w:eastAsia="Arial" w:hAnsi="Arial"/>
                  <w:sz w:val="18"/>
                  <w:szCs w:val="18"/>
                  <w:color w:val="0000FF"/>
                </w:rPr>
                <w:t>39</w:t>
              </w:r>
            </w:hyperlink>
          </w:p>
        </w:tc>
      </w:tr>
      <w:tr>
        <w:trPr>
          <w:trHeight w:val="499"/>
        </w:trPr>
        <w:tc>
          <w:tcPr>
            <w:tcW w:w="1720" w:type="dxa"/>
            <w:vAlign w:val="bottom"/>
          </w:tcPr>
          <w:p>
            <w:pPr>
              <w:ind w:left="800"/>
              <w:spacing w:after="0"/>
              <w:rPr>
                <w:rFonts w:ascii="Arial" w:cs="Arial" w:eastAsia="Arial" w:hAnsi="Arial"/>
                <w:sz w:val="18"/>
                <w:szCs w:val="18"/>
                <w:u w:val="single" w:color="auto"/>
                <w:color w:val="0000FF"/>
              </w:rPr>
            </w:pPr>
            <w:hyperlink w:anchor="page42">
              <w:r>
                <w:rPr>
                  <w:rFonts w:ascii="Arial" w:cs="Arial" w:eastAsia="Arial" w:hAnsi="Arial"/>
                  <w:sz w:val="18"/>
                  <w:szCs w:val="18"/>
                  <w:u w:val="single" w:color="auto"/>
                  <w:color w:val="0000FF"/>
                </w:rPr>
                <w:t>Item 1A.</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42">
              <w:r>
                <w:rPr>
                  <w:rFonts w:ascii="Arial" w:cs="Arial" w:eastAsia="Arial" w:hAnsi="Arial"/>
                  <w:sz w:val="18"/>
                  <w:szCs w:val="18"/>
                  <w:u w:val="single" w:color="auto"/>
                  <w:color w:val="0000FF"/>
                </w:rPr>
                <w:t>Risk Factors</w:t>
              </w:r>
            </w:hyperlink>
          </w:p>
        </w:tc>
        <w:tc>
          <w:tcPr>
            <w:tcW w:w="360" w:type="dxa"/>
            <w:vAlign w:val="bottom"/>
          </w:tcPr>
          <w:p>
            <w:pPr>
              <w:jc w:val="right"/>
              <w:spacing w:after="0"/>
              <w:rPr>
                <w:rFonts w:ascii="Arial" w:cs="Arial" w:eastAsia="Arial" w:hAnsi="Arial"/>
                <w:sz w:val="18"/>
                <w:szCs w:val="18"/>
                <w:color w:val="0000FF"/>
              </w:rPr>
            </w:pPr>
            <w:hyperlink w:anchor="page42">
              <w:r>
                <w:rPr>
                  <w:rFonts w:ascii="Arial" w:cs="Arial" w:eastAsia="Arial" w:hAnsi="Arial"/>
                  <w:sz w:val="18"/>
                  <w:szCs w:val="18"/>
                  <w:color w:val="0000FF"/>
                </w:rPr>
                <w:t>39</w:t>
              </w:r>
            </w:hyperlink>
          </w:p>
        </w:tc>
      </w:tr>
      <w:tr>
        <w:trPr>
          <w:trHeight w:val="500"/>
        </w:trPr>
        <w:tc>
          <w:tcPr>
            <w:tcW w:w="1720" w:type="dxa"/>
            <w:vAlign w:val="bottom"/>
          </w:tcPr>
          <w:p>
            <w:pPr>
              <w:ind w:left="800"/>
              <w:spacing w:after="0"/>
              <w:rPr>
                <w:rFonts w:ascii="Arial" w:cs="Arial" w:eastAsia="Arial" w:hAnsi="Arial"/>
                <w:sz w:val="18"/>
                <w:szCs w:val="18"/>
                <w:u w:val="single" w:color="auto"/>
                <w:color w:val="0000FF"/>
              </w:rPr>
            </w:pPr>
            <w:hyperlink w:anchor="page44">
              <w:r>
                <w:rPr>
                  <w:rFonts w:ascii="Arial" w:cs="Arial" w:eastAsia="Arial" w:hAnsi="Arial"/>
                  <w:sz w:val="18"/>
                  <w:szCs w:val="18"/>
                  <w:u w:val="single" w:color="auto"/>
                  <w:color w:val="0000FF"/>
                </w:rPr>
                <w:t>Item 2.</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44">
              <w:r>
                <w:rPr>
                  <w:rFonts w:ascii="Arial" w:cs="Arial" w:eastAsia="Arial" w:hAnsi="Arial"/>
                  <w:sz w:val="18"/>
                  <w:szCs w:val="18"/>
                  <w:u w:val="single" w:color="auto"/>
                  <w:color w:val="0000FF"/>
                </w:rPr>
                <w:t>Unregistered Sales of Equity Securities and Use of Proceeds</w:t>
              </w:r>
            </w:hyperlink>
          </w:p>
        </w:tc>
        <w:tc>
          <w:tcPr>
            <w:tcW w:w="360" w:type="dxa"/>
            <w:vAlign w:val="bottom"/>
          </w:tcPr>
          <w:p>
            <w:pPr>
              <w:jc w:val="right"/>
              <w:spacing w:after="0"/>
              <w:rPr>
                <w:rFonts w:ascii="Arial" w:cs="Arial" w:eastAsia="Arial" w:hAnsi="Arial"/>
                <w:sz w:val="18"/>
                <w:szCs w:val="18"/>
                <w:color w:val="0000FF"/>
              </w:rPr>
            </w:pPr>
            <w:hyperlink w:anchor="page44">
              <w:r>
                <w:rPr>
                  <w:rFonts w:ascii="Arial" w:cs="Arial" w:eastAsia="Arial" w:hAnsi="Arial"/>
                  <w:sz w:val="18"/>
                  <w:szCs w:val="18"/>
                  <w:color w:val="0000FF"/>
                </w:rPr>
                <w:t>42</w:t>
              </w:r>
            </w:hyperlink>
          </w:p>
        </w:tc>
      </w:tr>
      <w:tr>
        <w:trPr>
          <w:trHeight w:val="499"/>
        </w:trPr>
        <w:tc>
          <w:tcPr>
            <w:tcW w:w="1720" w:type="dxa"/>
            <w:vAlign w:val="bottom"/>
          </w:tcPr>
          <w:p>
            <w:pPr>
              <w:ind w:left="800"/>
              <w:spacing w:after="0"/>
              <w:rPr>
                <w:rFonts w:ascii="Arial" w:cs="Arial" w:eastAsia="Arial" w:hAnsi="Arial"/>
                <w:sz w:val="18"/>
                <w:szCs w:val="18"/>
                <w:u w:val="single" w:color="auto"/>
                <w:color w:val="0000FF"/>
              </w:rPr>
            </w:pPr>
            <w:hyperlink w:anchor="page45">
              <w:r>
                <w:rPr>
                  <w:rFonts w:ascii="Arial" w:cs="Arial" w:eastAsia="Arial" w:hAnsi="Arial"/>
                  <w:sz w:val="18"/>
                  <w:szCs w:val="18"/>
                  <w:u w:val="single" w:color="auto"/>
                  <w:color w:val="0000FF"/>
                </w:rPr>
                <w:t>Item 6.</w:t>
              </w:r>
            </w:hyperlink>
          </w:p>
        </w:tc>
        <w:tc>
          <w:tcPr>
            <w:tcW w:w="9160" w:type="dxa"/>
            <w:vAlign w:val="bottom"/>
            <w:gridSpan w:val="2"/>
          </w:tcPr>
          <w:p>
            <w:pPr>
              <w:spacing w:after="0"/>
              <w:rPr>
                <w:rFonts w:ascii="Arial" w:cs="Arial" w:eastAsia="Arial" w:hAnsi="Arial"/>
                <w:sz w:val="18"/>
                <w:szCs w:val="18"/>
                <w:u w:val="single" w:color="auto"/>
                <w:color w:val="0000FF"/>
              </w:rPr>
            </w:pPr>
            <w:hyperlink w:anchor="page45">
              <w:r>
                <w:rPr>
                  <w:rFonts w:ascii="Arial" w:cs="Arial" w:eastAsia="Arial" w:hAnsi="Arial"/>
                  <w:sz w:val="18"/>
                  <w:szCs w:val="18"/>
                  <w:u w:val="single" w:color="auto"/>
                  <w:color w:val="0000FF"/>
                </w:rPr>
                <w:t>Exhibits</w:t>
              </w:r>
            </w:hyperlink>
          </w:p>
        </w:tc>
        <w:tc>
          <w:tcPr>
            <w:tcW w:w="360" w:type="dxa"/>
            <w:vAlign w:val="bottom"/>
          </w:tcPr>
          <w:p>
            <w:pPr>
              <w:jc w:val="right"/>
              <w:spacing w:after="0"/>
              <w:rPr>
                <w:rFonts w:ascii="Arial" w:cs="Arial" w:eastAsia="Arial" w:hAnsi="Arial"/>
                <w:sz w:val="18"/>
                <w:szCs w:val="18"/>
                <w:color w:val="0000FF"/>
              </w:rPr>
            </w:pPr>
            <w:hyperlink w:anchor="page45">
              <w:r>
                <w:rPr>
                  <w:rFonts w:ascii="Arial" w:cs="Arial" w:eastAsia="Arial" w:hAnsi="Arial"/>
                  <w:sz w:val="18"/>
                  <w:szCs w:val="18"/>
                  <w:color w:val="0000FF"/>
                </w:rPr>
                <w:t>43</w:t>
              </w:r>
            </w:hyperlink>
          </w:p>
        </w:tc>
      </w:tr>
      <w:tr>
        <w:trPr>
          <w:trHeight w:val="500"/>
        </w:trPr>
        <w:tc>
          <w:tcPr>
            <w:tcW w:w="1720" w:type="dxa"/>
            <w:vAlign w:val="bottom"/>
          </w:tcPr>
          <w:p>
            <w:pPr>
              <w:ind w:left="20"/>
              <w:spacing w:after="0"/>
              <w:rPr>
                <w:rFonts w:ascii="Arial" w:cs="Arial" w:eastAsia="Arial" w:hAnsi="Arial"/>
                <w:sz w:val="18"/>
                <w:szCs w:val="18"/>
                <w:u w:val="single" w:color="auto"/>
                <w:color w:val="0000FF"/>
              </w:rPr>
            </w:pPr>
            <w:hyperlink w:anchor="page46">
              <w:r>
                <w:rPr>
                  <w:rFonts w:ascii="Arial" w:cs="Arial" w:eastAsia="Arial" w:hAnsi="Arial"/>
                  <w:sz w:val="18"/>
                  <w:szCs w:val="18"/>
                  <w:u w:val="single" w:color="auto"/>
                  <w:color w:val="0000FF"/>
                </w:rPr>
                <w:t>Signatures</w:t>
              </w:r>
            </w:hyperlink>
          </w:p>
        </w:tc>
        <w:tc>
          <w:tcPr>
            <w:tcW w:w="534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360" w:type="dxa"/>
            <w:vAlign w:val="bottom"/>
          </w:tcPr>
          <w:p>
            <w:pPr>
              <w:jc w:val="right"/>
              <w:spacing w:after="0"/>
              <w:rPr>
                <w:rFonts w:ascii="Arial" w:cs="Arial" w:eastAsia="Arial" w:hAnsi="Arial"/>
                <w:sz w:val="18"/>
                <w:szCs w:val="18"/>
                <w:color w:val="0000FF"/>
              </w:rPr>
            </w:pPr>
            <w:hyperlink w:anchor="page46">
              <w:r>
                <w:rPr>
                  <w:rFonts w:ascii="Arial" w:cs="Arial" w:eastAsia="Arial" w:hAnsi="Arial"/>
                  <w:sz w:val="18"/>
                  <w:szCs w:val="18"/>
                  <w:color w:val="0000FF"/>
                </w:rPr>
                <w:t>44</w:t>
              </w:r>
            </w:hyperlink>
          </w:p>
        </w:tc>
      </w:tr>
      <w:tr>
        <w:trPr>
          <w:trHeight w:val="992"/>
        </w:trPr>
        <w:tc>
          <w:tcPr>
            <w:tcW w:w="1720" w:type="dxa"/>
            <w:vAlign w:val="bottom"/>
            <w:tcBorders>
              <w:bottom w:val="single" w:sz="8" w:color="9A9A9A"/>
            </w:tcBorders>
          </w:tcPr>
          <w:p>
            <w:pPr>
              <w:spacing w:after="0"/>
              <w:rPr>
                <w:sz w:val="24"/>
                <w:szCs w:val="24"/>
                <w:color w:val="auto"/>
              </w:rPr>
            </w:pPr>
          </w:p>
        </w:tc>
        <w:tc>
          <w:tcPr>
            <w:tcW w:w="5340" w:type="dxa"/>
            <w:vAlign w:val="bottom"/>
            <w:tcBorders>
              <w:bottom w:val="single" w:sz="8" w:color="9A9A9A"/>
            </w:tcBorders>
          </w:tcPr>
          <w:p>
            <w:pPr>
              <w:spacing w:after="0"/>
              <w:rPr>
                <w:sz w:val="24"/>
                <w:szCs w:val="24"/>
                <w:color w:val="auto"/>
              </w:rPr>
            </w:pPr>
          </w:p>
        </w:tc>
        <w:tc>
          <w:tcPr>
            <w:tcW w:w="382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 except per share data)</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w w:val="85"/>
              </w:rPr>
              <w:t>As of</w:t>
            </w:r>
          </w:p>
        </w:tc>
        <w:tc>
          <w:tcPr>
            <w:tcW w:w="1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8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20" w:type="dxa"/>
            <w:vAlign w:val="bottom"/>
          </w:tcPr>
          <w:p>
            <w:pPr>
              <w:jc w:val="right"/>
              <w:ind w:right="328"/>
              <w:spacing w:after="0"/>
              <w:rPr>
                <w:sz w:val="20"/>
                <w:szCs w:val="20"/>
                <w:color w:val="auto"/>
              </w:rPr>
            </w:pPr>
            <w:r>
              <w:rPr>
                <w:rFonts w:ascii="Arial" w:cs="Arial" w:eastAsia="Arial" w:hAnsi="Arial"/>
                <w:sz w:val="14"/>
                <w:szCs w:val="14"/>
                <w:b w:val="1"/>
                <w:bCs w:val="1"/>
                <w:color w:val="auto"/>
              </w:rPr>
              <w:t>June 30,</w:t>
            </w:r>
          </w:p>
        </w:tc>
        <w:tc>
          <w:tcPr>
            <w:tcW w:w="420" w:type="dxa"/>
            <w:vAlign w:val="bottom"/>
          </w:tcPr>
          <w:p>
            <w:pPr>
              <w:spacing w:after="0"/>
              <w:rPr>
                <w:sz w:val="16"/>
                <w:szCs w:val="16"/>
                <w:color w:val="auto"/>
              </w:rPr>
            </w:pPr>
          </w:p>
        </w:tc>
        <w:tc>
          <w:tcPr>
            <w:tcW w:w="1300" w:type="dxa"/>
            <w:vAlign w:val="bottom"/>
          </w:tcPr>
          <w:p>
            <w:pPr>
              <w:jc w:val="right"/>
              <w:ind w:right="268"/>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209"/>
        </w:trPr>
        <w:tc>
          <w:tcPr>
            <w:tcW w:w="81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2020</w:t>
            </w:r>
          </w:p>
        </w:tc>
        <w:tc>
          <w:tcPr>
            <w:tcW w:w="4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69"/>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30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8100" w:type="dxa"/>
            <w:vAlign w:val="bottom"/>
          </w:tcPr>
          <w:p>
            <w:pPr>
              <w:ind w:left="20"/>
              <w:spacing w:after="0"/>
              <w:rPr>
                <w:sz w:val="20"/>
                <w:szCs w:val="20"/>
                <w:color w:val="auto"/>
              </w:rPr>
            </w:pPr>
            <w:r>
              <w:rPr>
                <w:rFonts w:ascii="Arial" w:cs="Arial" w:eastAsia="Arial" w:hAnsi="Arial"/>
                <w:sz w:val="14"/>
                <w:szCs w:val="14"/>
                <w:color w:val="auto"/>
              </w:rPr>
              <w:t>Current assets:</w:t>
            </w:r>
          </w:p>
        </w:tc>
        <w:tc>
          <w:tcPr>
            <w:tcW w:w="3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8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Cash and cash equivalents</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645.7</w:t>
            </w:r>
          </w:p>
        </w:tc>
        <w:tc>
          <w:tcPr>
            <w:tcW w:w="4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186.1</w:t>
            </w:r>
          </w:p>
        </w:tc>
        <w:tc>
          <w:tcPr>
            <w:tcW w:w="0" w:type="dxa"/>
            <w:vAlign w:val="bottom"/>
          </w:tcPr>
          <w:p>
            <w:pPr>
              <w:spacing w:after="0"/>
              <w:rPr>
                <w:sz w:val="1"/>
                <w:szCs w:val="1"/>
                <w:color w:val="auto"/>
              </w:rPr>
            </w:pPr>
          </w:p>
        </w:tc>
      </w:tr>
      <w:tr>
        <w:trPr>
          <w:trHeight w:val="196"/>
        </w:trPr>
        <w:tc>
          <w:tcPr>
            <w:tcW w:w="8100" w:type="dxa"/>
            <w:vAlign w:val="bottom"/>
          </w:tcPr>
          <w:p>
            <w:pPr>
              <w:ind w:left="120"/>
              <w:spacing w:after="0"/>
              <w:rPr>
                <w:sz w:val="20"/>
                <w:szCs w:val="20"/>
                <w:color w:val="auto"/>
              </w:rPr>
            </w:pPr>
            <w:r>
              <w:rPr>
                <w:rFonts w:ascii="Arial" w:cs="Arial" w:eastAsia="Arial" w:hAnsi="Arial"/>
                <w:sz w:val="14"/>
                <w:szCs w:val="14"/>
                <w:color w:val="auto"/>
              </w:rPr>
              <w:t>Accounts receivable, net</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1,415.9</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2,891.9</w:t>
            </w:r>
          </w:p>
        </w:tc>
        <w:tc>
          <w:tcPr>
            <w:tcW w:w="0" w:type="dxa"/>
            <w:vAlign w:val="bottom"/>
          </w:tcPr>
          <w:p>
            <w:pPr>
              <w:spacing w:after="0"/>
              <w:rPr>
                <w:sz w:val="1"/>
                <w:szCs w:val="1"/>
                <w:color w:val="auto"/>
              </w:rPr>
            </w:pPr>
          </w:p>
        </w:tc>
      </w:tr>
      <w:tr>
        <w:trPr>
          <w:trHeight w:val="209"/>
        </w:trPr>
        <w:tc>
          <w:tcPr>
            <w:tcW w:w="8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Inventories</w:t>
            </w:r>
          </w:p>
        </w:tc>
        <w:tc>
          <w:tcPr>
            <w:tcW w:w="3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308.8</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593.3</w:t>
            </w:r>
          </w:p>
        </w:tc>
        <w:tc>
          <w:tcPr>
            <w:tcW w:w="0" w:type="dxa"/>
            <w:vAlign w:val="bottom"/>
          </w:tcPr>
          <w:p>
            <w:pPr>
              <w:spacing w:after="0"/>
              <w:rPr>
                <w:sz w:val="1"/>
                <w:szCs w:val="1"/>
                <w:color w:val="auto"/>
              </w:rPr>
            </w:pPr>
          </w:p>
        </w:tc>
      </w:tr>
      <w:tr>
        <w:trPr>
          <w:trHeight w:val="196"/>
        </w:trPr>
        <w:tc>
          <w:tcPr>
            <w:tcW w:w="8100" w:type="dxa"/>
            <w:vAlign w:val="bottom"/>
          </w:tcPr>
          <w:p>
            <w:pPr>
              <w:ind w:left="120"/>
              <w:spacing w:after="0"/>
              <w:rPr>
                <w:sz w:val="20"/>
                <w:szCs w:val="20"/>
                <w:color w:val="auto"/>
              </w:rPr>
            </w:pPr>
            <w:r>
              <w:rPr>
                <w:rFonts w:ascii="Arial" w:cs="Arial" w:eastAsia="Arial" w:hAnsi="Arial"/>
                <w:sz w:val="14"/>
                <w:szCs w:val="14"/>
                <w:color w:val="auto"/>
              </w:rPr>
              <w:t>Prepaid expenses</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72.7</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80.6</w:t>
            </w:r>
          </w:p>
        </w:tc>
        <w:tc>
          <w:tcPr>
            <w:tcW w:w="0" w:type="dxa"/>
            <w:vAlign w:val="bottom"/>
          </w:tcPr>
          <w:p>
            <w:pPr>
              <w:spacing w:after="0"/>
              <w:rPr>
                <w:sz w:val="1"/>
                <w:szCs w:val="1"/>
                <w:color w:val="auto"/>
              </w:rPr>
            </w:pPr>
          </w:p>
        </w:tc>
      </w:tr>
      <w:tr>
        <w:trPr>
          <w:trHeight w:val="209"/>
        </w:trPr>
        <w:tc>
          <w:tcPr>
            <w:tcW w:w="8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Short-term derivative assets, net</w:t>
            </w:r>
          </w:p>
        </w:tc>
        <w:tc>
          <w:tcPr>
            <w:tcW w:w="3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146.5</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59.5</w:t>
            </w:r>
          </w:p>
        </w:tc>
        <w:tc>
          <w:tcPr>
            <w:tcW w:w="0" w:type="dxa"/>
            <w:vAlign w:val="bottom"/>
          </w:tcPr>
          <w:p>
            <w:pPr>
              <w:spacing w:after="0"/>
              <w:rPr>
                <w:sz w:val="1"/>
                <w:szCs w:val="1"/>
                <w:color w:val="auto"/>
              </w:rPr>
            </w:pPr>
          </w:p>
        </w:tc>
      </w:tr>
      <w:tr>
        <w:trPr>
          <w:trHeight w:val="196"/>
        </w:trPr>
        <w:tc>
          <w:tcPr>
            <w:tcW w:w="810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Other current assets</w:t>
            </w:r>
          </w:p>
        </w:tc>
        <w:tc>
          <w:tcPr>
            <w:tcW w:w="3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341.8</w:t>
            </w:r>
          </w:p>
        </w:tc>
        <w:tc>
          <w:tcPr>
            <w:tcW w:w="4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358.8</w:t>
            </w:r>
          </w:p>
        </w:tc>
        <w:tc>
          <w:tcPr>
            <w:tcW w:w="0" w:type="dxa"/>
            <w:vAlign w:val="bottom"/>
          </w:tcPr>
          <w:p>
            <w:pPr>
              <w:spacing w:after="0"/>
              <w:rPr>
                <w:sz w:val="1"/>
                <w:szCs w:val="1"/>
                <w:color w:val="auto"/>
              </w:rPr>
            </w:pPr>
          </w:p>
        </w:tc>
      </w:tr>
      <w:tr>
        <w:trPr>
          <w:trHeight w:val="202"/>
        </w:trPr>
        <w:tc>
          <w:tcPr>
            <w:tcW w:w="8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Total current assets</w:t>
            </w:r>
          </w:p>
        </w:tc>
        <w:tc>
          <w:tcPr>
            <w:tcW w:w="30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2,931.4</w:t>
            </w:r>
          </w:p>
        </w:tc>
        <w:tc>
          <w:tcPr>
            <w:tcW w:w="420" w:type="dxa"/>
            <w:vAlign w:val="bottom"/>
            <w:shd w:val="clear" w:color="auto" w:fill="CCEEFF"/>
          </w:tcPr>
          <w:p>
            <w:pPr>
              <w:spacing w:after="0"/>
              <w:rPr>
                <w:sz w:val="17"/>
                <w:szCs w:val="17"/>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4,170.1</w:t>
            </w:r>
          </w:p>
        </w:tc>
        <w:tc>
          <w:tcPr>
            <w:tcW w:w="0" w:type="dxa"/>
            <w:vAlign w:val="bottom"/>
          </w:tcPr>
          <w:p>
            <w:pPr>
              <w:spacing w:after="0"/>
              <w:rPr>
                <w:sz w:val="1"/>
                <w:szCs w:val="1"/>
                <w:color w:val="auto"/>
              </w:rPr>
            </w:pPr>
          </w:p>
        </w:tc>
      </w:tr>
      <w:tr>
        <w:trPr>
          <w:trHeight w:val="197"/>
        </w:trPr>
        <w:tc>
          <w:tcPr>
            <w:tcW w:w="8100" w:type="dxa"/>
            <w:vAlign w:val="bottom"/>
          </w:tcPr>
          <w:p>
            <w:pPr>
              <w:ind w:left="20"/>
              <w:spacing w:after="0"/>
              <w:rPr>
                <w:sz w:val="20"/>
                <w:szCs w:val="20"/>
                <w:color w:val="auto"/>
              </w:rPr>
            </w:pPr>
            <w:r>
              <w:rPr>
                <w:rFonts w:ascii="Arial" w:cs="Arial" w:eastAsia="Arial" w:hAnsi="Arial"/>
                <w:sz w:val="14"/>
                <w:szCs w:val="14"/>
                <w:color w:val="auto"/>
              </w:rPr>
              <w:t>Property and equipment, net</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368.4</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360.9</w:t>
            </w:r>
          </w:p>
        </w:tc>
        <w:tc>
          <w:tcPr>
            <w:tcW w:w="0" w:type="dxa"/>
            <w:vAlign w:val="bottom"/>
          </w:tcPr>
          <w:p>
            <w:pPr>
              <w:spacing w:after="0"/>
              <w:rPr>
                <w:sz w:val="1"/>
                <w:szCs w:val="1"/>
                <w:color w:val="auto"/>
              </w:rPr>
            </w:pPr>
          </w:p>
        </w:tc>
      </w:tr>
      <w:tr>
        <w:trPr>
          <w:trHeight w:val="208"/>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Goodwill</w:t>
            </w:r>
          </w:p>
        </w:tc>
        <w:tc>
          <w:tcPr>
            <w:tcW w:w="3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913.5</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843.7</w:t>
            </w:r>
          </w:p>
        </w:tc>
        <w:tc>
          <w:tcPr>
            <w:tcW w:w="0" w:type="dxa"/>
            <w:vAlign w:val="bottom"/>
          </w:tcPr>
          <w:p>
            <w:pPr>
              <w:spacing w:after="0"/>
              <w:rPr>
                <w:sz w:val="1"/>
                <w:szCs w:val="1"/>
                <w:color w:val="auto"/>
              </w:rPr>
            </w:pPr>
          </w:p>
        </w:tc>
      </w:tr>
      <w:tr>
        <w:trPr>
          <w:trHeight w:val="197"/>
        </w:trPr>
        <w:tc>
          <w:tcPr>
            <w:tcW w:w="81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Identifiable intangible and other non-current assets</w:t>
            </w:r>
          </w:p>
        </w:tc>
        <w:tc>
          <w:tcPr>
            <w:tcW w:w="3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667.6</w:t>
            </w:r>
          </w:p>
        </w:tc>
        <w:tc>
          <w:tcPr>
            <w:tcW w:w="4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617.7</w:t>
            </w:r>
          </w:p>
        </w:tc>
        <w:tc>
          <w:tcPr>
            <w:tcW w:w="0" w:type="dxa"/>
            <w:vAlign w:val="bottom"/>
          </w:tcPr>
          <w:p>
            <w:pPr>
              <w:spacing w:after="0"/>
              <w:rPr>
                <w:sz w:val="1"/>
                <w:szCs w:val="1"/>
                <w:color w:val="auto"/>
              </w:rPr>
            </w:pPr>
          </w:p>
        </w:tc>
      </w:tr>
      <w:tr>
        <w:trPr>
          <w:trHeight w:val="221"/>
        </w:trPr>
        <w:tc>
          <w:tcPr>
            <w:tcW w:w="81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assets</w:t>
            </w: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4,881.0</w:t>
            </w:r>
          </w:p>
        </w:tc>
        <w:tc>
          <w:tcPr>
            <w:tcW w:w="4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5,992.4</w:t>
            </w:r>
          </w:p>
        </w:tc>
        <w:tc>
          <w:tcPr>
            <w:tcW w:w="0" w:type="dxa"/>
            <w:vAlign w:val="bottom"/>
          </w:tcPr>
          <w:p>
            <w:pPr>
              <w:spacing w:after="0"/>
              <w:rPr>
                <w:sz w:val="1"/>
                <w:szCs w:val="1"/>
                <w:color w:val="auto"/>
              </w:rPr>
            </w:pPr>
          </w:p>
        </w:tc>
      </w:tr>
      <w:tr>
        <w:trPr>
          <w:trHeight w:val="20"/>
        </w:trPr>
        <w:tc>
          <w:tcPr>
            <w:tcW w:w="81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4"/>
        </w:trPr>
        <w:tc>
          <w:tcPr>
            <w:tcW w:w="8100" w:type="dxa"/>
            <w:vAlign w:val="bottom"/>
          </w:tcPr>
          <w:p>
            <w:pPr>
              <w:ind w:left="20"/>
              <w:spacing w:after="0"/>
              <w:rPr>
                <w:sz w:val="20"/>
                <w:szCs w:val="20"/>
                <w:color w:val="auto"/>
              </w:rPr>
            </w:pPr>
            <w:r>
              <w:rPr>
                <w:rFonts w:ascii="Arial" w:cs="Arial" w:eastAsia="Arial" w:hAnsi="Arial"/>
                <w:sz w:val="14"/>
                <w:szCs w:val="14"/>
                <w:color w:val="auto"/>
              </w:rPr>
              <w:t>Liabilities:</w:t>
            </w:r>
          </w:p>
        </w:tc>
        <w:tc>
          <w:tcPr>
            <w:tcW w:w="3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Current liabilities:</w:t>
            </w:r>
          </w:p>
        </w:tc>
        <w:tc>
          <w:tcPr>
            <w:tcW w:w="3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8100" w:type="dxa"/>
            <w:vAlign w:val="bottom"/>
          </w:tcPr>
          <w:p>
            <w:pPr>
              <w:ind w:left="120"/>
              <w:spacing w:after="0"/>
              <w:rPr>
                <w:sz w:val="20"/>
                <w:szCs w:val="20"/>
                <w:color w:val="auto"/>
              </w:rPr>
            </w:pPr>
            <w:r>
              <w:rPr>
                <w:rFonts w:ascii="Arial" w:cs="Arial" w:eastAsia="Arial" w:hAnsi="Arial"/>
                <w:sz w:val="14"/>
                <w:szCs w:val="14"/>
                <w:color w:val="auto"/>
              </w:rPr>
              <w:t>Current maturities of long-term debt</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53.8</w:t>
            </w:r>
          </w:p>
        </w:tc>
        <w:tc>
          <w:tcPr>
            <w:tcW w:w="4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54.1</w:t>
            </w:r>
          </w:p>
        </w:tc>
        <w:tc>
          <w:tcPr>
            <w:tcW w:w="0" w:type="dxa"/>
            <w:vAlign w:val="bottom"/>
          </w:tcPr>
          <w:p>
            <w:pPr>
              <w:spacing w:after="0"/>
              <w:rPr>
                <w:sz w:val="1"/>
                <w:szCs w:val="1"/>
                <w:color w:val="auto"/>
              </w:rPr>
            </w:pPr>
          </w:p>
        </w:tc>
      </w:tr>
      <w:tr>
        <w:trPr>
          <w:trHeight w:val="208"/>
        </w:trPr>
        <w:tc>
          <w:tcPr>
            <w:tcW w:w="8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Accounts payable</w:t>
            </w:r>
          </w:p>
        </w:tc>
        <w:tc>
          <w:tcPr>
            <w:tcW w:w="3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1,090.4</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2,602.7</w:t>
            </w:r>
          </w:p>
        </w:tc>
        <w:tc>
          <w:tcPr>
            <w:tcW w:w="0" w:type="dxa"/>
            <w:vAlign w:val="bottom"/>
          </w:tcPr>
          <w:p>
            <w:pPr>
              <w:spacing w:after="0"/>
              <w:rPr>
                <w:sz w:val="1"/>
                <w:szCs w:val="1"/>
                <w:color w:val="auto"/>
              </w:rPr>
            </w:pPr>
          </w:p>
        </w:tc>
      </w:tr>
      <w:tr>
        <w:trPr>
          <w:trHeight w:val="197"/>
        </w:trPr>
        <w:tc>
          <w:tcPr>
            <w:tcW w:w="8100" w:type="dxa"/>
            <w:vAlign w:val="bottom"/>
          </w:tcPr>
          <w:p>
            <w:pPr>
              <w:ind w:left="120"/>
              <w:spacing w:after="0"/>
              <w:rPr>
                <w:sz w:val="20"/>
                <w:szCs w:val="20"/>
                <w:color w:val="auto"/>
              </w:rPr>
            </w:pPr>
            <w:r>
              <w:rPr>
                <w:rFonts w:ascii="Arial" w:cs="Arial" w:eastAsia="Arial" w:hAnsi="Arial"/>
                <w:sz w:val="14"/>
                <w:szCs w:val="14"/>
                <w:color w:val="auto"/>
              </w:rPr>
              <w:t>Customer deposits</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124.4</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126.7</w:t>
            </w:r>
          </w:p>
        </w:tc>
        <w:tc>
          <w:tcPr>
            <w:tcW w:w="0" w:type="dxa"/>
            <w:vAlign w:val="bottom"/>
          </w:tcPr>
          <w:p>
            <w:pPr>
              <w:spacing w:after="0"/>
              <w:rPr>
                <w:sz w:val="1"/>
                <w:szCs w:val="1"/>
                <w:color w:val="auto"/>
              </w:rPr>
            </w:pPr>
          </w:p>
        </w:tc>
      </w:tr>
      <w:tr>
        <w:trPr>
          <w:trHeight w:val="203"/>
        </w:trPr>
        <w:tc>
          <w:tcPr>
            <w:tcW w:w="810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Accrued expenses and other current liabilities</w:t>
            </w:r>
          </w:p>
        </w:tc>
        <w:tc>
          <w:tcPr>
            <w:tcW w:w="30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337.9</w:t>
            </w:r>
          </w:p>
        </w:tc>
        <w:tc>
          <w:tcPr>
            <w:tcW w:w="42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378.9</w:t>
            </w:r>
          </w:p>
        </w:tc>
        <w:tc>
          <w:tcPr>
            <w:tcW w:w="0" w:type="dxa"/>
            <w:vAlign w:val="bottom"/>
          </w:tcPr>
          <w:p>
            <w:pPr>
              <w:spacing w:after="0"/>
              <w:rPr>
                <w:sz w:val="1"/>
                <w:szCs w:val="1"/>
                <w:color w:val="auto"/>
              </w:rPr>
            </w:pPr>
          </w:p>
        </w:tc>
      </w:tr>
      <w:tr>
        <w:trPr>
          <w:trHeight w:val="196"/>
        </w:trPr>
        <w:tc>
          <w:tcPr>
            <w:tcW w:w="8100" w:type="dxa"/>
            <w:vAlign w:val="bottom"/>
          </w:tcPr>
          <w:p>
            <w:pPr>
              <w:ind w:left="220"/>
              <w:spacing w:after="0"/>
              <w:rPr>
                <w:sz w:val="20"/>
                <w:szCs w:val="20"/>
                <w:color w:val="auto"/>
              </w:rPr>
            </w:pPr>
            <w:r>
              <w:rPr>
                <w:rFonts w:ascii="Arial" w:cs="Arial" w:eastAsia="Arial" w:hAnsi="Arial"/>
                <w:sz w:val="14"/>
                <w:szCs w:val="14"/>
                <w:color w:val="auto"/>
              </w:rPr>
              <w:t>Total current liabilities</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1,606.6</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3,162.4</w:t>
            </w:r>
          </w:p>
        </w:tc>
        <w:tc>
          <w:tcPr>
            <w:tcW w:w="0" w:type="dxa"/>
            <w:vAlign w:val="bottom"/>
          </w:tcPr>
          <w:p>
            <w:pPr>
              <w:spacing w:after="0"/>
              <w:rPr>
                <w:sz w:val="1"/>
                <w:szCs w:val="1"/>
                <w:color w:val="auto"/>
              </w:rPr>
            </w:pPr>
          </w:p>
        </w:tc>
      </w:tr>
      <w:tr>
        <w:trPr>
          <w:trHeight w:val="208"/>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Long-term debt</w:t>
            </w:r>
          </w:p>
        </w:tc>
        <w:tc>
          <w:tcPr>
            <w:tcW w:w="3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1,043.3</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574.7</w:t>
            </w:r>
          </w:p>
        </w:tc>
        <w:tc>
          <w:tcPr>
            <w:tcW w:w="0" w:type="dxa"/>
            <w:vAlign w:val="bottom"/>
          </w:tcPr>
          <w:p>
            <w:pPr>
              <w:spacing w:after="0"/>
              <w:rPr>
                <w:sz w:val="1"/>
                <w:szCs w:val="1"/>
                <w:color w:val="auto"/>
              </w:rPr>
            </w:pPr>
          </w:p>
        </w:tc>
      </w:tr>
      <w:tr>
        <w:trPr>
          <w:trHeight w:val="197"/>
        </w:trPr>
        <w:tc>
          <w:tcPr>
            <w:tcW w:w="8100" w:type="dxa"/>
            <w:vAlign w:val="bottom"/>
          </w:tcPr>
          <w:p>
            <w:pPr>
              <w:ind w:left="20"/>
              <w:spacing w:after="0"/>
              <w:rPr>
                <w:sz w:val="20"/>
                <w:szCs w:val="20"/>
                <w:color w:val="auto"/>
              </w:rPr>
            </w:pPr>
            <w:r>
              <w:rPr>
                <w:rFonts w:ascii="Arial" w:cs="Arial" w:eastAsia="Arial" w:hAnsi="Arial"/>
                <w:sz w:val="14"/>
                <w:szCs w:val="14"/>
                <w:color w:val="auto"/>
              </w:rPr>
              <w:t>Non-current income tax liabilities, net</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211.2</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210.1</w:t>
            </w:r>
          </w:p>
        </w:tc>
        <w:tc>
          <w:tcPr>
            <w:tcW w:w="0" w:type="dxa"/>
            <w:vAlign w:val="bottom"/>
          </w:tcPr>
          <w:p>
            <w:pPr>
              <w:spacing w:after="0"/>
              <w:rPr>
                <w:sz w:val="1"/>
                <w:szCs w:val="1"/>
                <w:color w:val="auto"/>
              </w:rPr>
            </w:pPr>
          </w:p>
        </w:tc>
      </w:tr>
      <w:tr>
        <w:trPr>
          <w:trHeight w:val="203"/>
        </w:trPr>
        <w:tc>
          <w:tcPr>
            <w:tcW w:w="81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Other long-term liabilities</w:t>
            </w:r>
          </w:p>
        </w:tc>
        <w:tc>
          <w:tcPr>
            <w:tcW w:w="30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201.6</w:t>
            </w:r>
          </w:p>
        </w:tc>
        <w:tc>
          <w:tcPr>
            <w:tcW w:w="42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151.3</w:t>
            </w:r>
          </w:p>
        </w:tc>
        <w:tc>
          <w:tcPr>
            <w:tcW w:w="0" w:type="dxa"/>
            <w:vAlign w:val="bottom"/>
          </w:tcPr>
          <w:p>
            <w:pPr>
              <w:spacing w:after="0"/>
              <w:rPr>
                <w:sz w:val="1"/>
                <w:szCs w:val="1"/>
                <w:color w:val="auto"/>
              </w:rPr>
            </w:pPr>
          </w:p>
        </w:tc>
      </w:tr>
      <w:tr>
        <w:trPr>
          <w:trHeight w:val="196"/>
        </w:trPr>
        <w:tc>
          <w:tcPr>
            <w:tcW w:w="81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liabilities</w:t>
            </w:r>
          </w:p>
        </w:tc>
        <w:tc>
          <w:tcPr>
            <w:tcW w:w="3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3,062.7</w:t>
            </w:r>
          </w:p>
        </w:tc>
        <w:tc>
          <w:tcPr>
            <w:tcW w:w="4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4,098.5</w:t>
            </w:r>
          </w:p>
        </w:tc>
        <w:tc>
          <w:tcPr>
            <w:tcW w:w="0" w:type="dxa"/>
            <w:vAlign w:val="bottom"/>
          </w:tcPr>
          <w:p>
            <w:pPr>
              <w:spacing w:after="0"/>
              <w:rPr>
                <w:sz w:val="1"/>
                <w:szCs w:val="1"/>
                <w:color w:val="auto"/>
              </w:rPr>
            </w:pPr>
          </w:p>
        </w:tc>
      </w:tr>
      <w:tr>
        <w:trPr>
          <w:trHeight w:val="202"/>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Commitments and contingencies (Note 12)</w:t>
            </w:r>
          </w:p>
        </w:tc>
        <w:tc>
          <w:tcPr>
            <w:tcW w:w="3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8100" w:type="dxa"/>
            <w:vAlign w:val="bottom"/>
          </w:tcPr>
          <w:p>
            <w:pPr>
              <w:ind w:left="20"/>
              <w:spacing w:after="0"/>
              <w:rPr>
                <w:sz w:val="20"/>
                <w:szCs w:val="20"/>
                <w:color w:val="auto"/>
              </w:rPr>
            </w:pPr>
            <w:r>
              <w:rPr>
                <w:rFonts w:ascii="Arial" w:cs="Arial" w:eastAsia="Arial" w:hAnsi="Arial"/>
                <w:sz w:val="14"/>
                <w:szCs w:val="14"/>
                <w:color w:val="auto"/>
              </w:rPr>
              <w:t>Equity:</w:t>
            </w:r>
          </w:p>
        </w:tc>
        <w:tc>
          <w:tcPr>
            <w:tcW w:w="3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World Fuel shareholders' equity:</w:t>
            </w:r>
          </w:p>
        </w:tc>
        <w:tc>
          <w:tcPr>
            <w:tcW w:w="3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8100" w:type="dxa"/>
            <w:vAlign w:val="bottom"/>
          </w:tcPr>
          <w:p>
            <w:pPr>
              <w:ind w:left="140"/>
              <w:spacing w:after="0"/>
              <w:rPr>
                <w:sz w:val="20"/>
                <w:szCs w:val="20"/>
                <w:color w:val="auto"/>
              </w:rPr>
            </w:pPr>
            <w:r>
              <w:rPr>
                <w:rFonts w:ascii="Arial" w:cs="Arial" w:eastAsia="Arial" w:hAnsi="Arial"/>
                <w:sz w:val="14"/>
                <w:szCs w:val="14"/>
                <w:color w:val="auto"/>
              </w:rPr>
              <w:t>Preferred stock, $1.00 par value; 0.1 shares authorized, none issued</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1"/>
        </w:trPr>
        <w:tc>
          <w:tcPr>
            <w:tcW w:w="8100" w:type="dxa"/>
            <w:vAlign w:val="bottom"/>
            <w:shd w:val="clear" w:color="auto" w:fill="CCEEFF"/>
          </w:tcPr>
          <w:p>
            <w:pPr>
              <w:ind w:left="140"/>
              <w:spacing w:after="0" w:line="141" w:lineRule="exact"/>
              <w:rPr>
                <w:sz w:val="20"/>
                <w:szCs w:val="20"/>
                <w:color w:val="auto"/>
              </w:rPr>
            </w:pPr>
            <w:r>
              <w:rPr>
                <w:rFonts w:ascii="Arial" w:cs="Arial" w:eastAsia="Arial" w:hAnsi="Arial"/>
                <w:sz w:val="14"/>
                <w:szCs w:val="14"/>
                <w:color w:val="auto"/>
                <w:w w:val="94"/>
              </w:rPr>
              <w:t>Common stock, $0.01 par value; 100.0 shares authorized, 63.3 and 65.2 issued and outstanding as of June 30, 2020 and December 31,</w:t>
            </w:r>
          </w:p>
        </w:tc>
        <w:tc>
          <w:tcPr>
            <w:tcW w:w="300" w:type="dxa"/>
            <w:vAlign w:val="bottom"/>
            <w:shd w:val="clear" w:color="auto" w:fill="CCEEFF"/>
          </w:tcPr>
          <w:p>
            <w:pPr>
              <w:spacing w:after="0"/>
              <w:rPr>
                <w:sz w:val="12"/>
                <w:szCs w:val="12"/>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420" w:type="dxa"/>
            <w:vAlign w:val="bottom"/>
            <w:shd w:val="clear" w:color="auto" w:fill="CCEEFF"/>
          </w:tcPr>
          <w:p>
            <w:pPr>
              <w:spacing w:after="0"/>
              <w:rPr>
                <w:sz w:val="12"/>
                <w:szCs w:val="12"/>
                <w:color w:val="auto"/>
              </w:rPr>
            </w:pPr>
          </w:p>
        </w:tc>
        <w:tc>
          <w:tcPr>
            <w:tcW w:w="13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0.7</w:t>
            </w:r>
          </w:p>
        </w:tc>
        <w:tc>
          <w:tcPr>
            <w:tcW w:w="0" w:type="dxa"/>
            <w:vAlign w:val="bottom"/>
          </w:tcPr>
          <w:p>
            <w:pPr>
              <w:spacing w:after="0"/>
              <w:rPr>
                <w:sz w:val="1"/>
                <w:szCs w:val="1"/>
                <w:color w:val="auto"/>
              </w:rPr>
            </w:pPr>
          </w:p>
        </w:tc>
      </w:tr>
      <w:tr>
        <w:trPr>
          <w:trHeight w:val="189"/>
        </w:trPr>
        <w:tc>
          <w:tcPr>
            <w:tcW w:w="81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2019, respectively</w:t>
            </w:r>
          </w:p>
        </w:tc>
        <w:tc>
          <w:tcPr>
            <w:tcW w:w="300" w:type="dxa"/>
            <w:vAlign w:val="bottom"/>
            <w:shd w:val="clear" w:color="auto" w:fill="CCEEFF"/>
          </w:tcPr>
          <w:p>
            <w:pPr>
              <w:spacing w:after="0"/>
              <w:rPr>
                <w:sz w:val="16"/>
                <w:szCs w:val="16"/>
                <w:color w:val="auto"/>
              </w:rPr>
            </w:pPr>
          </w:p>
        </w:tc>
        <w:tc>
          <w:tcPr>
            <w:tcW w:w="1120" w:type="dxa"/>
            <w:vAlign w:val="bottom"/>
            <w:vMerge w:val="continue"/>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3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8100" w:type="dxa"/>
            <w:vAlign w:val="bottom"/>
          </w:tcPr>
          <w:p>
            <w:pPr>
              <w:ind w:left="120"/>
              <w:spacing w:after="0"/>
              <w:rPr>
                <w:sz w:val="20"/>
                <w:szCs w:val="20"/>
                <w:color w:val="auto"/>
              </w:rPr>
            </w:pPr>
            <w:r>
              <w:rPr>
                <w:rFonts w:ascii="Arial" w:cs="Arial" w:eastAsia="Arial" w:hAnsi="Arial"/>
                <w:sz w:val="14"/>
                <w:szCs w:val="14"/>
                <w:color w:val="auto"/>
              </w:rPr>
              <w:t>Capital in excess of par value</w:t>
            </w:r>
          </w:p>
        </w:tc>
        <w:tc>
          <w:tcPr>
            <w:tcW w:w="30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219.3</w:t>
            </w:r>
          </w:p>
        </w:tc>
        <w:tc>
          <w:tcPr>
            <w:tcW w:w="42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274.7</w:t>
            </w:r>
          </w:p>
        </w:tc>
        <w:tc>
          <w:tcPr>
            <w:tcW w:w="0" w:type="dxa"/>
            <w:vAlign w:val="bottom"/>
          </w:tcPr>
          <w:p>
            <w:pPr>
              <w:spacing w:after="0"/>
              <w:rPr>
                <w:sz w:val="1"/>
                <w:szCs w:val="1"/>
                <w:color w:val="auto"/>
              </w:rPr>
            </w:pPr>
          </w:p>
        </w:tc>
      </w:tr>
      <w:tr>
        <w:trPr>
          <w:trHeight w:val="208"/>
        </w:trPr>
        <w:tc>
          <w:tcPr>
            <w:tcW w:w="81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Retained earnings</w:t>
            </w:r>
          </w:p>
        </w:tc>
        <w:tc>
          <w:tcPr>
            <w:tcW w:w="3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1,768.6</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1,761.3</w:t>
            </w:r>
          </w:p>
        </w:tc>
        <w:tc>
          <w:tcPr>
            <w:tcW w:w="0" w:type="dxa"/>
            <w:vAlign w:val="bottom"/>
          </w:tcPr>
          <w:p>
            <w:pPr>
              <w:spacing w:after="0"/>
              <w:rPr>
                <w:sz w:val="1"/>
                <w:szCs w:val="1"/>
                <w:color w:val="auto"/>
              </w:rPr>
            </w:pPr>
          </w:p>
        </w:tc>
      </w:tr>
      <w:tr>
        <w:trPr>
          <w:trHeight w:val="197"/>
        </w:trPr>
        <w:tc>
          <w:tcPr>
            <w:tcW w:w="810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Accumulated other comprehensive loss</w:t>
            </w:r>
          </w:p>
        </w:tc>
        <w:tc>
          <w:tcPr>
            <w:tcW w:w="3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(173.5)</w:t>
            </w:r>
          </w:p>
        </w:tc>
        <w:tc>
          <w:tcPr>
            <w:tcW w:w="4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(146.3)</w:t>
            </w:r>
          </w:p>
        </w:tc>
        <w:tc>
          <w:tcPr>
            <w:tcW w:w="0" w:type="dxa"/>
            <w:vAlign w:val="bottom"/>
          </w:tcPr>
          <w:p>
            <w:pPr>
              <w:spacing w:after="0"/>
              <w:rPr>
                <w:sz w:val="1"/>
                <w:szCs w:val="1"/>
                <w:color w:val="auto"/>
              </w:rPr>
            </w:pPr>
          </w:p>
        </w:tc>
      </w:tr>
      <w:tr>
        <w:trPr>
          <w:trHeight w:val="202"/>
        </w:trPr>
        <w:tc>
          <w:tcPr>
            <w:tcW w:w="81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Total World Fuel shareholders' equity</w:t>
            </w:r>
          </w:p>
        </w:tc>
        <w:tc>
          <w:tcPr>
            <w:tcW w:w="30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1,815.0</w:t>
            </w:r>
          </w:p>
        </w:tc>
        <w:tc>
          <w:tcPr>
            <w:tcW w:w="420" w:type="dxa"/>
            <w:vAlign w:val="bottom"/>
            <w:shd w:val="clear" w:color="auto" w:fill="CCEEFF"/>
          </w:tcPr>
          <w:p>
            <w:pPr>
              <w:spacing w:after="0"/>
              <w:rPr>
                <w:sz w:val="17"/>
                <w:szCs w:val="17"/>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1,890.4</w:t>
            </w:r>
          </w:p>
        </w:tc>
        <w:tc>
          <w:tcPr>
            <w:tcW w:w="0" w:type="dxa"/>
            <w:vAlign w:val="bottom"/>
          </w:tcPr>
          <w:p>
            <w:pPr>
              <w:spacing w:after="0"/>
              <w:rPr>
                <w:sz w:val="1"/>
                <w:szCs w:val="1"/>
                <w:color w:val="auto"/>
              </w:rPr>
            </w:pPr>
          </w:p>
        </w:tc>
      </w:tr>
      <w:tr>
        <w:trPr>
          <w:trHeight w:val="197"/>
        </w:trPr>
        <w:tc>
          <w:tcPr>
            <w:tcW w:w="810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Noncontrolling interest</w:t>
            </w:r>
          </w:p>
        </w:tc>
        <w:tc>
          <w:tcPr>
            <w:tcW w:w="30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w:t>
            </w:r>
          </w:p>
        </w:tc>
        <w:tc>
          <w:tcPr>
            <w:tcW w:w="4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3.5</w:t>
            </w:r>
          </w:p>
        </w:tc>
        <w:tc>
          <w:tcPr>
            <w:tcW w:w="0" w:type="dxa"/>
            <w:vAlign w:val="bottom"/>
          </w:tcPr>
          <w:p>
            <w:pPr>
              <w:spacing w:after="0"/>
              <w:rPr>
                <w:sz w:val="1"/>
                <w:szCs w:val="1"/>
                <w:color w:val="auto"/>
              </w:rPr>
            </w:pPr>
          </w:p>
        </w:tc>
      </w:tr>
      <w:tr>
        <w:trPr>
          <w:trHeight w:val="196"/>
        </w:trPr>
        <w:tc>
          <w:tcPr>
            <w:tcW w:w="81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equity</w:t>
            </w:r>
          </w:p>
        </w:tc>
        <w:tc>
          <w:tcPr>
            <w:tcW w:w="30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1,818.3</w:t>
            </w:r>
          </w:p>
        </w:tc>
        <w:tc>
          <w:tcPr>
            <w:tcW w:w="42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1,893.9</w:t>
            </w:r>
          </w:p>
        </w:tc>
        <w:tc>
          <w:tcPr>
            <w:tcW w:w="0" w:type="dxa"/>
            <w:vAlign w:val="bottom"/>
          </w:tcPr>
          <w:p>
            <w:pPr>
              <w:spacing w:after="0"/>
              <w:rPr>
                <w:sz w:val="1"/>
                <w:szCs w:val="1"/>
                <w:color w:val="auto"/>
              </w:rPr>
            </w:pPr>
          </w:p>
        </w:tc>
      </w:tr>
      <w:tr>
        <w:trPr>
          <w:trHeight w:val="196"/>
        </w:trPr>
        <w:tc>
          <w:tcPr>
            <w:tcW w:w="81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liabilities and equity</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4,881.0</w:t>
            </w:r>
          </w:p>
        </w:tc>
        <w:tc>
          <w:tcPr>
            <w:tcW w:w="4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5,992.4</w:t>
            </w:r>
          </w:p>
        </w:tc>
        <w:tc>
          <w:tcPr>
            <w:tcW w:w="0" w:type="dxa"/>
            <w:vAlign w:val="bottom"/>
          </w:tcPr>
          <w:p>
            <w:pPr>
              <w:spacing w:after="0"/>
              <w:rPr>
                <w:sz w:val="1"/>
                <w:szCs w:val="1"/>
                <w:color w:val="auto"/>
              </w:rPr>
            </w:pPr>
          </w:p>
        </w:tc>
      </w:tr>
      <w:tr>
        <w:trPr>
          <w:trHeight w:val="27"/>
        </w:trPr>
        <w:tc>
          <w:tcPr>
            <w:tcW w:w="8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Income and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 except per share data)</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57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420" w:type="dxa"/>
            <w:vAlign w:val="bottom"/>
            <w:gridSpan w:val="3"/>
          </w:tcPr>
          <w:p>
            <w:pPr>
              <w:jc w:val="right"/>
              <w:ind w:right="448"/>
              <w:spacing w:after="0"/>
              <w:rPr>
                <w:sz w:val="20"/>
                <w:szCs w:val="20"/>
                <w:color w:val="auto"/>
              </w:rPr>
            </w:pPr>
            <w:r>
              <w:rPr>
                <w:rFonts w:ascii="Arial" w:cs="Arial" w:eastAsia="Arial" w:hAnsi="Arial"/>
                <w:sz w:val="14"/>
                <w:szCs w:val="14"/>
                <w:color w:val="auto"/>
              </w:rPr>
              <w:t>For the Three Months Ended</w:t>
            </w:r>
          </w:p>
        </w:tc>
        <w:tc>
          <w:tcPr>
            <w:tcW w:w="400" w:type="dxa"/>
            <w:vAlign w:val="bottom"/>
          </w:tcPr>
          <w:p>
            <w:pPr>
              <w:spacing w:after="0"/>
              <w:rPr>
                <w:sz w:val="15"/>
                <w:szCs w:val="15"/>
                <w:color w:val="auto"/>
              </w:rPr>
            </w:pPr>
          </w:p>
        </w:tc>
        <w:tc>
          <w:tcPr>
            <w:tcW w:w="2400" w:type="dxa"/>
            <w:vAlign w:val="bottom"/>
            <w:gridSpan w:val="3"/>
          </w:tcPr>
          <w:p>
            <w:pPr>
              <w:jc w:val="right"/>
              <w:ind w:right="528"/>
              <w:spacing w:after="0"/>
              <w:rPr>
                <w:sz w:val="20"/>
                <w:szCs w:val="20"/>
                <w:color w:val="auto"/>
              </w:rPr>
            </w:pPr>
            <w:r>
              <w:rPr>
                <w:rFonts w:ascii="Arial" w:cs="Arial" w:eastAsia="Arial" w:hAnsi="Arial"/>
                <w:sz w:val="14"/>
                <w:szCs w:val="14"/>
                <w:color w:val="auto"/>
              </w:rPr>
              <w:t>For the Six Months Ended</w:t>
            </w:r>
          </w:p>
        </w:tc>
        <w:tc>
          <w:tcPr>
            <w:tcW w:w="0" w:type="dxa"/>
            <w:vAlign w:val="bottom"/>
          </w:tcPr>
          <w:p>
            <w:pPr>
              <w:spacing w:after="0"/>
              <w:rPr>
                <w:sz w:val="1"/>
                <w:szCs w:val="1"/>
                <w:color w:val="auto"/>
              </w:rPr>
            </w:pPr>
          </w:p>
        </w:tc>
      </w:tr>
      <w:tr>
        <w:trPr>
          <w:trHeight w:val="208"/>
        </w:trPr>
        <w:tc>
          <w:tcPr>
            <w:tcW w:w="574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color w:val="auto"/>
              </w:rPr>
              <w:t>June 30,</w:t>
            </w:r>
          </w:p>
        </w:tc>
        <w:tc>
          <w:tcPr>
            <w:tcW w:w="96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color w:val="auto"/>
              </w:rPr>
              <w:t>June 30,</w:t>
            </w:r>
          </w:p>
        </w:tc>
        <w:tc>
          <w:tcPr>
            <w:tcW w:w="9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74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color w:val="auto"/>
              </w:rPr>
              <w:t>2020</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color w:val="auto"/>
              </w:rPr>
              <w:t>2019</w:t>
            </w:r>
          </w:p>
        </w:tc>
        <w:tc>
          <w:tcPr>
            <w:tcW w:w="4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color w:val="auto"/>
              </w:rPr>
              <w:t>2020</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color w:val="auto"/>
              </w:rPr>
              <w:t>2019</w:t>
            </w:r>
          </w:p>
        </w:tc>
        <w:tc>
          <w:tcPr>
            <w:tcW w:w="0" w:type="dxa"/>
            <w:vAlign w:val="bottom"/>
          </w:tcPr>
          <w:p>
            <w:pPr>
              <w:spacing w:after="0"/>
              <w:rPr>
                <w:sz w:val="1"/>
                <w:szCs w:val="1"/>
                <w:color w:val="auto"/>
              </w:rPr>
            </w:pPr>
          </w:p>
        </w:tc>
      </w:tr>
      <w:tr>
        <w:trPr>
          <w:trHeight w:val="202"/>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Revenue</w:t>
            </w:r>
          </w:p>
        </w:tc>
        <w:tc>
          <w:tcPr>
            <w:tcW w:w="2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3,158.3</w:t>
            </w:r>
          </w:p>
        </w:tc>
        <w:tc>
          <w:tcPr>
            <w:tcW w:w="44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9,459.4</w:t>
            </w:r>
          </w:p>
        </w:tc>
        <w:tc>
          <w:tcPr>
            <w:tcW w:w="40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11,173.5</w:t>
            </w:r>
          </w:p>
        </w:tc>
        <w:tc>
          <w:tcPr>
            <w:tcW w:w="4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18,138.2</w:t>
            </w:r>
          </w:p>
        </w:tc>
        <w:tc>
          <w:tcPr>
            <w:tcW w:w="0" w:type="dxa"/>
            <w:vAlign w:val="bottom"/>
          </w:tcPr>
          <w:p>
            <w:pPr>
              <w:spacing w:after="0"/>
              <w:rPr>
                <w:sz w:val="1"/>
                <w:szCs w:val="1"/>
                <w:color w:val="auto"/>
              </w:rPr>
            </w:pPr>
          </w:p>
        </w:tc>
      </w:tr>
      <w:tr>
        <w:trPr>
          <w:trHeight w:val="196"/>
        </w:trPr>
        <w:tc>
          <w:tcPr>
            <w:tcW w:w="57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Cost of revenue</w:t>
            </w: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2,944.5</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9,190.8</w:t>
            </w:r>
          </w:p>
        </w:tc>
        <w:tc>
          <w:tcPr>
            <w:tcW w:w="4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10,700.9</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17,618.5</w:t>
            </w:r>
          </w:p>
        </w:tc>
        <w:tc>
          <w:tcPr>
            <w:tcW w:w="0" w:type="dxa"/>
            <w:vAlign w:val="bottom"/>
          </w:tcPr>
          <w:p>
            <w:pPr>
              <w:spacing w:after="0"/>
              <w:rPr>
                <w:sz w:val="1"/>
                <w:szCs w:val="1"/>
                <w:color w:val="auto"/>
              </w:rPr>
            </w:pPr>
          </w:p>
        </w:tc>
      </w:tr>
      <w:tr>
        <w:trPr>
          <w:trHeight w:val="196"/>
        </w:trPr>
        <w:tc>
          <w:tcPr>
            <w:tcW w:w="574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Gross profit</w:t>
            </w: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213.9</w:t>
            </w:r>
          </w:p>
        </w:tc>
        <w:tc>
          <w:tcPr>
            <w:tcW w:w="4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268.6</w:t>
            </w:r>
          </w:p>
        </w:tc>
        <w:tc>
          <w:tcPr>
            <w:tcW w:w="40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472.6</w:t>
            </w:r>
          </w:p>
        </w:tc>
        <w:tc>
          <w:tcPr>
            <w:tcW w:w="4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519.7</w:t>
            </w:r>
          </w:p>
        </w:tc>
        <w:tc>
          <w:tcPr>
            <w:tcW w:w="0" w:type="dxa"/>
            <w:vAlign w:val="bottom"/>
          </w:tcPr>
          <w:p>
            <w:pPr>
              <w:spacing w:after="0"/>
              <w:rPr>
                <w:sz w:val="1"/>
                <w:szCs w:val="1"/>
                <w:color w:val="auto"/>
              </w:rPr>
            </w:pPr>
          </w:p>
        </w:tc>
      </w:tr>
      <w:tr>
        <w:trPr>
          <w:trHeight w:val="196"/>
        </w:trPr>
        <w:tc>
          <w:tcPr>
            <w:tcW w:w="5740" w:type="dxa"/>
            <w:vAlign w:val="bottom"/>
          </w:tcPr>
          <w:p>
            <w:pPr>
              <w:ind w:left="20"/>
              <w:spacing w:after="0"/>
              <w:rPr>
                <w:sz w:val="20"/>
                <w:szCs w:val="20"/>
                <w:color w:val="auto"/>
              </w:rPr>
            </w:pPr>
            <w:r>
              <w:rPr>
                <w:rFonts w:ascii="Arial" w:cs="Arial" w:eastAsia="Arial" w:hAnsi="Arial"/>
                <w:sz w:val="14"/>
                <w:szCs w:val="14"/>
                <w:color w:val="auto"/>
              </w:rPr>
              <w:t>Operating expenses:</w:t>
            </w: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57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Compensation and employee benefits</w:t>
            </w:r>
          </w:p>
        </w:tc>
        <w:tc>
          <w:tcPr>
            <w:tcW w:w="28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95.9</w:t>
            </w:r>
          </w:p>
        </w:tc>
        <w:tc>
          <w:tcPr>
            <w:tcW w:w="44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112.0</w:t>
            </w:r>
          </w:p>
        </w:tc>
        <w:tc>
          <w:tcPr>
            <w:tcW w:w="4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198.3</w:t>
            </w:r>
          </w:p>
        </w:tc>
        <w:tc>
          <w:tcPr>
            <w:tcW w:w="44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220.3</w:t>
            </w:r>
          </w:p>
        </w:tc>
        <w:tc>
          <w:tcPr>
            <w:tcW w:w="0" w:type="dxa"/>
            <w:vAlign w:val="bottom"/>
          </w:tcPr>
          <w:p>
            <w:pPr>
              <w:spacing w:after="0"/>
              <w:rPr>
                <w:sz w:val="1"/>
                <w:szCs w:val="1"/>
                <w:color w:val="auto"/>
              </w:rPr>
            </w:pPr>
          </w:p>
        </w:tc>
      </w:tr>
      <w:tr>
        <w:trPr>
          <w:trHeight w:val="196"/>
        </w:trPr>
        <w:tc>
          <w:tcPr>
            <w:tcW w:w="5740" w:type="dxa"/>
            <w:vAlign w:val="bottom"/>
          </w:tcPr>
          <w:p>
            <w:pPr>
              <w:ind w:left="120"/>
              <w:spacing w:after="0"/>
              <w:rPr>
                <w:sz w:val="20"/>
                <w:szCs w:val="20"/>
                <w:color w:val="auto"/>
              </w:rPr>
            </w:pPr>
            <w:r>
              <w:rPr>
                <w:rFonts w:ascii="Arial" w:cs="Arial" w:eastAsia="Arial" w:hAnsi="Arial"/>
                <w:sz w:val="14"/>
                <w:szCs w:val="14"/>
                <w:color w:val="auto"/>
              </w:rPr>
              <w:t>General and administrative</w:t>
            </w:r>
          </w:p>
        </w:tc>
        <w:tc>
          <w:tcPr>
            <w:tcW w:w="28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84.4</w:t>
            </w:r>
          </w:p>
        </w:tc>
        <w:tc>
          <w:tcPr>
            <w:tcW w:w="440" w:type="dxa"/>
            <w:vAlign w:val="bottom"/>
          </w:tcPr>
          <w:p>
            <w:pPr>
              <w:spacing w:after="0"/>
              <w:rPr>
                <w:sz w:val="17"/>
                <w:szCs w:val="17"/>
                <w:color w:val="auto"/>
              </w:rPr>
            </w:pPr>
          </w:p>
        </w:tc>
        <w:tc>
          <w:tcPr>
            <w:tcW w:w="960" w:type="dxa"/>
            <w:vAlign w:val="bottom"/>
          </w:tcPr>
          <w:p>
            <w:pPr>
              <w:jc w:val="right"/>
              <w:ind w:right="88"/>
              <w:spacing w:after="0"/>
              <w:rPr>
                <w:sz w:val="20"/>
                <w:szCs w:val="20"/>
                <w:color w:val="auto"/>
              </w:rPr>
            </w:pPr>
            <w:r>
              <w:rPr>
                <w:rFonts w:ascii="Arial" w:cs="Arial" w:eastAsia="Arial" w:hAnsi="Arial"/>
                <w:sz w:val="14"/>
                <w:szCs w:val="14"/>
                <w:color w:val="auto"/>
              </w:rPr>
              <w:t>79.5</w:t>
            </w:r>
          </w:p>
        </w:tc>
        <w:tc>
          <w:tcPr>
            <w:tcW w:w="40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168.2</w:t>
            </w:r>
          </w:p>
        </w:tc>
        <w:tc>
          <w:tcPr>
            <w:tcW w:w="440" w:type="dxa"/>
            <w:vAlign w:val="bottom"/>
          </w:tcPr>
          <w:p>
            <w:pPr>
              <w:spacing w:after="0"/>
              <w:rPr>
                <w:sz w:val="17"/>
                <w:szCs w:val="17"/>
                <w:color w:val="auto"/>
              </w:rPr>
            </w:pPr>
          </w:p>
        </w:tc>
        <w:tc>
          <w:tcPr>
            <w:tcW w:w="960" w:type="dxa"/>
            <w:vAlign w:val="bottom"/>
          </w:tcPr>
          <w:p>
            <w:pPr>
              <w:jc w:val="right"/>
              <w:ind w:right="68"/>
              <w:spacing w:after="0"/>
              <w:rPr>
                <w:sz w:val="20"/>
                <w:szCs w:val="20"/>
                <w:color w:val="auto"/>
              </w:rPr>
            </w:pPr>
            <w:r>
              <w:rPr>
                <w:rFonts w:ascii="Arial" w:cs="Arial" w:eastAsia="Arial" w:hAnsi="Arial"/>
                <w:sz w:val="14"/>
                <w:szCs w:val="14"/>
                <w:color w:val="auto"/>
              </w:rPr>
              <w:t>150.1</w:t>
            </w:r>
          </w:p>
        </w:tc>
        <w:tc>
          <w:tcPr>
            <w:tcW w:w="0" w:type="dxa"/>
            <w:vAlign w:val="bottom"/>
          </w:tcPr>
          <w:p>
            <w:pPr>
              <w:spacing w:after="0"/>
              <w:rPr>
                <w:sz w:val="1"/>
                <w:szCs w:val="1"/>
                <w:color w:val="auto"/>
              </w:rPr>
            </w:pPr>
          </w:p>
        </w:tc>
      </w:tr>
      <w:tr>
        <w:trPr>
          <w:trHeight w:val="208"/>
        </w:trPr>
        <w:tc>
          <w:tcPr>
            <w:tcW w:w="57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Asset impairments</w:t>
            </w:r>
          </w:p>
        </w:tc>
        <w:tc>
          <w:tcPr>
            <w:tcW w:w="28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18.6</w:t>
            </w:r>
          </w:p>
        </w:tc>
        <w:tc>
          <w:tcPr>
            <w:tcW w:w="44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18.6</w:t>
            </w:r>
          </w:p>
        </w:tc>
        <w:tc>
          <w:tcPr>
            <w:tcW w:w="44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7"/>
        </w:trPr>
        <w:tc>
          <w:tcPr>
            <w:tcW w:w="574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Restructuring charges</w:t>
            </w: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3.1</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1.9</w:t>
            </w:r>
          </w:p>
        </w:tc>
        <w:tc>
          <w:tcPr>
            <w:tcW w:w="4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4.8</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196"/>
        </w:trPr>
        <w:tc>
          <w:tcPr>
            <w:tcW w:w="5740" w:type="dxa"/>
            <w:vAlign w:val="bottom"/>
            <w:tcBorders>
              <w:bottom w:val="single" w:sz="8" w:color="auto"/>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202.0</w:t>
            </w:r>
          </w:p>
        </w:tc>
        <w:tc>
          <w:tcPr>
            <w:tcW w:w="4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193.4</w:t>
            </w:r>
          </w:p>
        </w:tc>
        <w:tc>
          <w:tcPr>
            <w:tcW w:w="40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389.9</w:t>
            </w:r>
          </w:p>
        </w:tc>
        <w:tc>
          <w:tcPr>
            <w:tcW w:w="4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374.1</w:t>
            </w:r>
          </w:p>
        </w:tc>
        <w:tc>
          <w:tcPr>
            <w:tcW w:w="0" w:type="dxa"/>
            <w:vAlign w:val="bottom"/>
          </w:tcPr>
          <w:p>
            <w:pPr>
              <w:spacing w:after="0"/>
              <w:rPr>
                <w:sz w:val="1"/>
                <w:szCs w:val="1"/>
                <w:color w:val="auto"/>
              </w:rPr>
            </w:pPr>
          </w:p>
        </w:tc>
      </w:tr>
      <w:tr>
        <w:trPr>
          <w:trHeight w:val="196"/>
        </w:trPr>
        <w:tc>
          <w:tcPr>
            <w:tcW w:w="574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Income from operations</w:t>
            </w: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11.9</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75.2</w:t>
            </w:r>
          </w:p>
        </w:tc>
        <w:tc>
          <w:tcPr>
            <w:tcW w:w="4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82.7</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145.6</w:t>
            </w:r>
          </w:p>
        </w:tc>
        <w:tc>
          <w:tcPr>
            <w:tcW w:w="0" w:type="dxa"/>
            <w:vAlign w:val="bottom"/>
          </w:tcPr>
          <w:p>
            <w:pPr>
              <w:spacing w:after="0"/>
              <w:rPr>
                <w:sz w:val="1"/>
                <w:szCs w:val="1"/>
                <w:color w:val="auto"/>
              </w:rPr>
            </w:pPr>
          </w:p>
        </w:tc>
      </w:tr>
      <w:tr>
        <w:trPr>
          <w:trHeight w:val="202"/>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Non-operating expenses, net:</w:t>
            </w: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740" w:type="dxa"/>
            <w:vAlign w:val="bottom"/>
          </w:tcPr>
          <w:p>
            <w:pPr>
              <w:ind w:left="120"/>
              <w:spacing w:after="0"/>
              <w:rPr>
                <w:sz w:val="20"/>
                <w:szCs w:val="20"/>
                <w:color w:val="auto"/>
              </w:rPr>
            </w:pPr>
            <w:r>
              <w:rPr>
                <w:rFonts w:ascii="Arial" w:cs="Arial" w:eastAsia="Arial" w:hAnsi="Arial"/>
                <w:sz w:val="14"/>
                <w:szCs w:val="14"/>
                <w:color w:val="auto"/>
              </w:rPr>
              <w:t>Interest expense and other financing costs, net</w:t>
            </w:r>
          </w:p>
        </w:tc>
        <w:tc>
          <w:tcPr>
            <w:tcW w:w="280" w:type="dxa"/>
            <w:vAlign w:val="bottom"/>
          </w:tcPr>
          <w:p>
            <w:pPr>
              <w:spacing w:after="0"/>
              <w:rPr>
                <w:sz w:val="17"/>
                <w:szCs w:val="17"/>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(10.0)</w:t>
            </w:r>
          </w:p>
        </w:tc>
        <w:tc>
          <w:tcPr>
            <w:tcW w:w="440" w:type="dxa"/>
            <w:vAlign w:val="bottom"/>
          </w:tcPr>
          <w:p>
            <w:pPr>
              <w:spacing w:after="0"/>
              <w:rPr>
                <w:sz w:val="17"/>
                <w:szCs w:val="17"/>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(20.2)</w:t>
            </w:r>
          </w:p>
        </w:tc>
        <w:tc>
          <w:tcPr>
            <w:tcW w:w="40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(25.3)</w:t>
            </w:r>
          </w:p>
        </w:tc>
        <w:tc>
          <w:tcPr>
            <w:tcW w:w="44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(39.6)</w:t>
            </w:r>
          </w:p>
        </w:tc>
        <w:tc>
          <w:tcPr>
            <w:tcW w:w="0" w:type="dxa"/>
            <w:vAlign w:val="bottom"/>
          </w:tcPr>
          <w:p>
            <w:pPr>
              <w:spacing w:after="0"/>
              <w:rPr>
                <w:sz w:val="1"/>
                <w:szCs w:val="1"/>
                <w:color w:val="auto"/>
              </w:rPr>
            </w:pPr>
          </w:p>
        </w:tc>
      </w:tr>
      <w:tr>
        <w:trPr>
          <w:trHeight w:val="203"/>
        </w:trPr>
        <w:tc>
          <w:tcPr>
            <w:tcW w:w="574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Other income (expense), net</w:t>
            </w: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(4.9)</w:t>
            </w:r>
          </w:p>
        </w:tc>
        <w:tc>
          <w:tcPr>
            <w:tcW w:w="4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2.6</w:t>
            </w:r>
          </w:p>
        </w:tc>
        <w:tc>
          <w:tcPr>
            <w:tcW w:w="40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w:t>
            </w:r>
          </w:p>
        </w:tc>
        <w:tc>
          <w:tcPr>
            <w:tcW w:w="4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3.0</w:t>
            </w:r>
          </w:p>
        </w:tc>
        <w:tc>
          <w:tcPr>
            <w:tcW w:w="0" w:type="dxa"/>
            <w:vAlign w:val="bottom"/>
          </w:tcPr>
          <w:p>
            <w:pPr>
              <w:spacing w:after="0"/>
              <w:rPr>
                <w:sz w:val="1"/>
                <w:szCs w:val="1"/>
                <w:color w:val="auto"/>
              </w:rPr>
            </w:pPr>
          </w:p>
        </w:tc>
      </w:tr>
      <w:tr>
        <w:trPr>
          <w:trHeight w:val="196"/>
        </w:trPr>
        <w:tc>
          <w:tcPr>
            <w:tcW w:w="574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(14.9)</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(17.6)</w:t>
            </w:r>
          </w:p>
        </w:tc>
        <w:tc>
          <w:tcPr>
            <w:tcW w:w="4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(28.1)</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(36.6)</w:t>
            </w:r>
          </w:p>
        </w:tc>
        <w:tc>
          <w:tcPr>
            <w:tcW w:w="0" w:type="dxa"/>
            <w:vAlign w:val="bottom"/>
          </w:tcPr>
          <w:p>
            <w:pPr>
              <w:spacing w:after="0"/>
              <w:rPr>
                <w:sz w:val="1"/>
                <w:szCs w:val="1"/>
                <w:color w:val="auto"/>
              </w:rPr>
            </w:pPr>
          </w:p>
        </w:tc>
      </w:tr>
      <w:tr>
        <w:trPr>
          <w:trHeight w:val="202"/>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(loss) before income taxes</w:t>
            </w: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w:t>
            </w: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57.6</w:t>
            </w:r>
          </w:p>
        </w:tc>
        <w:tc>
          <w:tcPr>
            <w:tcW w:w="40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54.6</w:t>
            </w: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109.0</w:t>
            </w:r>
          </w:p>
        </w:tc>
        <w:tc>
          <w:tcPr>
            <w:tcW w:w="0" w:type="dxa"/>
            <w:vAlign w:val="bottom"/>
          </w:tcPr>
          <w:p>
            <w:pPr>
              <w:spacing w:after="0"/>
              <w:rPr>
                <w:sz w:val="1"/>
                <w:szCs w:val="1"/>
                <w:color w:val="auto"/>
              </w:rPr>
            </w:pPr>
          </w:p>
        </w:tc>
      </w:tr>
      <w:tr>
        <w:trPr>
          <w:trHeight w:val="197"/>
        </w:trPr>
        <w:tc>
          <w:tcPr>
            <w:tcW w:w="57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Provision for income taxes</w:t>
            </w: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7.7</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20.0</w:t>
            </w:r>
          </w:p>
        </w:tc>
        <w:tc>
          <w:tcPr>
            <w:tcW w:w="4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23.7</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34.0</w:t>
            </w:r>
          </w:p>
        </w:tc>
        <w:tc>
          <w:tcPr>
            <w:tcW w:w="0" w:type="dxa"/>
            <w:vAlign w:val="bottom"/>
          </w:tcPr>
          <w:p>
            <w:pPr>
              <w:spacing w:after="0"/>
              <w:rPr>
                <w:sz w:val="1"/>
                <w:szCs w:val="1"/>
                <w:color w:val="auto"/>
              </w:rPr>
            </w:pPr>
          </w:p>
        </w:tc>
      </w:tr>
      <w:tr>
        <w:trPr>
          <w:trHeight w:val="202"/>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 including noncontrolling interest</w:t>
            </w: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(10.7)</w:t>
            </w: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37.6</w:t>
            </w:r>
          </w:p>
        </w:tc>
        <w:tc>
          <w:tcPr>
            <w:tcW w:w="40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31.0</w:t>
            </w: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74.9</w:t>
            </w:r>
          </w:p>
        </w:tc>
        <w:tc>
          <w:tcPr>
            <w:tcW w:w="0" w:type="dxa"/>
            <w:vAlign w:val="bottom"/>
          </w:tcPr>
          <w:p>
            <w:pPr>
              <w:spacing w:after="0"/>
              <w:rPr>
                <w:sz w:val="1"/>
                <w:szCs w:val="1"/>
                <w:color w:val="auto"/>
              </w:rPr>
            </w:pPr>
          </w:p>
        </w:tc>
      </w:tr>
      <w:tr>
        <w:trPr>
          <w:trHeight w:val="197"/>
        </w:trPr>
        <w:tc>
          <w:tcPr>
            <w:tcW w:w="57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Net income (loss) attributable to noncontrolling interest</w:t>
            </w: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(0.4)</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0.6</w:t>
            </w:r>
          </w:p>
        </w:tc>
        <w:tc>
          <w:tcPr>
            <w:tcW w:w="4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(0.2)</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0.7</w:t>
            </w:r>
          </w:p>
        </w:tc>
        <w:tc>
          <w:tcPr>
            <w:tcW w:w="0" w:type="dxa"/>
            <w:vAlign w:val="bottom"/>
          </w:tcPr>
          <w:p>
            <w:pPr>
              <w:spacing w:after="0"/>
              <w:rPr>
                <w:sz w:val="1"/>
                <w:szCs w:val="1"/>
                <w:color w:val="auto"/>
              </w:rPr>
            </w:pPr>
          </w:p>
        </w:tc>
      </w:tr>
      <w:tr>
        <w:trPr>
          <w:trHeight w:val="221"/>
        </w:trPr>
        <w:tc>
          <w:tcPr>
            <w:tcW w:w="5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Net income (loss) attributable to World Fuel</w:t>
            </w:r>
          </w:p>
        </w:tc>
        <w:tc>
          <w:tcPr>
            <w:tcW w:w="2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(10.2)</w:t>
            </w:r>
          </w:p>
        </w:tc>
        <w:tc>
          <w:tcPr>
            <w:tcW w:w="44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37.0</w:t>
            </w:r>
          </w:p>
        </w:tc>
        <w:tc>
          <w:tcPr>
            <w:tcW w:w="40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31.2</w:t>
            </w:r>
          </w:p>
        </w:tc>
        <w:tc>
          <w:tcPr>
            <w:tcW w:w="4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74.2</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5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5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Basic earnings per common share</w:t>
            </w:r>
          </w:p>
        </w:tc>
        <w:tc>
          <w:tcPr>
            <w:tcW w:w="2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(0.16)</w:t>
            </w:r>
          </w:p>
        </w:tc>
        <w:tc>
          <w:tcPr>
            <w:tcW w:w="44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0.56</w:t>
            </w:r>
          </w:p>
        </w:tc>
        <w:tc>
          <w:tcPr>
            <w:tcW w:w="40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0.49</w:t>
            </w:r>
          </w:p>
        </w:tc>
        <w:tc>
          <w:tcPr>
            <w:tcW w:w="4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1.11</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5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5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Basic weighted average common shares</w:t>
            </w:r>
          </w:p>
        </w:tc>
        <w:tc>
          <w:tcPr>
            <w:tcW w:w="28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63.3</w:t>
            </w:r>
          </w:p>
        </w:tc>
        <w:tc>
          <w:tcPr>
            <w:tcW w:w="4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66.7</w:t>
            </w:r>
          </w:p>
        </w:tc>
        <w:tc>
          <w:tcPr>
            <w:tcW w:w="4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64.1</w:t>
            </w:r>
          </w:p>
        </w:tc>
        <w:tc>
          <w:tcPr>
            <w:tcW w:w="4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66.9</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5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5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Diluted earnings per common share</w:t>
            </w:r>
          </w:p>
        </w:tc>
        <w:tc>
          <w:tcPr>
            <w:tcW w:w="2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(0.16)</w:t>
            </w:r>
          </w:p>
        </w:tc>
        <w:tc>
          <w:tcPr>
            <w:tcW w:w="44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0.55</w:t>
            </w:r>
          </w:p>
        </w:tc>
        <w:tc>
          <w:tcPr>
            <w:tcW w:w="40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0.48</w:t>
            </w:r>
          </w:p>
        </w:tc>
        <w:tc>
          <w:tcPr>
            <w:tcW w:w="4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1.10</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5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5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Diluted weighted average common shares</w:t>
            </w:r>
          </w:p>
        </w:tc>
        <w:tc>
          <w:tcPr>
            <w:tcW w:w="28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63.3</w:t>
            </w:r>
          </w:p>
        </w:tc>
        <w:tc>
          <w:tcPr>
            <w:tcW w:w="4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67.0</w:t>
            </w:r>
          </w:p>
        </w:tc>
        <w:tc>
          <w:tcPr>
            <w:tcW w:w="4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64.4</w:t>
            </w:r>
          </w:p>
        </w:tc>
        <w:tc>
          <w:tcPr>
            <w:tcW w:w="4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67.2</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5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Comprehensive income:</w:t>
            </w: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740" w:type="dxa"/>
            <w:vAlign w:val="bottom"/>
          </w:tcPr>
          <w:p>
            <w:pPr>
              <w:ind w:left="20"/>
              <w:spacing w:after="0"/>
              <w:rPr>
                <w:sz w:val="20"/>
                <w:szCs w:val="20"/>
                <w:color w:val="auto"/>
              </w:rPr>
            </w:pPr>
            <w:r>
              <w:rPr>
                <w:rFonts w:ascii="Arial" w:cs="Arial" w:eastAsia="Arial" w:hAnsi="Arial"/>
                <w:sz w:val="14"/>
                <w:szCs w:val="14"/>
                <w:color w:val="auto"/>
              </w:rPr>
              <w:t>Net income (loss) including noncontrolling interest</w:t>
            </w:r>
          </w:p>
        </w:tc>
        <w:tc>
          <w:tcPr>
            <w:tcW w:w="280" w:type="dxa"/>
            <w:vAlign w:val="bottom"/>
          </w:tcPr>
          <w:p>
            <w:pPr>
              <w:jc w:val="right"/>
              <w:ind w:right="128"/>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(10.7)</w:t>
            </w:r>
          </w:p>
        </w:tc>
        <w:tc>
          <w:tcPr>
            <w:tcW w:w="44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88"/>
              <w:spacing w:after="0"/>
              <w:rPr>
                <w:sz w:val="20"/>
                <w:szCs w:val="20"/>
                <w:color w:val="auto"/>
              </w:rPr>
            </w:pPr>
            <w:r>
              <w:rPr>
                <w:rFonts w:ascii="Arial" w:cs="Arial" w:eastAsia="Arial" w:hAnsi="Arial"/>
                <w:sz w:val="14"/>
                <w:szCs w:val="14"/>
                <w:color w:val="auto"/>
              </w:rPr>
              <w:t>37.6</w:t>
            </w:r>
          </w:p>
        </w:tc>
        <w:tc>
          <w:tcPr>
            <w:tcW w:w="40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31.0</w:t>
            </w:r>
          </w:p>
        </w:tc>
        <w:tc>
          <w:tcPr>
            <w:tcW w:w="4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68"/>
              <w:spacing w:after="0"/>
              <w:rPr>
                <w:sz w:val="20"/>
                <w:szCs w:val="20"/>
                <w:color w:val="auto"/>
              </w:rPr>
            </w:pPr>
            <w:r>
              <w:rPr>
                <w:rFonts w:ascii="Arial" w:cs="Arial" w:eastAsia="Arial" w:hAnsi="Arial"/>
                <w:sz w:val="14"/>
                <w:szCs w:val="14"/>
                <w:color w:val="auto"/>
              </w:rPr>
              <w:t>74.9</w:t>
            </w:r>
          </w:p>
        </w:tc>
        <w:tc>
          <w:tcPr>
            <w:tcW w:w="0" w:type="dxa"/>
            <w:vAlign w:val="bottom"/>
          </w:tcPr>
          <w:p>
            <w:pPr>
              <w:spacing w:after="0"/>
              <w:rPr>
                <w:sz w:val="1"/>
                <w:szCs w:val="1"/>
                <w:color w:val="auto"/>
              </w:rPr>
            </w:pPr>
          </w:p>
        </w:tc>
      </w:tr>
      <w:tr>
        <w:trPr>
          <w:trHeight w:val="209"/>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comprehensive income (loss):</w:t>
            </w:r>
          </w:p>
        </w:tc>
        <w:tc>
          <w:tcPr>
            <w:tcW w:w="28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740" w:type="dxa"/>
            <w:vAlign w:val="bottom"/>
          </w:tcPr>
          <w:p>
            <w:pPr>
              <w:ind w:left="120"/>
              <w:spacing w:after="0"/>
              <w:rPr>
                <w:sz w:val="20"/>
                <w:szCs w:val="20"/>
                <w:color w:val="auto"/>
              </w:rPr>
            </w:pPr>
            <w:r>
              <w:rPr>
                <w:rFonts w:ascii="Arial" w:cs="Arial" w:eastAsia="Arial" w:hAnsi="Arial"/>
                <w:sz w:val="14"/>
                <w:szCs w:val="14"/>
                <w:color w:val="auto"/>
              </w:rPr>
              <w:t>Foreign currency translation adjustments</w:t>
            </w:r>
          </w:p>
        </w:tc>
        <w:tc>
          <w:tcPr>
            <w:tcW w:w="28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5.1</w:t>
            </w:r>
          </w:p>
        </w:tc>
        <w:tc>
          <w:tcPr>
            <w:tcW w:w="440" w:type="dxa"/>
            <w:vAlign w:val="bottom"/>
          </w:tcPr>
          <w:p>
            <w:pPr>
              <w:spacing w:after="0"/>
              <w:rPr>
                <w:sz w:val="17"/>
                <w:szCs w:val="17"/>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(6.0)</w:t>
            </w:r>
          </w:p>
        </w:tc>
        <w:tc>
          <w:tcPr>
            <w:tcW w:w="400" w:type="dxa"/>
            <w:vAlign w:val="bottom"/>
          </w:tcPr>
          <w:p>
            <w:pPr>
              <w:spacing w:after="0"/>
              <w:rPr>
                <w:sz w:val="17"/>
                <w:szCs w:val="17"/>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(27.9)</w:t>
            </w:r>
          </w:p>
        </w:tc>
        <w:tc>
          <w:tcPr>
            <w:tcW w:w="44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(5.9)</w:t>
            </w:r>
          </w:p>
        </w:tc>
        <w:tc>
          <w:tcPr>
            <w:tcW w:w="0" w:type="dxa"/>
            <w:vAlign w:val="bottom"/>
          </w:tcPr>
          <w:p>
            <w:pPr>
              <w:spacing w:after="0"/>
              <w:rPr>
                <w:sz w:val="1"/>
                <w:szCs w:val="1"/>
                <w:color w:val="auto"/>
              </w:rPr>
            </w:pPr>
          </w:p>
        </w:tc>
      </w:tr>
      <w:tr>
        <w:trPr>
          <w:trHeight w:val="141"/>
        </w:trPr>
        <w:tc>
          <w:tcPr>
            <w:tcW w:w="5740" w:type="dxa"/>
            <w:vAlign w:val="bottom"/>
            <w:shd w:val="clear" w:color="auto" w:fill="CCEEFF"/>
          </w:tcPr>
          <w:p>
            <w:pPr>
              <w:ind w:left="140"/>
              <w:spacing w:after="0" w:line="141" w:lineRule="exact"/>
              <w:rPr>
                <w:sz w:val="20"/>
                <w:szCs w:val="20"/>
                <w:color w:val="auto"/>
              </w:rPr>
            </w:pPr>
            <w:r>
              <w:rPr>
                <w:rFonts w:ascii="Arial" w:cs="Arial" w:eastAsia="Arial" w:hAnsi="Arial"/>
                <w:sz w:val="14"/>
                <w:szCs w:val="14"/>
                <w:color w:val="auto"/>
                <w:w w:val="98"/>
              </w:rPr>
              <w:t>Cash flow hedges, net of income tax benefit of $7.2 and benefit of $1.1 for the three months</w:t>
            </w:r>
          </w:p>
        </w:tc>
        <w:tc>
          <w:tcPr>
            <w:tcW w:w="28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5740" w:type="dxa"/>
            <w:vAlign w:val="bottom"/>
            <w:shd w:val="clear" w:color="auto" w:fill="CCEEFF"/>
          </w:tcPr>
          <w:p>
            <w:pPr>
              <w:ind w:left="140"/>
              <w:spacing w:after="0" w:line="135" w:lineRule="exact"/>
              <w:rPr>
                <w:sz w:val="20"/>
                <w:szCs w:val="20"/>
                <w:color w:val="auto"/>
              </w:rPr>
            </w:pPr>
            <w:r>
              <w:rPr>
                <w:rFonts w:ascii="Arial" w:cs="Arial" w:eastAsia="Arial" w:hAnsi="Arial"/>
                <w:sz w:val="14"/>
                <w:szCs w:val="14"/>
                <w:color w:val="auto"/>
              </w:rPr>
              <w:t>ended June 30, 2020 and 2019, respectively, and net of income tax expense of $0.2 and</w:t>
            </w:r>
          </w:p>
        </w:tc>
        <w:tc>
          <w:tcPr>
            <w:tcW w:w="28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(21.0)</w:t>
            </w:r>
          </w:p>
        </w:tc>
        <w:tc>
          <w:tcPr>
            <w:tcW w:w="440" w:type="dxa"/>
            <w:vAlign w:val="bottom"/>
            <w:shd w:val="clear" w:color="auto" w:fill="CCEEFF"/>
          </w:tcPr>
          <w:p>
            <w:pPr>
              <w:spacing w:after="0"/>
              <w:rPr>
                <w:sz w:val="11"/>
                <w:szCs w:val="11"/>
                <w:color w:val="auto"/>
              </w:rPr>
            </w:pPr>
          </w:p>
        </w:tc>
        <w:tc>
          <w:tcPr>
            <w:tcW w:w="9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(2.9)</w:t>
            </w:r>
          </w:p>
        </w:tc>
        <w:tc>
          <w:tcPr>
            <w:tcW w:w="40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0.7</w:t>
            </w:r>
          </w:p>
        </w:tc>
        <w:tc>
          <w:tcPr>
            <w:tcW w:w="440" w:type="dxa"/>
            <w:vAlign w:val="bottom"/>
            <w:shd w:val="clear" w:color="auto" w:fill="CCEEFF"/>
          </w:tcPr>
          <w:p>
            <w:pPr>
              <w:spacing w:after="0"/>
              <w:rPr>
                <w:sz w:val="11"/>
                <w:szCs w:val="11"/>
                <w:color w:val="auto"/>
              </w:rPr>
            </w:pPr>
          </w:p>
        </w:tc>
        <w:tc>
          <w:tcPr>
            <w:tcW w:w="96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(14.7)</w:t>
            </w:r>
          </w:p>
        </w:tc>
        <w:tc>
          <w:tcPr>
            <w:tcW w:w="0" w:type="dxa"/>
            <w:vAlign w:val="bottom"/>
          </w:tcPr>
          <w:p>
            <w:pPr>
              <w:spacing w:after="0"/>
              <w:rPr>
                <w:sz w:val="1"/>
                <w:szCs w:val="1"/>
                <w:color w:val="auto"/>
              </w:rPr>
            </w:pPr>
          </w:p>
        </w:tc>
      </w:tr>
      <w:tr>
        <w:trPr>
          <w:trHeight w:val="186"/>
        </w:trPr>
        <w:tc>
          <w:tcPr>
            <w:tcW w:w="57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benefit of $5.2 for the six months ended June 30, 2020 and 2019, respectively</w:t>
            </w:r>
          </w:p>
        </w:tc>
        <w:tc>
          <w:tcPr>
            <w:tcW w:w="28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vMerge w:val="continue"/>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1000" w:type="dxa"/>
            <w:vAlign w:val="bottom"/>
            <w:tcBorders>
              <w:bottom w:val="single" w:sz="8" w:color="auto"/>
            </w:tcBorders>
            <w:vMerge w:val="continue"/>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57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Other comprehensive income (loss)</w:t>
            </w:r>
          </w:p>
        </w:tc>
        <w:tc>
          <w:tcPr>
            <w:tcW w:w="2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(16.0)</w:t>
            </w:r>
          </w:p>
        </w:tc>
        <w:tc>
          <w:tcPr>
            <w:tcW w:w="4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(8.9)</w:t>
            </w:r>
          </w:p>
        </w:tc>
        <w:tc>
          <w:tcPr>
            <w:tcW w:w="4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(27.2)</w:t>
            </w:r>
          </w:p>
        </w:tc>
        <w:tc>
          <w:tcPr>
            <w:tcW w:w="4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(20.6)</w:t>
            </w:r>
          </w:p>
        </w:tc>
        <w:tc>
          <w:tcPr>
            <w:tcW w:w="0" w:type="dxa"/>
            <w:vAlign w:val="bottom"/>
          </w:tcPr>
          <w:p>
            <w:pPr>
              <w:spacing w:after="0"/>
              <w:rPr>
                <w:sz w:val="1"/>
                <w:szCs w:val="1"/>
                <w:color w:val="auto"/>
              </w:rPr>
            </w:pPr>
          </w:p>
        </w:tc>
      </w:tr>
      <w:tr>
        <w:trPr>
          <w:trHeight w:val="202"/>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Comprehensive income (loss) including noncontrolling interest</w:t>
            </w: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(26.7)</w:t>
            </w: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28.7</w:t>
            </w:r>
          </w:p>
        </w:tc>
        <w:tc>
          <w:tcPr>
            <w:tcW w:w="400" w:type="dxa"/>
            <w:vAlign w:val="bottom"/>
            <w:shd w:val="clear" w:color="auto" w:fill="CCEEFF"/>
          </w:tcPr>
          <w:p>
            <w:pPr>
              <w:spacing w:after="0"/>
              <w:rPr>
                <w:sz w:val="17"/>
                <w:szCs w:val="17"/>
                <w:color w:val="auto"/>
              </w:rPr>
            </w:pP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3.7</w:t>
            </w:r>
          </w:p>
        </w:tc>
        <w:tc>
          <w:tcPr>
            <w:tcW w:w="44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54.3</w:t>
            </w:r>
          </w:p>
        </w:tc>
        <w:tc>
          <w:tcPr>
            <w:tcW w:w="0" w:type="dxa"/>
            <w:vAlign w:val="bottom"/>
          </w:tcPr>
          <w:p>
            <w:pPr>
              <w:spacing w:after="0"/>
              <w:rPr>
                <w:sz w:val="1"/>
                <w:szCs w:val="1"/>
                <w:color w:val="auto"/>
              </w:rPr>
            </w:pPr>
          </w:p>
        </w:tc>
      </w:tr>
      <w:tr>
        <w:trPr>
          <w:trHeight w:val="196"/>
        </w:trPr>
        <w:tc>
          <w:tcPr>
            <w:tcW w:w="57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Comprehensive income (loss) attributable to noncontrolling interest</w:t>
            </w: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4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(0.7)</w:t>
            </w:r>
          </w:p>
        </w:tc>
        <w:tc>
          <w:tcPr>
            <w:tcW w:w="0" w:type="dxa"/>
            <w:vAlign w:val="bottom"/>
          </w:tcPr>
          <w:p>
            <w:pPr>
              <w:spacing w:after="0"/>
              <w:rPr>
                <w:sz w:val="1"/>
                <w:szCs w:val="1"/>
                <w:color w:val="auto"/>
              </w:rPr>
            </w:pPr>
          </w:p>
        </w:tc>
      </w:tr>
      <w:tr>
        <w:trPr>
          <w:trHeight w:val="221"/>
        </w:trPr>
        <w:tc>
          <w:tcPr>
            <w:tcW w:w="5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Comprehensive income (loss) attributable to World Fuel</w:t>
            </w:r>
          </w:p>
        </w:tc>
        <w:tc>
          <w:tcPr>
            <w:tcW w:w="2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(26.7)</w:t>
            </w:r>
          </w:p>
        </w:tc>
        <w:tc>
          <w:tcPr>
            <w:tcW w:w="44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28.7</w:t>
            </w:r>
          </w:p>
        </w:tc>
        <w:tc>
          <w:tcPr>
            <w:tcW w:w="4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3.7</w:t>
            </w:r>
          </w:p>
        </w:tc>
        <w:tc>
          <w:tcPr>
            <w:tcW w:w="4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55.0</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5" w:name="page6"/>
    <w:bookmarkEnd w:id="5"/>
    <w:p>
      <w:pPr>
        <w:ind w:left="4340"/>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ind w:left="3680"/>
        <w:spacing w:after="0"/>
        <w:rPr>
          <w:sz w:val="20"/>
          <w:szCs w:val="20"/>
          <w:color w:val="auto"/>
        </w:rPr>
      </w:pPr>
      <w:r>
        <w:rPr>
          <w:rFonts w:ascii="Arial" w:cs="Arial" w:eastAsia="Arial" w:hAnsi="Arial"/>
          <w:sz w:val="18"/>
          <w:szCs w:val="18"/>
          <w:b w:val="1"/>
          <w:bCs w:val="1"/>
          <w:color w:val="auto"/>
        </w:rPr>
        <w:t>Consolidated Statements of Shareholders’ Equity</w:t>
      </w:r>
    </w:p>
    <w:p>
      <w:pPr>
        <w:spacing w:after="0" w:line="9" w:lineRule="exact"/>
        <w:rPr>
          <w:sz w:val="20"/>
          <w:szCs w:val="20"/>
          <w:color w:val="auto"/>
        </w:rPr>
      </w:pPr>
    </w:p>
    <w:p>
      <w:pPr>
        <w:ind w:left="4720"/>
        <w:spacing w:after="0"/>
        <w:rPr>
          <w:sz w:val="20"/>
          <w:szCs w:val="20"/>
          <w:color w:val="auto"/>
        </w:rPr>
      </w:pPr>
      <w:r>
        <w:rPr>
          <w:rFonts w:ascii="Arial" w:cs="Arial" w:eastAsia="Arial" w:hAnsi="Arial"/>
          <w:sz w:val="18"/>
          <w:szCs w:val="18"/>
          <w:color w:val="auto"/>
        </w:rPr>
        <w:t>(Unaudited - In millions)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0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tcPr>
          <w:p>
            <w:pPr>
              <w:jc w:val="center"/>
              <w:ind w:right="70"/>
              <w:spacing w:after="0"/>
              <w:rPr>
                <w:sz w:val="20"/>
                <w:szCs w:val="20"/>
                <w:color w:val="auto"/>
              </w:rPr>
            </w:pPr>
            <w:r>
              <w:rPr>
                <w:rFonts w:ascii="Arial" w:cs="Arial" w:eastAsia="Arial" w:hAnsi="Arial"/>
                <w:sz w:val="13"/>
                <w:szCs w:val="13"/>
                <w:b w:val="1"/>
                <w:bCs w:val="1"/>
                <w:color w:val="auto"/>
                <w:w w:val="88"/>
              </w:rPr>
              <w:t>Accumulated</w:t>
            </w:r>
          </w:p>
        </w:tc>
        <w:tc>
          <w:tcPr>
            <w:tcW w:w="220" w:type="dxa"/>
            <w:vAlign w:val="bottom"/>
          </w:tcPr>
          <w:p>
            <w:pPr>
              <w:spacing w:after="0"/>
              <w:rPr>
                <w:sz w:val="13"/>
                <w:szCs w:val="13"/>
                <w:color w:val="auto"/>
              </w:rPr>
            </w:pPr>
          </w:p>
        </w:tc>
        <w:tc>
          <w:tcPr>
            <w:tcW w:w="940" w:type="dxa"/>
            <w:vAlign w:val="bottom"/>
          </w:tcPr>
          <w:p>
            <w:pPr>
              <w:jc w:val="center"/>
              <w:ind w:right="70"/>
              <w:spacing w:after="0"/>
              <w:rPr>
                <w:sz w:val="20"/>
                <w:szCs w:val="20"/>
                <w:color w:val="auto"/>
              </w:rPr>
            </w:pPr>
            <w:r>
              <w:rPr>
                <w:rFonts w:ascii="Arial" w:cs="Arial" w:eastAsia="Arial" w:hAnsi="Arial"/>
                <w:sz w:val="13"/>
                <w:szCs w:val="13"/>
                <w:b w:val="1"/>
                <w:bCs w:val="1"/>
                <w:color w:val="auto"/>
                <w:w w:val="89"/>
              </w:rPr>
              <w:t>Total</w:t>
            </w: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3000" w:type="dxa"/>
            <w:vAlign w:val="bottom"/>
          </w:tcPr>
          <w:p>
            <w:pPr>
              <w:spacing w:after="0"/>
              <w:rPr>
                <w:sz w:val="12"/>
                <w:szCs w:val="12"/>
                <w:color w:val="auto"/>
              </w:rPr>
            </w:pPr>
          </w:p>
        </w:tc>
        <w:tc>
          <w:tcPr>
            <w:tcW w:w="1440" w:type="dxa"/>
            <w:vAlign w:val="bottom"/>
            <w:gridSpan w:val="3"/>
          </w:tcPr>
          <w:p>
            <w:pPr>
              <w:jc w:val="right"/>
              <w:ind w:right="229"/>
              <w:spacing w:after="0" w:line="140" w:lineRule="exact"/>
              <w:rPr>
                <w:sz w:val="20"/>
                <w:szCs w:val="20"/>
                <w:color w:val="auto"/>
              </w:rPr>
            </w:pPr>
            <w:r>
              <w:rPr>
                <w:rFonts w:ascii="Arial" w:cs="Arial" w:eastAsia="Arial" w:hAnsi="Arial"/>
                <w:sz w:val="13"/>
                <w:szCs w:val="13"/>
                <w:b w:val="1"/>
                <w:bCs w:val="1"/>
                <w:color w:val="auto"/>
              </w:rPr>
              <w:t>Common Stock</w:t>
            </w:r>
          </w:p>
        </w:tc>
        <w:tc>
          <w:tcPr>
            <w:tcW w:w="240" w:type="dxa"/>
            <w:vAlign w:val="bottom"/>
          </w:tcPr>
          <w:p>
            <w:pPr>
              <w:spacing w:after="0"/>
              <w:rPr>
                <w:sz w:val="12"/>
                <w:szCs w:val="12"/>
                <w:color w:val="auto"/>
              </w:rPr>
            </w:pPr>
          </w:p>
        </w:tc>
        <w:tc>
          <w:tcPr>
            <w:tcW w:w="800" w:type="dxa"/>
            <w:vAlign w:val="bottom"/>
          </w:tcPr>
          <w:p>
            <w:pPr>
              <w:jc w:val="center"/>
              <w:ind w:right="69"/>
              <w:spacing w:after="0" w:line="140" w:lineRule="exact"/>
              <w:rPr>
                <w:sz w:val="20"/>
                <w:szCs w:val="20"/>
                <w:color w:val="auto"/>
              </w:rPr>
            </w:pPr>
            <w:r>
              <w:rPr>
                <w:rFonts w:ascii="Arial" w:cs="Arial" w:eastAsia="Arial" w:hAnsi="Arial"/>
                <w:sz w:val="13"/>
                <w:szCs w:val="13"/>
                <w:b w:val="1"/>
                <w:bCs w:val="1"/>
                <w:color w:val="auto"/>
                <w:w w:val="92"/>
              </w:rPr>
              <w:t>Capital in</w:t>
            </w: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tcPr>
          <w:p>
            <w:pPr>
              <w:jc w:val="center"/>
              <w:ind w:right="70"/>
              <w:spacing w:after="0" w:line="140" w:lineRule="exact"/>
              <w:rPr>
                <w:sz w:val="20"/>
                <w:szCs w:val="20"/>
                <w:color w:val="auto"/>
              </w:rPr>
            </w:pPr>
            <w:r>
              <w:rPr>
                <w:rFonts w:ascii="Arial" w:cs="Arial" w:eastAsia="Arial" w:hAnsi="Arial"/>
                <w:sz w:val="13"/>
                <w:szCs w:val="13"/>
                <w:b w:val="1"/>
                <w:bCs w:val="1"/>
                <w:color w:val="auto"/>
                <w:w w:val="92"/>
              </w:rPr>
              <w:t>Other</w:t>
            </w:r>
          </w:p>
        </w:tc>
        <w:tc>
          <w:tcPr>
            <w:tcW w:w="220" w:type="dxa"/>
            <w:vAlign w:val="bottom"/>
          </w:tcPr>
          <w:p>
            <w:pPr>
              <w:spacing w:after="0"/>
              <w:rPr>
                <w:sz w:val="12"/>
                <w:szCs w:val="12"/>
                <w:color w:val="auto"/>
              </w:rPr>
            </w:pPr>
          </w:p>
        </w:tc>
        <w:tc>
          <w:tcPr>
            <w:tcW w:w="940" w:type="dxa"/>
            <w:vAlign w:val="bottom"/>
          </w:tcPr>
          <w:p>
            <w:pPr>
              <w:jc w:val="center"/>
              <w:ind w:right="70"/>
              <w:spacing w:after="0" w:line="140" w:lineRule="exact"/>
              <w:rPr>
                <w:sz w:val="20"/>
                <w:szCs w:val="20"/>
                <w:color w:val="auto"/>
              </w:rPr>
            </w:pPr>
            <w:r>
              <w:rPr>
                <w:rFonts w:ascii="Arial" w:cs="Arial" w:eastAsia="Arial" w:hAnsi="Arial"/>
                <w:sz w:val="13"/>
                <w:szCs w:val="13"/>
                <w:b w:val="1"/>
                <w:bCs w:val="1"/>
                <w:color w:val="auto"/>
                <w:w w:val="89"/>
              </w:rPr>
              <w:t>World Fuel</w:t>
            </w:r>
          </w:p>
        </w:tc>
        <w:tc>
          <w:tcPr>
            <w:tcW w:w="220" w:type="dxa"/>
            <w:vAlign w:val="bottom"/>
          </w:tcPr>
          <w:p>
            <w:pPr>
              <w:spacing w:after="0"/>
              <w:rPr>
                <w:sz w:val="12"/>
                <w:szCs w:val="12"/>
                <w:color w:val="auto"/>
              </w:rPr>
            </w:pPr>
          </w:p>
        </w:tc>
        <w:tc>
          <w:tcPr>
            <w:tcW w:w="1020" w:type="dxa"/>
            <w:vAlign w:val="bottom"/>
          </w:tcPr>
          <w:p>
            <w:pPr>
              <w:jc w:val="center"/>
              <w:ind w:right="69"/>
              <w:spacing w:after="0" w:line="140" w:lineRule="exact"/>
              <w:rPr>
                <w:sz w:val="20"/>
                <w:szCs w:val="20"/>
                <w:color w:val="auto"/>
              </w:rPr>
            </w:pPr>
            <w:r>
              <w:rPr>
                <w:rFonts w:ascii="Arial" w:cs="Arial" w:eastAsia="Arial" w:hAnsi="Arial"/>
                <w:sz w:val="13"/>
                <w:szCs w:val="13"/>
                <w:b w:val="1"/>
                <w:bCs w:val="1"/>
                <w:color w:val="auto"/>
                <w:w w:val="86"/>
              </w:rPr>
              <w:t>Noncontrolling</w:t>
            </w: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300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40" w:type="dxa"/>
            <w:vAlign w:val="bottom"/>
          </w:tcPr>
          <w:p>
            <w:pPr>
              <w:spacing w:after="0"/>
              <w:rPr>
                <w:sz w:val="4"/>
                <w:szCs w:val="4"/>
                <w:color w:val="auto"/>
              </w:rPr>
            </w:pPr>
          </w:p>
        </w:tc>
        <w:tc>
          <w:tcPr>
            <w:tcW w:w="800" w:type="dxa"/>
            <w:vAlign w:val="bottom"/>
            <w:vMerge w:val="restart"/>
          </w:tcPr>
          <w:p>
            <w:pPr>
              <w:jc w:val="center"/>
              <w:ind w:right="89"/>
              <w:spacing w:after="0" w:line="131" w:lineRule="exact"/>
              <w:rPr>
                <w:sz w:val="20"/>
                <w:szCs w:val="20"/>
                <w:color w:val="auto"/>
              </w:rPr>
            </w:pPr>
            <w:r>
              <w:rPr>
                <w:rFonts w:ascii="Arial" w:cs="Arial" w:eastAsia="Arial" w:hAnsi="Arial"/>
                <w:sz w:val="13"/>
                <w:szCs w:val="13"/>
                <w:b w:val="1"/>
                <w:bCs w:val="1"/>
                <w:color w:val="auto"/>
                <w:w w:val="79"/>
              </w:rPr>
              <w:t>Excess of</w:t>
            </w:r>
          </w:p>
        </w:tc>
        <w:tc>
          <w:tcPr>
            <w:tcW w:w="200" w:type="dxa"/>
            <w:vAlign w:val="bottom"/>
          </w:tcPr>
          <w:p>
            <w:pPr>
              <w:spacing w:after="0"/>
              <w:rPr>
                <w:sz w:val="4"/>
                <w:szCs w:val="4"/>
                <w:color w:val="auto"/>
              </w:rPr>
            </w:pPr>
          </w:p>
        </w:tc>
        <w:tc>
          <w:tcPr>
            <w:tcW w:w="660" w:type="dxa"/>
            <w:vAlign w:val="bottom"/>
            <w:vMerge w:val="restart"/>
          </w:tcPr>
          <w:p>
            <w:pPr>
              <w:jc w:val="right"/>
              <w:ind w:right="69"/>
              <w:spacing w:after="0" w:line="131" w:lineRule="exact"/>
              <w:rPr>
                <w:sz w:val="20"/>
                <w:szCs w:val="20"/>
                <w:color w:val="auto"/>
              </w:rPr>
            </w:pPr>
            <w:r>
              <w:rPr>
                <w:rFonts w:ascii="Arial" w:cs="Arial" w:eastAsia="Arial" w:hAnsi="Arial"/>
                <w:sz w:val="13"/>
                <w:szCs w:val="13"/>
                <w:b w:val="1"/>
                <w:bCs w:val="1"/>
                <w:color w:val="auto"/>
                <w:w w:val="90"/>
              </w:rPr>
              <w:t>Retained</w:t>
            </w:r>
          </w:p>
        </w:tc>
        <w:tc>
          <w:tcPr>
            <w:tcW w:w="240" w:type="dxa"/>
            <w:vAlign w:val="bottom"/>
          </w:tcPr>
          <w:p>
            <w:pPr>
              <w:spacing w:after="0"/>
              <w:rPr>
                <w:sz w:val="4"/>
                <w:szCs w:val="4"/>
                <w:color w:val="auto"/>
              </w:rPr>
            </w:pPr>
          </w:p>
        </w:tc>
        <w:tc>
          <w:tcPr>
            <w:tcW w:w="1060" w:type="dxa"/>
            <w:vAlign w:val="bottom"/>
            <w:vMerge w:val="restart"/>
          </w:tcPr>
          <w:p>
            <w:pPr>
              <w:jc w:val="center"/>
              <w:ind w:right="70"/>
              <w:spacing w:after="0" w:line="131" w:lineRule="exact"/>
              <w:rPr>
                <w:sz w:val="20"/>
                <w:szCs w:val="20"/>
                <w:color w:val="auto"/>
              </w:rPr>
            </w:pPr>
            <w:r>
              <w:rPr>
                <w:rFonts w:ascii="Arial" w:cs="Arial" w:eastAsia="Arial" w:hAnsi="Arial"/>
                <w:sz w:val="13"/>
                <w:szCs w:val="13"/>
                <w:b w:val="1"/>
                <w:bCs w:val="1"/>
                <w:color w:val="auto"/>
                <w:w w:val="86"/>
              </w:rPr>
              <w:t>Comprehensive</w:t>
            </w:r>
          </w:p>
        </w:tc>
        <w:tc>
          <w:tcPr>
            <w:tcW w:w="220" w:type="dxa"/>
            <w:vAlign w:val="bottom"/>
          </w:tcPr>
          <w:p>
            <w:pPr>
              <w:spacing w:after="0"/>
              <w:rPr>
                <w:sz w:val="4"/>
                <w:szCs w:val="4"/>
                <w:color w:val="auto"/>
              </w:rPr>
            </w:pPr>
          </w:p>
        </w:tc>
        <w:tc>
          <w:tcPr>
            <w:tcW w:w="940" w:type="dxa"/>
            <w:vAlign w:val="bottom"/>
            <w:vMerge w:val="restart"/>
          </w:tcPr>
          <w:p>
            <w:pPr>
              <w:jc w:val="center"/>
              <w:ind w:right="50"/>
              <w:spacing w:after="0" w:line="131" w:lineRule="exact"/>
              <w:rPr>
                <w:sz w:val="20"/>
                <w:szCs w:val="20"/>
                <w:color w:val="auto"/>
              </w:rPr>
            </w:pPr>
            <w:r>
              <w:rPr>
                <w:rFonts w:ascii="Arial" w:cs="Arial" w:eastAsia="Arial" w:hAnsi="Arial"/>
                <w:sz w:val="13"/>
                <w:szCs w:val="13"/>
                <w:b w:val="1"/>
                <w:bCs w:val="1"/>
                <w:color w:val="auto"/>
                <w:w w:val="85"/>
              </w:rPr>
              <w:t>Shareholders'</w:t>
            </w:r>
          </w:p>
        </w:tc>
        <w:tc>
          <w:tcPr>
            <w:tcW w:w="220" w:type="dxa"/>
            <w:vAlign w:val="bottom"/>
          </w:tcPr>
          <w:p>
            <w:pPr>
              <w:spacing w:after="0"/>
              <w:rPr>
                <w:sz w:val="4"/>
                <w:szCs w:val="4"/>
                <w:color w:val="auto"/>
              </w:rPr>
            </w:pPr>
          </w:p>
        </w:tc>
        <w:tc>
          <w:tcPr>
            <w:tcW w:w="1020" w:type="dxa"/>
            <w:vAlign w:val="bottom"/>
            <w:vMerge w:val="restart"/>
          </w:tcPr>
          <w:p>
            <w:pPr>
              <w:jc w:val="center"/>
              <w:ind w:right="89"/>
              <w:spacing w:after="0" w:line="131" w:lineRule="exact"/>
              <w:rPr>
                <w:sz w:val="20"/>
                <w:szCs w:val="20"/>
                <w:color w:val="auto"/>
              </w:rPr>
            </w:pPr>
            <w:r>
              <w:rPr>
                <w:rFonts w:ascii="Arial" w:cs="Arial" w:eastAsia="Arial" w:hAnsi="Arial"/>
                <w:sz w:val="13"/>
                <w:szCs w:val="13"/>
                <w:b w:val="1"/>
                <w:bCs w:val="1"/>
                <w:color w:val="auto"/>
                <w:w w:val="89"/>
              </w:rPr>
              <w:t>Interest</w:t>
            </w:r>
          </w:p>
        </w:tc>
        <w:tc>
          <w:tcPr>
            <w:tcW w:w="24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6"/>
        </w:trPr>
        <w:tc>
          <w:tcPr>
            <w:tcW w:w="300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0" w:type="dxa"/>
            <w:vAlign w:val="bottom"/>
            <w:vMerge w:val="continue"/>
          </w:tcPr>
          <w:p>
            <w:pPr>
              <w:spacing w:after="0"/>
              <w:rPr>
                <w:sz w:val="4"/>
                <w:szCs w:val="4"/>
                <w:color w:val="auto"/>
              </w:rPr>
            </w:pPr>
          </w:p>
        </w:tc>
        <w:tc>
          <w:tcPr>
            <w:tcW w:w="20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106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30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89"/>
              <w:spacing w:after="0"/>
              <w:rPr>
                <w:sz w:val="20"/>
                <w:szCs w:val="20"/>
                <w:color w:val="auto"/>
              </w:rPr>
            </w:pPr>
            <w:r>
              <w:rPr>
                <w:rFonts w:ascii="Arial" w:cs="Arial" w:eastAsia="Arial" w:hAnsi="Arial"/>
                <w:sz w:val="13"/>
                <w:szCs w:val="13"/>
                <w:b w:val="1"/>
                <w:bCs w:val="1"/>
                <w:color w:val="auto"/>
              </w:rPr>
              <w:t>Shares</w:t>
            </w:r>
          </w:p>
        </w:tc>
        <w:tc>
          <w:tcPr>
            <w:tcW w:w="2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49"/>
              <w:spacing w:after="0"/>
              <w:rPr>
                <w:sz w:val="20"/>
                <w:szCs w:val="20"/>
                <w:color w:val="auto"/>
              </w:rPr>
            </w:pPr>
            <w:r>
              <w:rPr>
                <w:rFonts w:ascii="Arial" w:cs="Arial" w:eastAsia="Arial" w:hAnsi="Arial"/>
                <w:sz w:val="13"/>
                <w:szCs w:val="13"/>
                <w:b w:val="1"/>
                <w:bCs w:val="1"/>
                <w:color w:val="auto"/>
                <w:w w:val="85"/>
              </w:rPr>
              <w:t>Amount</w:t>
            </w: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89"/>
              <w:spacing w:after="0"/>
              <w:rPr>
                <w:sz w:val="20"/>
                <w:szCs w:val="20"/>
                <w:color w:val="auto"/>
              </w:rPr>
            </w:pPr>
            <w:r>
              <w:rPr>
                <w:rFonts w:ascii="Arial" w:cs="Arial" w:eastAsia="Arial" w:hAnsi="Arial"/>
                <w:sz w:val="13"/>
                <w:szCs w:val="13"/>
                <w:b w:val="1"/>
                <w:bCs w:val="1"/>
                <w:color w:val="auto"/>
                <w:w w:val="87"/>
              </w:rPr>
              <w:t>Par Value</w:t>
            </w:r>
          </w:p>
        </w:tc>
        <w:tc>
          <w:tcPr>
            <w:tcW w:w="2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69"/>
              <w:spacing w:after="0"/>
              <w:rPr>
                <w:sz w:val="20"/>
                <w:szCs w:val="20"/>
                <w:color w:val="auto"/>
              </w:rPr>
            </w:pPr>
            <w:r>
              <w:rPr>
                <w:rFonts w:ascii="Arial" w:cs="Arial" w:eastAsia="Arial" w:hAnsi="Arial"/>
                <w:sz w:val="13"/>
                <w:szCs w:val="13"/>
                <w:b w:val="1"/>
                <w:bCs w:val="1"/>
                <w:color w:val="auto"/>
                <w:w w:val="89"/>
              </w:rPr>
              <w:t>Earnings</w:t>
            </w:r>
          </w:p>
        </w:tc>
        <w:tc>
          <w:tcPr>
            <w:tcW w:w="24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78"/>
              </w:rPr>
              <w:t>Loss</w:t>
            </w: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90"/>
              </w:rPr>
              <w:t>Equity</w:t>
            </w: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9"/>
              <w:spacing w:after="0"/>
              <w:rPr>
                <w:sz w:val="20"/>
                <w:szCs w:val="20"/>
                <w:color w:val="auto"/>
              </w:rPr>
            </w:pPr>
            <w:r>
              <w:rPr>
                <w:rFonts w:ascii="Arial" w:cs="Arial" w:eastAsia="Arial" w:hAnsi="Arial"/>
                <w:sz w:val="13"/>
                <w:szCs w:val="13"/>
                <w:b w:val="1"/>
                <w:bCs w:val="1"/>
                <w:color w:val="auto"/>
                <w:w w:val="90"/>
              </w:rPr>
              <w:t>Equity</w:t>
            </w:r>
          </w:p>
        </w:tc>
        <w:tc>
          <w:tcPr>
            <w:tcW w:w="2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109"/>
              <w:spacing w:after="0"/>
              <w:rPr>
                <w:sz w:val="20"/>
                <w:szCs w:val="20"/>
                <w:color w:val="auto"/>
              </w:rPr>
            </w:pPr>
            <w:r>
              <w:rPr>
                <w:rFonts w:ascii="Arial" w:cs="Arial" w:eastAsia="Arial" w:hAnsi="Arial"/>
                <w:sz w:val="13"/>
                <w:szCs w:val="13"/>
                <w:b w:val="1"/>
                <w:bCs w:val="1"/>
                <w:color w:val="auto"/>
                <w:w w:val="94"/>
              </w:rPr>
              <w:t>Total Equity</w:t>
            </w:r>
          </w:p>
        </w:tc>
        <w:tc>
          <w:tcPr>
            <w:tcW w:w="0" w:type="dxa"/>
            <w:vAlign w:val="bottom"/>
          </w:tcPr>
          <w:p>
            <w:pPr>
              <w:spacing w:after="0"/>
              <w:rPr>
                <w:sz w:val="1"/>
                <w:szCs w:val="1"/>
                <w:color w:val="auto"/>
              </w:rPr>
            </w:pPr>
          </w:p>
        </w:tc>
      </w:tr>
      <w:tr>
        <w:trPr>
          <w:trHeight w:val="203"/>
        </w:trPr>
        <w:tc>
          <w:tcPr>
            <w:tcW w:w="3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December 31, 2019</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65.2</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0.7</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274.7</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1,761.3</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(146.3)</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1,890.4</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3.5</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1,893.9</w:t>
            </w:r>
          </w:p>
        </w:tc>
        <w:tc>
          <w:tcPr>
            <w:tcW w:w="0" w:type="dxa"/>
            <w:vAlign w:val="bottom"/>
          </w:tcPr>
          <w:p>
            <w:pPr>
              <w:spacing w:after="0"/>
              <w:rPr>
                <w:sz w:val="1"/>
                <w:szCs w:val="1"/>
                <w:color w:val="auto"/>
              </w:rPr>
            </w:pPr>
          </w:p>
        </w:tc>
      </w:tr>
      <w:tr>
        <w:trPr>
          <w:trHeight w:val="157"/>
        </w:trPr>
        <w:tc>
          <w:tcPr>
            <w:tcW w:w="3000" w:type="dxa"/>
            <w:vAlign w:val="bottom"/>
          </w:tcPr>
          <w:p>
            <w:pPr>
              <w:ind w:left="120"/>
              <w:spacing w:after="0" w:line="157" w:lineRule="exact"/>
              <w:rPr>
                <w:sz w:val="20"/>
                <w:szCs w:val="20"/>
                <w:color w:val="auto"/>
              </w:rPr>
            </w:pPr>
            <w:r>
              <w:rPr>
                <w:rFonts w:ascii="Arial" w:cs="Arial" w:eastAsia="Arial" w:hAnsi="Arial"/>
                <w:sz w:val="14"/>
                <w:szCs w:val="14"/>
                <w:color w:val="auto"/>
              </w:rPr>
              <w:t>Cumulative effect of change in accounting</w:t>
            </w: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000" w:type="dxa"/>
            <w:vAlign w:val="bottom"/>
          </w:tcPr>
          <w:p>
            <w:pPr>
              <w:ind w:left="120"/>
              <w:spacing w:after="0"/>
              <w:rPr>
                <w:sz w:val="20"/>
                <w:szCs w:val="20"/>
                <w:color w:val="auto"/>
              </w:rPr>
            </w:pPr>
            <w:r>
              <w:rPr>
                <w:rFonts w:ascii="Arial" w:cs="Arial" w:eastAsia="Arial" w:hAnsi="Arial"/>
                <w:sz w:val="14"/>
                <w:szCs w:val="14"/>
                <w:color w:val="auto"/>
              </w:rPr>
              <w:t>principle</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60" w:type="dxa"/>
            <w:vAlign w:val="bottom"/>
          </w:tcPr>
          <w:p>
            <w:pPr>
              <w:jc w:val="right"/>
              <w:ind w:right="29"/>
              <w:spacing w:after="0"/>
              <w:rPr>
                <w:sz w:val="20"/>
                <w:szCs w:val="20"/>
                <w:color w:val="auto"/>
              </w:rPr>
            </w:pPr>
            <w:r>
              <w:rPr>
                <w:rFonts w:ascii="Arial" w:cs="Arial" w:eastAsia="Arial" w:hAnsi="Arial"/>
                <w:sz w:val="14"/>
                <w:szCs w:val="14"/>
                <w:color w:val="auto"/>
              </w:rPr>
              <w:t>(11.1)</w:t>
            </w:r>
          </w:p>
        </w:tc>
        <w:tc>
          <w:tcPr>
            <w:tcW w:w="240" w:type="dxa"/>
            <w:vAlign w:val="bottom"/>
          </w:tcPr>
          <w:p>
            <w:pPr>
              <w:spacing w:after="0"/>
              <w:rPr>
                <w:sz w:val="16"/>
                <w:szCs w:val="16"/>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(11.1)</w:t>
            </w:r>
          </w:p>
        </w:tc>
        <w:tc>
          <w:tcPr>
            <w:tcW w:w="220" w:type="dxa"/>
            <w:vAlign w:val="bottom"/>
          </w:tcPr>
          <w:p>
            <w:pPr>
              <w:spacing w:after="0"/>
              <w:rPr>
                <w:sz w:val="16"/>
                <w:szCs w:val="16"/>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(11.1)</w:t>
            </w:r>
          </w:p>
        </w:tc>
        <w:tc>
          <w:tcPr>
            <w:tcW w:w="0" w:type="dxa"/>
            <w:vAlign w:val="bottom"/>
          </w:tcPr>
          <w:p>
            <w:pPr>
              <w:spacing w:after="0"/>
              <w:rPr>
                <w:sz w:val="1"/>
                <w:szCs w:val="1"/>
                <w:color w:val="auto"/>
              </w:rPr>
            </w:pPr>
          </w:p>
        </w:tc>
      </w:tr>
      <w:tr>
        <w:trPr>
          <w:trHeight w:val="209"/>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income (loss)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41.4</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41.4</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0.2</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41.6</w:t>
            </w:r>
          </w:p>
        </w:tc>
        <w:tc>
          <w:tcPr>
            <w:tcW w:w="0" w:type="dxa"/>
            <w:vAlign w:val="bottom"/>
          </w:tcPr>
          <w:p>
            <w:pPr>
              <w:spacing w:after="0"/>
              <w:rPr>
                <w:sz w:val="1"/>
                <w:szCs w:val="1"/>
                <w:color w:val="auto"/>
              </w:rPr>
            </w:pPr>
          </w:p>
        </w:tc>
      </w:tr>
      <w:tr>
        <w:trPr>
          <w:trHeight w:val="196"/>
        </w:trPr>
        <w:tc>
          <w:tcPr>
            <w:tcW w:w="3000" w:type="dxa"/>
            <w:vAlign w:val="bottom"/>
          </w:tcPr>
          <w:p>
            <w:pPr>
              <w:ind w:left="120"/>
              <w:spacing w:after="0"/>
              <w:rPr>
                <w:sz w:val="20"/>
                <w:szCs w:val="20"/>
                <w:color w:val="auto"/>
              </w:rPr>
            </w:pPr>
            <w:r>
              <w:rPr>
                <w:rFonts w:ascii="Arial" w:cs="Arial" w:eastAsia="Arial" w:hAnsi="Arial"/>
                <w:sz w:val="14"/>
                <w:szCs w:val="14"/>
                <w:color w:val="auto"/>
              </w:rPr>
              <w:t>Cash dividends declared</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660" w:type="dxa"/>
            <w:vAlign w:val="bottom"/>
          </w:tcPr>
          <w:p>
            <w:pPr>
              <w:jc w:val="right"/>
              <w:ind w:right="29"/>
              <w:spacing w:after="0"/>
              <w:rPr>
                <w:sz w:val="20"/>
                <w:szCs w:val="20"/>
                <w:color w:val="auto"/>
              </w:rPr>
            </w:pPr>
            <w:r>
              <w:rPr>
                <w:rFonts w:ascii="Arial" w:cs="Arial" w:eastAsia="Arial" w:hAnsi="Arial"/>
                <w:sz w:val="14"/>
                <w:szCs w:val="14"/>
                <w:color w:val="auto"/>
              </w:rPr>
              <w:t>(6.5)</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(6.5)</w:t>
            </w:r>
          </w:p>
        </w:tc>
        <w:tc>
          <w:tcPr>
            <w:tcW w:w="220" w:type="dxa"/>
            <w:vAlign w:val="bottom"/>
          </w:tcPr>
          <w:p>
            <w:pPr>
              <w:spacing w:after="0"/>
              <w:rPr>
                <w:sz w:val="17"/>
                <w:szCs w:val="17"/>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(6.5)</w:t>
            </w:r>
          </w:p>
        </w:tc>
        <w:tc>
          <w:tcPr>
            <w:tcW w:w="0" w:type="dxa"/>
            <w:vAlign w:val="bottom"/>
          </w:tcPr>
          <w:p>
            <w:pPr>
              <w:spacing w:after="0"/>
              <w:rPr>
                <w:sz w:val="1"/>
                <w:szCs w:val="1"/>
                <w:color w:val="auto"/>
              </w:rPr>
            </w:pPr>
          </w:p>
        </w:tc>
      </w:tr>
      <w:tr>
        <w:trPr>
          <w:trHeight w:val="209"/>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Amortization of share-based payment awards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(1.8)</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(1.8)</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57"/>
        </w:trPr>
        <w:tc>
          <w:tcPr>
            <w:tcW w:w="3000" w:type="dxa"/>
            <w:vAlign w:val="bottom"/>
          </w:tcPr>
          <w:p>
            <w:pPr>
              <w:ind w:left="120"/>
              <w:spacing w:after="0" w:line="157" w:lineRule="exact"/>
              <w:rPr>
                <w:sz w:val="20"/>
                <w:szCs w:val="20"/>
                <w:color w:val="auto"/>
              </w:rPr>
            </w:pPr>
            <w:r>
              <w:rPr>
                <w:rFonts w:ascii="Arial" w:cs="Arial" w:eastAsia="Arial" w:hAnsi="Arial"/>
                <w:sz w:val="14"/>
                <w:szCs w:val="14"/>
                <w:color w:val="auto"/>
                <w:w w:val="95"/>
              </w:rPr>
              <w:t>Issuance (cancellation) of common stock related</w:t>
            </w: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000" w:type="dxa"/>
            <w:vAlign w:val="bottom"/>
          </w:tcPr>
          <w:p>
            <w:pPr>
              <w:ind w:left="120"/>
              <w:spacing w:after="0"/>
              <w:rPr>
                <w:sz w:val="20"/>
                <w:szCs w:val="20"/>
                <w:color w:val="auto"/>
              </w:rPr>
            </w:pPr>
            <w:r>
              <w:rPr>
                <w:rFonts w:ascii="Arial" w:cs="Arial" w:eastAsia="Arial" w:hAnsi="Arial"/>
                <w:sz w:val="14"/>
                <w:szCs w:val="14"/>
                <w:color w:val="auto"/>
              </w:rPr>
              <w:t>to share-based payment awards</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0.2</w:t>
            </w:r>
          </w:p>
        </w:tc>
        <w:tc>
          <w:tcPr>
            <w:tcW w:w="200" w:type="dxa"/>
            <w:vAlign w:val="bottom"/>
          </w:tcPr>
          <w:p>
            <w:pPr>
              <w:spacing w:after="0"/>
              <w:rPr>
                <w:sz w:val="16"/>
                <w:szCs w:val="16"/>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1.2</w:t>
            </w:r>
          </w:p>
        </w:tc>
        <w:tc>
          <w:tcPr>
            <w:tcW w:w="200" w:type="dxa"/>
            <w:vAlign w:val="bottom"/>
          </w:tcPr>
          <w:p>
            <w:pPr>
              <w:spacing w:after="0"/>
              <w:rPr>
                <w:sz w:val="16"/>
                <w:szCs w:val="16"/>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940" w:type="dxa"/>
            <w:vAlign w:val="bottom"/>
          </w:tcPr>
          <w:p>
            <w:pPr>
              <w:jc w:val="right"/>
              <w:ind w:right="90"/>
              <w:spacing w:after="0"/>
              <w:rPr>
                <w:sz w:val="20"/>
                <w:szCs w:val="20"/>
                <w:color w:val="auto"/>
              </w:rPr>
            </w:pPr>
            <w:r>
              <w:rPr>
                <w:rFonts w:ascii="Arial" w:cs="Arial" w:eastAsia="Arial" w:hAnsi="Arial"/>
                <w:sz w:val="14"/>
                <w:szCs w:val="14"/>
                <w:color w:val="auto"/>
              </w:rPr>
              <w:t>1.2</w:t>
            </w:r>
          </w:p>
        </w:tc>
        <w:tc>
          <w:tcPr>
            <w:tcW w:w="220" w:type="dxa"/>
            <w:vAlign w:val="bottom"/>
          </w:tcPr>
          <w:p>
            <w:pPr>
              <w:spacing w:after="0"/>
              <w:rPr>
                <w:sz w:val="16"/>
                <w:szCs w:val="16"/>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63"/>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Purchases of common stock tendered by</w:t>
            </w:r>
          </w:p>
        </w:tc>
        <w:tc>
          <w:tcPr>
            <w:tcW w:w="6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00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employees to satisfy the required withholding</w:t>
            </w: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taxes related to share-based payment awards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(1.5)</w:t>
            </w: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(1.5)</w:t>
            </w:r>
          </w:p>
        </w:tc>
        <w:tc>
          <w:tcPr>
            <w:tcW w:w="22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97"/>
        </w:trPr>
        <w:tc>
          <w:tcPr>
            <w:tcW w:w="3000" w:type="dxa"/>
            <w:vAlign w:val="bottom"/>
          </w:tcPr>
          <w:p>
            <w:pPr>
              <w:ind w:left="120"/>
              <w:spacing w:after="0"/>
              <w:rPr>
                <w:sz w:val="20"/>
                <w:szCs w:val="20"/>
                <w:color w:val="auto"/>
              </w:rPr>
            </w:pPr>
            <w:r>
              <w:rPr>
                <w:rFonts w:ascii="Arial" w:cs="Arial" w:eastAsia="Arial" w:hAnsi="Arial"/>
                <w:sz w:val="14"/>
                <w:szCs w:val="14"/>
                <w:color w:val="auto"/>
              </w:rPr>
              <w:t>Purchases of common stock</w:t>
            </w:r>
          </w:p>
        </w:tc>
        <w:tc>
          <w:tcPr>
            <w:tcW w:w="680" w:type="dxa"/>
            <w:vAlign w:val="bottom"/>
          </w:tcPr>
          <w:p>
            <w:pPr>
              <w:jc w:val="right"/>
              <w:ind w:right="49"/>
              <w:spacing w:after="0"/>
              <w:rPr>
                <w:sz w:val="20"/>
                <w:szCs w:val="20"/>
                <w:color w:val="auto"/>
              </w:rPr>
            </w:pPr>
            <w:r>
              <w:rPr>
                <w:rFonts w:ascii="Arial" w:cs="Arial" w:eastAsia="Arial" w:hAnsi="Arial"/>
                <w:sz w:val="14"/>
                <w:szCs w:val="14"/>
                <w:color w:val="auto"/>
              </w:rPr>
              <w:t>(2.2)</w:t>
            </w:r>
          </w:p>
        </w:tc>
        <w:tc>
          <w:tcPr>
            <w:tcW w:w="200" w:type="dxa"/>
            <w:vAlign w:val="bottom"/>
          </w:tcPr>
          <w:p>
            <w:pPr>
              <w:spacing w:after="0"/>
              <w:rPr>
                <w:sz w:val="17"/>
                <w:szCs w:val="17"/>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800" w:type="dxa"/>
            <w:vAlign w:val="bottom"/>
          </w:tcPr>
          <w:p>
            <w:pPr>
              <w:jc w:val="right"/>
              <w:ind w:right="49"/>
              <w:spacing w:after="0"/>
              <w:rPr>
                <w:sz w:val="20"/>
                <w:szCs w:val="20"/>
                <w:color w:val="auto"/>
              </w:rPr>
            </w:pPr>
            <w:r>
              <w:rPr>
                <w:rFonts w:ascii="Arial" w:cs="Arial" w:eastAsia="Arial" w:hAnsi="Arial"/>
                <w:sz w:val="14"/>
                <w:szCs w:val="14"/>
                <w:color w:val="auto"/>
              </w:rPr>
              <w:t>(55.6)</w:t>
            </w:r>
          </w:p>
        </w:tc>
        <w:tc>
          <w:tcPr>
            <w:tcW w:w="200" w:type="dxa"/>
            <w:vAlign w:val="bottom"/>
          </w:tcPr>
          <w:p>
            <w:pPr>
              <w:spacing w:after="0"/>
              <w:rPr>
                <w:sz w:val="17"/>
                <w:szCs w:val="17"/>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(55.6)</w:t>
            </w:r>
          </w:p>
        </w:tc>
        <w:tc>
          <w:tcPr>
            <w:tcW w:w="220" w:type="dxa"/>
            <w:vAlign w:val="bottom"/>
          </w:tcPr>
          <w:p>
            <w:pPr>
              <w:spacing w:after="0"/>
              <w:rPr>
                <w:sz w:val="17"/>
                <w:szCs w:val="17"/>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(55.6)</w:t>
            </w:r>
          </w:p>
        </w:tc>
        <w:tc>
          <w:tcPr>
            <w:tcW w:w="0" w:type="dxa"/>
            <w:vAlign w:val="bottom"/>
          </w:tcPr>
          <w:p>
            <w:pPr>
              <w:spacing w:after="0"/>
              <w:rPr>
                <w:sz w:val="1"/>
                <w:szCs w:val="1"/>
                <w:color w:val="auto"/>
              </w:rPr>
            </w:pPr>
          </w:p>
        </w:tc>
      </w:tr>
      <w:tr>
        <w:trPr>
          <w:trHeight w:val="208"/>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Other comprehensive income (loss)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(11.3)</w:t>
            </w: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(11.3)</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(11.3)</w:t>
            </w:r>
          </w:p>
        </w:tc>
        <w:tc>
          <w:tcPr>
            <w:tcW w:w="0" w:type="dxa"/>
            <w:vAlign w:val="bottom"/>
          </w:tcPr>
          <w:p>
            <w:pPr>
              <w:spacing w:after="0"/>
              <w:rPr>
                <w:sz w:val="1"/>
                <w:szCs w:val="1"/>
                <w:color w:val="auto"/>
              </w:rPr>
            </w:pPr>
          </w:p>
        </w:tc>
      </w:tr>
      <w:tr>
        <w:trPr>
          <w:trHeight w:val="197"/>
        </w:trPr>
        <w:tc>
          <w:tcPr>
            <w:tcW w:w="300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Other</w:t>
            </w:r>
          </w:p>
        </w:tc>
        <w:tc>
          <w:tcPr>
            <w:tcW w:w="68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(0.1)</w:t>
            </w:r>
          </w:p>
        </w:tc>
        <w:tc>
          <w:tcPr>
            <w:tcW w:w="2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1.2</w:t>
            </w:r>
          </w:p>
        </w:tc>
        <w:tc>
          <w:tcPr>
            <w:tcW w:w="2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rPr>
              <w:t>1.2</w:t>
            </w:r>
          </w:p>
        </w:tc>
        <w:tc>
          <w:tcPr>
            <w:tcW w:w="2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02"/>
        </w:trPr>
        <w:tc>
          <w:tcPr>
            <w:tcW w:w="3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March 31, 2020</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63.2</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0.6</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218.2</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1,785.1</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(157.5)</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1,846.4</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3.7</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1,850.1</w:t>
            </w:r>
          </w:p>
        </w:tc>
        <w:tc>
          <w:tcPr>
            <w:tcW w:w="0" w:type="dxa"/>
            <w:vAlign w:val="bottom"/>
          </w:tcPr>
          <w:p>
            <w:pPr>
              <w:spacing w:after="0"/>
              <w:rPr>
                <w:sz w:val="1"/>
                <w:szCs w:val="1"/>
                <w:color w:val="auto"/>
              </w:rPr>
            </w:pPr>
          </w:p>
        </w:tc>
      </w:tr>
      <w:tr>
        <w:trPr>
          <w:trHeight w:val="197"/>
        </w:trPr>
        <w:tc>
          <w:tcPr>
            <w:tcW w:w="3000" w:type="dxa"/>
            <w:vAlign w:val="bottom"/>
          </w:tcPr>
          <w:p>
            <w:pPr>
              <w:ind w:left="120"/>
              <w:spacing w:after="0"/>
              <w:rPr>
                <w:sz w:val="20"/>
                <w:szCs w:val="20"/>
                <w:color w:val="auto"/>
              </w:rPr>
            </w:pPr>
            <w:r>
              <w:rPr>
                <w:rFonts w:ascii="Arial" w:cs="Arial" w:eastAsia="Arial" w:hAnsi="Arial"/>
                <w:sz w:val="14"/>
                <w:szCs w:val="14"/>
                <w:color w:val="auto"/>
              </w:rPr>
              <w:t>Net income (loss)</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660" w:type="dxa"/>
            <w:vAlign w:val="bottom"/>
          </w:tcPr>
          <w:p>
            <w:pPr>
              <w:jc w:val="right"/>
              <w:ind w:right="29"/>
              <w:spacing w:after="0"/>
              <w:rPr>
                <w:sz w:val="20"/>
                <w:szCs w:val="20"/>
                <w:color w:val="auto"/>
              </w:rPr>
            </w:pPr>
            <w:r>
              <w:rPr>
                <w:rFonts w:ascii="Arial" w:cs="Arial" w:eastAsia="Arial" w:hAnsi="Arial"/>
                <w:sz w:val="14"/>
                <w:szCs w:val="14"/>
                <w:color w:val="auto"/>
              </w:rPr>
              <w:t>(10.2)</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(10.2)</w:t>
            </w:r>
          </w:p>
        </w:tc>
        <w:tc>
          <w:tcPr>
            <w:tcW w:w="220" w:type="dxa"/>
            <w:vAlign w:val="bottom"/>
          </w:tcPr>
          <w:p>
            <w:pPr>
              <w:spacing w:after="0"/>
              <w:rPr>
                <w:sz w:val="17"/>
                <w:szCs w:val="17"/>
                <w:color w:val="auto"/>
              </w:rPr>
            </w:pPr>
          </w:p>
        </w:tc>
        <w:tc>
          <w:tcPr>
            <w:tcW w:w="1020" w:type="dxa"/>
            <w:vAlign w:val="bottom"/>
          </w:tcPr>
          <w:p>
            <w:pPr>
              <w:jc w:val="right"/>
              <w:ind w:right="29"/>
              <w:spacing w:after="0"/>
              <w:rPr>
                <w:sz w:val="20"/>
                <w:szCs w:val="20"/>
                <w:color w:val="auto"/>
              </w:rPr>
            </w:pPr>
            <w:r>
              <w:rPr>
                <w:rFonts w:ascii="Arial" w:cs="Arial" w:eastAsia="Arial" w:hAnsi="Arial"/>
                <w:sz w:val="14"/>
                <w:szCs w:val="14"/>
                <w:color w:val="auto"/>
              </w:rPr>
              <w:t>(0.4)</w:t>
            </w:r>
          </w:p>
        </w:tc>
        <w:tc>
          <w:tcPr>
            <w:tcW w:w="240" w:type="dxa"/>
            <w:vAlign w:val="bottom"/>
          </w:tcPr>
          <w:p>
            <w:pPr>
              <w:spacing w:after="0"/>
              <w:rPr>
                <w:sz w:val="17"/>
                <w:szCs w:val="17"/>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(10.7)</w:t>
            </w:r>
          </w:p>
        </w:tc>
        <w:tc>
          <w:tcPr>
            <w:tcW w:w="0" w:type="dxa"/>
            <w:vAlign w:val="bottom"/>
          </w:tcPr>
          <w:p>
            <w:pPr>
              <w:spacing w:after="0"/>
              <w:rPr>
                <w:sz w:val="1"/>
                <w:szCs w:val="1"/>
                <w:color w:val="auto"/>
              </w:rPr>
            </w:pPr>
          </w:p>
        </w:tc>
      </w:tr>
      <w:tr>
        <w:trPr>
          <w:trHeight w:val="208"/>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Cash dividends declared</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(6.3)</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(6.3)</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(6.3)</w:t>
            </w:r>
          </w:p>
        </w:tc>
        <w:tc>
          <w:tcPr>
            <w:tcW w:w="0" w:type="dxa"/>
            <w:vAlign w:val="bottom"/>
          </w:tcPr>
          <w:p>
            <w:pPr>
              <w:spacing w:after="0"/>
              <w:rPr>
                <w:sz w:val="1"/>
                <w:szCs w:val="1"/>
                <w:color w:val="auto"/>
              </w:rPr>
            </w:pPr>
          </w:p>
        </w:tc>
      </w:tr>
      <w:tr>
        <w:trPr>
          <w:trHeight w:val="197"/>
        </w:trPr>
        <w:tc>
          <w:tcPr>
            <w:tcW w:w="3000" w:type="dxa"/>
            <w:vAlign w:val="bottom"/>
          </w:tcPr>
          <w:p>
            <w:pPr>
              <w:ind w:left="120"/>
              <w:spacing w:after="0"/>
              <w:rPr>
                <w:sz w:val="20"/>
                <w:szCs w:val="20"/>
                <w:color w:val="auto"/>
              </w:rPr>
            </w:pPr>
            <w:r>
              <w:rPr>
                <w:rFonts w:ascii="Arial" w:cs="Arial" w:eastAsia="Arial" w:hAnsi="Arial"/>
                <w:sz w:val="14"/>
                <w:szCs w:val="14"/>
                <w:color w:val="auto"/>
              </w:rPr>
              <w:t>Amortization of share-based payment awards</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2.3</w:t>
            </w:r>
          </w:p>
        </w:tc>
        <w:tc>
          <w:tcPr>
            <w:tcW w:w="200" w:type="dxa"/>
            <w:vAlign w:val="bottom"/>
          </w:tcPr>
          <w:p>
            <w:pPr>
              <w:spacing w:after="0"/>
              <w:rPr>
                <w:sz w:val="17"/>
                <w:szCs w:val="17"/>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90"/>
              <w:spacing w:after="0"/>
              <w:rPr>
                <w:sz w:val="20"/>
                <w:szCs w:val="20"/>
                <w:color w:val="auto"/>
              </w:rPr>
            </w:pPr>
            <w:r>
              <w:rPr>
                <w:rFonts w:ascii="Arial" w:cs="Arial" w:eastAsia="Arial" w:hAnsi="Arial"/>
                <w:sz w:val="14"/>
                <w:szCs w:val="14"/>
                <w:color w:val="auto"/>
              </w:rPr>
              <w:t>2.3</w:t>
            </w:r>
          </w:p>
        </w:tc>
        <w:tc>
          <w:tcPr>
            <w:tcW w:w="220" w:type="dxa"/>
            <w:vAlign w:val="bottom"/>
          </w:tcPr>
          <w:p>
            <w:pPr>
              <w:spacing w:after="0"/>
              <w:rPr>
                <w:sz w:val="17"/>
                <w:szCs w:val="17"/>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163"/>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w w:val="95"/>
              </w:rPr>
              <w:t>Issuance (cancellation) of common stock related</w:t>
            </w:r>
          </w:p>
        </w:tc>
        <w:tc>
          <w:tcPr>
            <w:tcW w:w="6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to share-based payment awards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0.1</w:t>
            </w:r>
          </w:p>
        </w:tc>
        <w:tc>
          <w:tcPr>
            <w:tcW w:w="20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7"/>
        </w:trPr>
        <w:tc>
          <w:tcPr>
            <w:tcW w:w="3000" w:type="dxa"/>
            <w:vAlign w:val="bottom"/>
          </w:tcPr>
          <w:p>
            <w:pPr>
              <w:ind w:left="120"/>
              <w:spacing w:after="0" w:line="157" w:lineRule="exact"/>
              <w:rPr>
                <w:sz w:val="20"/>
                <w:szCs w:val="20"/>
                <w:color w:val="auto"/>
              </w:rPr>
            </w:pPr>
            <w:r>
              <w:rPr>
                <w:rFonts w:ascii="Arial" w:cs="Arial" w:eastAsia="Arial" w:hAnsi="Arial"/>
                <w:sz w:val="14"/>
                <w:szCs w:val="14"/>
                <w:color w:val="auto"/>
              </w:rPr>
              <w:t>Purchases of common stock tendered by</w:t>
            </w: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3000" w:type="dxa"/>
            <w:vAlign w:val="bottom"/>
          </w:tcPr>
          <w:p>
            <w:pPr>
              <w:ind w:left="120"/>
              <w:spacing w:after="0" w:line="149" w:lineRule="exact"/>
              <w:rPr>
                <w:sz w:val="20"/>
                <w:szCs w:val="20"/>
                <w:color w:val="auto"/>
              </w:rPr>
            </w:pPr>
            <w:r>
              <w:rPr>
                <w:rFonts w:ascii="Arial" w:cs="Arial" w:eastAsia="Arial" w:hAnsi="Arial"/>
                <w:sz w:val="14"/>
                <w:szCs w:val="14"/>
                <w:color w:val="auto"/>
              </w:rPr>
              <w:t>employees to satisfy the required withholding</w:t>
            </w: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3000" w:type="dxa"/>
            <w:vAlign w:val="bottom"/>
          </w:tcPr>
          <w:p>
            <w:pPr>
              <w:ind w:left="120"/>
              <w:spacing w:after="0"/>
              <w:rPr>
                <w:sz w:val="20"/>
                <w:szCs w:val="20"/>
                <w:color w:val="auto"/>
              </w:rPr>
            </w:pPr>
            <w:r>
              <w:rPr>
                <w:rFonts w:ascii="Arial" w:cs="Arial" w:eastAsia="Arial" w:hAnsi="Arial"/>
                <w:sz w:val="14"/>
                <w:szCs w:val="14"/>
                <w:color w:val="auto"/>
              </w:rPr>
              <w:t>taxes related to share-based payment awards</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800" w:type="dxa"/>
            <w:vAlign w:val="bottom"/>
          </w:tcPr>
          <w:p>
            <w:pPr>
              <w:jc w:val="right"/>
              <w:ind w:right="49"/>
              <w:spacing w:after="0"/>
              <w:rPr>
                <w:sz w:val="20"/>
                <w:szCs w:val="20"/>
                <w:color w:val="auto"/>
              </w:rPr>
            </w:pPr>
            <w:r>
              <w:rPr>
                <w:rFonts w:ascii="Arial" w:cs="Arial" w:eastAsia="Arial" w:hAnsi="Arial"/>
                <w:sz w:val="14"/>
                <w:szCs w:val="14"/>
                <w:color w:val="auto"/>
              </w:rPr>
              <w:t>(1.2)</w:t>
            </w:r>
          </w:p>
        </w:tc>
        <w:tc>
          <w:tcPr>
            <w:tcW w:w="200" w:type="dxa"/>
            <w:vAlign w:val="bottom"/>
          </w:tcPr>
          <w:p>
            <w:pPr>
              <w:spacing w:after="0"/>
              <w:rPr>
                <w:sz w:val="16"/>
                <w:szCs w:val="16"/>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(1.2)</w:t>
            </w:r>
          </w:p>
        </w:tc>
        <w:tc>
          <w:tcPr>
            <w:tcW w:w="220" w:type="dxa"/>
            <w:vAlign w:val="bottom"/>
          </w:tcPr>
          <w:p>
            <w:pPr>
              <w:spacing w:after="0"/>
              <w:rPr>
                <w:sz w:val="16"/>
                <w:szCs w:val="16"/>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03"/>
        </w:trPr>
        <w:tc>
          <w:tcPr>
            <w:tcW w:w="300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Other comprehensive income (loss)</w:t>
            </w:r>
          </w:p>
        </w:tc>
        <w:tc>
          <w:tcPr>
            <w:tcW w:w="68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(16.0)</w:t>
            </w: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(16.0)</w:t>
            </w:r>
          </w:p>
        </w:tc>
        <w:tc>
          <w:tcPr>
            <w:tcW w:w="2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(16.0)</w:t>
            </w:r>
          </w:p>
        </w:tc>
        <w:tc>
          <w:tcPr>
            <w:tcW w:w="0" w:type="dxa"/>
            <w:vAlign w:val="bottom"/>
          </w:tcPr>
          <w:p>
            <w:pPr>
              <w:spacing w:after="0"/>
              <w:rPr>
                <w:sz w:val="1"/>
                <w:szCs w:val="1"/>
                <w:color w:val="auto"/>
              </w:rPr>
            </w:pPr>
          </w:p>
        </w:tc>
      </w:tr>
      <w:tr>
        <w:trPr>
          <w:trHeight w:val="196"/>
        </w:trPr>
        <w:tc>
          <w:tcPr>
            <w:tcW w:w="30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Balance as of June 30, 2020</w:t>
            </w:r>
          </w:p>
        </w:tc>
        <w:tc>
          <w:tcPr>
            <w:tcW w:w="68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63.3</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0.6</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219.3</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1,768.6</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(173.5)</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rPr>
              <w:t>1,815.0</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3.3</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1,818.3</w:t>
            </w:r>
          </w:p>
        </w:tc>
        <w:tc>
          <w:tcPr>
            <w:tcW w:w="0" w:type="dxa"/>
            <w:vAlign w:val="bottom"/>
          </w:tcPr>
          <w:p>
            <w:pPr>
              <w:spacing w:after="0"/>
              <w:rPr>
                <w:sz w:val="1"/>
                <w:szCs w:val="1"/>
                <w:color w:val="auto"/>
              </w:rPr>
            </w:pPr>
          </w:p>
        </w:tc>
      </w:tr>
      <w:tr>
        <w:trPr>
          <w:trHeight w:val="27"/>
        </w:trPr>
        <w:tc>
          <w:tcPr>
            <w:tcW w:w="30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891" w:right="39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149"/>
        </w:trPr>
        <w:tc>
          <w:tcPr>
            <w:tcW w:w="30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tcPr>
          <w:p>
            <w:pPr>
              <w:jc w:val="center"/>
              <w:ind w:right="70"/>
              <w:spacing w:after="0"/>
              <w:rPr>
                <w:sz w:val="20"/>
                <w:szCs w:val="20"/>
                <w:color w:val="auto"/>
              </w:rPr>
            </w:pPr>
            <w:r>
              <w:rPr>
                <w:rFonts w:ascii="Arial" w:cs="Arial" w:eastAsia="Arial" w:hAnsi="Arial"/>
                <w:sz w:val="13"/>
                <w:szCs w:val="13"/>
                <w:b w:val="1"/>
                <w:bCs w:val="1"/>
                <w:color w:val="auto"/>
                <w:w w:val="88"/>
              </w:rPr>
              <w:t>Accumulated</w:t>
            </w:r>
          </w:p>
        </w:tc>
        <w:tc>
          <w:tcPr>
            <w:tcW w:w="220" w:type="dxa"/>
            <w:vAlign w:val="bottom"/>
          </w:tcPr>
          <w:p>
            <w:pPr>
              <w:spacing w:after="0"/>
              <w:rPr>
                <w:sz w:val="13"/>
                <w:szCs w:val="13"/>
                <w:color w:val="auto"/>
              </w:rPr>
            </w:pPr>
          </w:p>
        </w:tc>
        <w:tc>
          <w:tcPr>
            <w:tcW w:w="940" w:type="dxa"/>
            <w:vAlign w:val="bottom"/>
          </w:tcPr>
          <w:p>
            <w:pPr>
              <w:jc w:val="center"/>
              <w:ind w:right="70"/>
              <w:spacing w:after="0"/>
              <w:rPr>
                <w:sz w:val="20"/>
                <w:szCs w:val="20"/>
                <w:color w:val="auto"/>
              </w:rPr>
            </w:pPr>
            <w:r>
              <w:rPr>
                <w:rFonts w:ascii="Arial" w:cs="Arial" w:eastAsia="Arial" w:hAnsi="Arial"/>
                <w:sz w:val="13"/>
                <w:szCs w:val="13"/>
                <w:b w:val="1"/>
                <w:bCs w:val="1"/>
                <w:color w:val="auto"/>
                <w:w w:val="89"/>
              </w:rPr>
              <w:t>Total</w:t>
            </w: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0"/>
        </w:trPr>
        <w:tc>
          <w:tcPr>
            <w:tcW w:w="3000" w:type="dxa"/>
            <w:vAlign w:val="bottom"/>
          </w:tcPr>
          <w:p>
            <w:pPr>
              <w:spacing w:after="0"/>
              <w:rPr>
                <w:sz w:val="12"/>
                <w:szCs w:val="12"/>
                <w:color w:val="auto"/>
              </w:rPr>
            </w:pPr>
          </w:p>
        </w:tc>
        <w:tc>
          <w:tcPr>
            <w:tcW w:w="1440" w:type="dxa"/>
            <w:vAlign w:val="bottom"/>
            <w:gridSpan w:val="3"/>
          </w:tcPr>
          <w:p>
            <w:pPr>
              <w:jc w:val="right"/>
              <w:ind w:right="229"/>
              <w:spacing w:after="0" w:line="140" w:lineRule="exact"/>
              <w:rPr>
                <w:sz w:val="20"/>
                <w:szCs w:val="20"/>
                <w:color w:val="auto"/>
              </w:rPr>
            </w:pPr>
            <w:r>
              <w:rPr>
                <w:rFonts w:ascii="Arial" w:cs="Arial" w:eastAsia="Arial" w:hAnsi="Arial"/>
                <w:sz w:val="13"/>
                <w:szCs w:val="13"/>
                <w:b w:val="1"/>
                <w:bCs w:val="1"/>
                <w:color w:val="auto"/>
              </w:rPr>
              <w:t>Common Stock</w:t>
            </w:r>
          </w:p>
        </w:tc>
        <w:tc>
          <w:tcPr>
            <w:tcW w:w="240" w:type="dxa"/>
            <w:vAlign w:val="bottom"/>
          </w:tcPr>
          <w:p>
            <w:pPr>
              <w:spacing w:after="0"/>
              <w:rPr>
                <w:sz w:val="12"/>
                <w:szCs w:val="12"/>
                <w:color w:val="auto"/>
              </w:rPr>
            </w:pPr>
          </w:p>
        </w:tc>
        <w:tc>
          <w:tcPr>
            <w:tcW w:w="800" w:type="dxa"/>
            <w:vAlign w:val="bottom"/>
          </w:tcPr>
          <w:p>
            <w:pPr>
              <w:jc w:val="center"/>
              <w:ind w:right="69"/>
              <w:spacing w:after="0" w:line="140" w:lineRule="exact"/>
              <w:rPr>
                <w:sz w:val="20"/>
                <w:szCs w:val="20"/>
                <w:color w:val="auto"/>
              </w:rPr>
            </w:pPr>
            <w:r>
              <w:rPr>
                <w:rFonts w:ascii="Arial" w:cs="Arial" w:eastAsia="Arial" w:hAnsi="Arial"/>
                <w:sz w:val="13"/>
                <w:szCs w:val="13"/>
                <w:b w:val="1"/>
                <w:bCs w:val="1"/>
                <w:color w:val="auto"/>
                <w:w w:val="92"/>
              </w:rPr>
              <w:t>Capital in</w:t>
            </w: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tcPr>
          <w:p>
            <w:pPr>
              <w:jc w:val="center"/>
              <w:ind w:right="70"/>
              <w:spacing w:after="0" w:line="140" w:lineRule="exact"/>
              <w:rPr>
                <w:sz w:val="20"/>
                <w:szCs w:val="20"/>
                <w:color w:val="auto"/>
              </w:rPr>
            </w:pPr>
            <w:r>
              <w:rPr>
                <w:rFonts w:ascii="Arial" w:cs="Arial" w:eastAsia="Arial" w:hAnsi="Arial"/>
                <w:sz w:val="13"/>
                <w:szCs w:val="13"/>
                <w:b w:val="1"/>
                <w:bCs w:val="1"/>
                <w:color w:val="auto"/>
                <w:w w:val="92"/>
              </w:rPr>
              <w:t>Other</w:t>
            </w:r>
          </w:p>
        </w:tc>
        <w:tc>
          <w:tcPr>
            <w:tcW w:w="220" w:type="dxa"/>
            <w:vAlign w:val="bottom"/>
          </w:tcPr>
          <w:p>
            <w:pPr>
              <w:spacing w:after="0"/>
              <w:rPr>
                <w:sz w:val="12"/>
                <w:szCs w:val="12"/>
                <w:color w:val="auto"/>
              </w:rPr>
            </w:pPr>
          </w:p>
        </w:tc>
        <w:tc>
          <w:tcPr>
            <w:tcW w:w="940" w:type="dxa"/>
            <w:vAlign w:val="bottom"/>
          </w:tcPr>
          <w:p>
            <w:pPr>
              <w:jc w:val="center"/>
              <w:ind w:right="70"/>
              <w:spacing w:after="0" w:line="140" w:lineRule="exact"/>
              <w:rPr>
                <w:sz w:val="20"/>
                <w:szCs w:val="20"/>
                <w:color w:val="auto"/>
              </w:rPr>
            </w:pPr>
            <w:r>
              <w:rPr>
                <w:rFonts w:ascii="Arial" w:cs="Arial" w:eastAsia="Arial" w:hAnsi="Arial"/>
                <w:sz w:val="13"/>
                <w:szCs w:val="13"/>
                <w:b w:val="1"/>
                <w:bCs w:val="1"/>
                <w:color w:val="auto"/>
                <w:w w:val="89"/>
              </w:rPr>
              <w:t>World Fuel</w:t>
            </w:r>
          </w:p>
        </w:tc>
        <w:tc>
          <w:tcPr>
            <w:tcW w:w="220" w:type="dxa"/>
            <w:vAlign w:val="bottom"/>
          </w:tcPr>
          <w:p>
            <w:pPr>
              <w:spacing w:after="0"/>
              <w:rPr>
                <w:sz w:val="12"/>
                <w:szCs w:val="12"/>
                <w:color w:val="auto"/>
              </w:rPr>
            </w:pPr>
          </w:p>
        </w:tc>
        <w:tc>
          <w:tcPr>
            <w:tcW w:w="1020" w:type="dxa"/>
            <w:vAlign w:val="bottom"/>
          </w:tcPr>
          <w:p>
            <w:pPr>
              <w:jc w:val="center"/>
              <w:ind w:right="69"/>
              <w:spacing w:after="0" w:line="140" w:lineRule="exact"/>
              <w:rPr>
                <w:sz w:val="20"/>
                <w:szCs w:val="20"/>
                <w:color w:val="auto"/>
              </w:rPr>
            </w:pPr>
            <w:r>
              <w:rPr>
                <w:rFonts w:ascii="Arial" w:cs="Arial" w:eastAsia="Arial" w:hAnsi="Arial"/>
                <w:sz w:val="13"/>
                <w:szCs w:val="13"/>
                <w:b w:val="1"/>
                <w:bCs w:val="1"/>
                <w:color w:val="auto"/>
                <w:w w:val="86"/>
              </w:rPr>
              <w:t>Noncontrolling</w:t>
            </w: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300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40" w:type="dxa"/>
            <w:vAlign w:val="bottom"/>
          </w:tcPr>
          <w:p>
            <w:pPr>
              <w:spacing w:after="0"/>
              <w:rPr>
                <w:sz w:val="4"/>
                <w:szCs w:val="4"/>
                <w:color w:val="auto"/>
              </w:rPr>
            </w:pPr>
          </w:p>
        </w:tc>
        <w:tc>
          <w:tcPr>
            <w:tcW w:w="800" w:type="dxa"/>
            <w:vAlign w:val="bottom"/>
            <w:vMerge w:val="restart"/>
          </w:tcPr>
          <w:p>
            <w:pPr>
              <w:jc w:val="center"/>
              <w:ind w:right="89"/>
              <w:spacing w:after="0" w:line="131" w:lineRule="exact"/>
              <w:rPr>
                <w:sz w:val="20"/>
                <w:szCs w:val="20"/>
                <w:color w:val="auto"/>
              </w:rPr>
            </w:pPr>
            <w:r>
              <w:rPr>
                <w:rFonts w:ascii="Arial" w:cs="Arial" w:eastAsia="Arial" w:hAnsi="Arial"/>
                <w:sz w:val="13"/>
                <w:szCs w:val="13"/>
                <w:b w:val="1"/>
                <w:bCs w:val="1"/>
                <w:color w:val="auto"/>
                <w:w w:val="79"/>
              </w:rPr>
              <w:t>Excess of</w:t>
            </w:r>
          </w:p>
        </w:tc>
        <w:tc>
          <w:tcPr>
            <w:tcW w:w="200" w:type="dxa"/>
            <w:vAlign w:val="bottom"/>
          </w:tcPr>
          <w:p>
            <w:pPr>
              <w:spacing w:after="0"/>
              <w:rPr>
                <w:sz w:val="4"/>
                <w:szCs w:val="4"/>
                <w:color w:val="auto"/>
              </w:rPr>
            </w:pPr>
          </w:p>
        </w:tc>
        <w:tc>
          <w:tcPr>
            <w:tcW w:w="660" w:type="dxa"/>
            <w:vAlign w:val="bottom"/>
            <w:vMerge w:val="restart"/>
          </w:tcPr>
          <w:p>
            <w:pPr>
              <w:jc w:val="right"/>
              <w:ind w:right="69"/>
              <w:spacing w:after="0" w:line="131" w:lineRule="exact"/>
              <w:rPr>
                <w:sz w:val="20"/>
                <w:szCs w:val="20"/>
                <w:color w:val="auto"/>
              </w:rPr>
            </w:pPr>
            <w:r>
              <w:rPr>
                <w:rFonts w:ascii="Arial" w:cs="Arial" w:eastAsia="Arial" w:hAnsi="Arial"/>
                <w:sz w:val="13"/>
                <w:szCs w:val="13"/>
                <w:b w:val="1"/>
                <w:bCs w:val="1"/>
                <w:color w:val="auto"/>
                <w:w w:val="90"/>
              </w:rPr>
              <w:t>Retained</w:t>
            </w:r>
          </w:p>
        </w:tc>
        <w:tc>
          <w:tcPr>
            <w:tcW w:w="240" w:type="dxa"/>
            <w:vAlign w:val="bottom"/>
          </w:tcPr>
          <w:p>
            <w:pPr>
              <w:spacing w:after="0"/>
              <w:rPr>
                <w:sz w:val="4"/>
                <w:szCs w:val="4"/>
                <w:color w:val="auto"/>
              </w:rPr>
            </w:pPr>
          </w:p>
        </w:tc>
        <w:tc>
          <w:tcPr>
            <w:tcW w:w="1060" w:type="dxa"/>
            <w:vAlign w:val="bottom"/>
            <w:vMerge w:val="restart"/>
          </w:tcPr>
          <w:p>
            <w:pPr>
              <w:jc w:val="center"/>
              <w:ind w:right="70"/>
              <w:spacing w:after="0" w:line="131" w:lineRule="exact"/>
              <w:rPr>
                <w:sz w:val="20"/>
                <w:szCs w:val="20"/>
                <w:color w:val="auto"/>
              </w:rPr>
            </w:pPr>
            <w:r>
              <w:rPr>
                <w:rFonts w:ascii="Arial" w:cs="Arial" w:eastAsia="Arial" w:hAnsi="Arial"/>
                <w:sz w:val="13"/>
                <w:szCs w:val="13"/>
                <w:b w:val="1"/>
                <w:bCs w:val="1"/>
                <w:color w:val="auto"/>
                <w:w w:val="86"/>
              </w:rPr>
              <w:t>Comprehensive</w:t>
            </w:r>
          </w:p>
        </w:tc>
        <w:tc>
          <w:tcPr>
            <w:tcW w:w="220" w:type="dxa"/>
            <w:vAlign w:val="bottom"/>
          </w:tcPr>
          <w:p>
            <w:pPr>
              <w:spacing w:after="0"/>
              <w:rPr>
                <w:sz w:val="4"/>
                <w:szCs w:val="4"/>
                <w:color w:val="auto"/>
              </w:rPr>
            </w:pPr>
          </w:p>
        </w:tc>
        <w:tc>
          <w:tcPr>
            <w:tcW w:w="940" w:type="dxa"/>
            <w:vAlign w:val="bottom"/>
            <w:vMerge w:val="restart"/>
          </w:tcPr>
          <w:p>
            <w:pPr>
              <w:jc w:val="center"/>
              <w:ind w:right="50"/>
              <w:spacing w:after="0" w:line="131" w:lineRule="exact"/>
              <w:rPr>
                <w:sz w:val="20"/>
                <w:szCs w:val="20"/>
                <w:color w:val="auto"/>
              </w:rPr>
            </w:pPr>
            <w:r>
              <w:rPr>
                <w:rFonts w:ascii="Arial" w:cs="Arial" w:eastAsia="Arial" w:hAnsi="Arial"/>
                <w:sz w:val="13"/>
                <w:szCs w:val="13"/>
                <w:b w:val="1"/>
                <w:bCs w:val="1"/>
                <w:color w:val="auto"/>
                <w:w w:val="85"/>
              </w:rPr>
              <w:t>Shareholders'</w:t>
            </w:r>
          </w:p>
        </w:tc>
        <w:tc>
          <w:tcPr>
            <w:tcW w:w="220" w:type="dxa"/>
            <w:vAlign w:val="bottom"/>
          </w:tcPr>
          <w:p>
            <w:pPr>
              <w:spacing w:after="0"/>
              <w:rPr>
                <w:sz w:val="4"/>
                <w:szCs w:val="4"/>
                <w:color w:val="auto"/>
              </w:rPr>
            </w:pPr>
          </w:p>
        </w:tc>
        <w:tc>
          <w:tcPr>
            <w:tcW w:w="1020" w:type="dxa"/>
            <w:vAlign w:val="bottom"/>
            <w:vMerge w:val="restart"/>
          </w:tcPr>
          <w:p>
            <w:pPr>
              <w:jc w:val="center"/>
              <w:ind w:right="89"/>
              <w:spacing w:after="0" w:line="131" w:lineRule="exact"/>
              <w:rPr>
                <w:sz w:val="20"/>
                <w:szCs w:val="20"/>
                <w:color w:val="auto"/>
              </w:rPr>
            </w:pPr>
            <w:r>
              <w:rPr>
                <w:rFonts w:ascii="Arial" w:cs="Arial" w:eastAsia="Arial" w:hAnsi="Arial"/>
                <w:sz w:val="13"/>
                <w:szCs w:val="13"/>
                <w:b w:val="1"/>
                <w:bCs w:val="1"/>
                <w:color w:val="auto"/>
                <w:w w:val="89"/>
              </w:rPr>
              <w:t>Interest</w:t>
            </w:r>
          </w:p>
        </w:tc>
        <w:tc>
          <w:tcPr>
            <w:tcW w:w="24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6"/>
        </w:trPr>
        <w:tc>
          <w:tcPr>
            <w:tcW w:w="300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0" w:type="dxa"/>
            <w:vAlign w:val="bottom"/>
            <w:vMerge w:val="continue"/>
          </w:tcPr>
          <w:p>
            <w:pPr>
              <w:spacing w:after="0"/>
              <w:rPr>
                <w:sz w:val="4"/>
                <w:szCs w:val="4"/>
                <w:color w:val="auto"/>
              </w:rPr>
            </w:pPr>
          </w:p>
        </w:tc>
        <w:tc>
          <w:tcPr>
            <w:tcW w:w="20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106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30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89"/>
              <w:spacing w:after="0"/>
              <w:rPr>
                <w:sz w:val="20"/>
                <w:szCs w:val="20"/>
                <w:color w:val="auto"/>
              </w:rPr>
            </w:pPr>
            <w:r>
              <w:rPr>
                <w:rFonts w:ascii="Arial" w:cs="Arial" w:eastAsia="Arial" w:hAnsi="Arial"/>
                <w:sz w:val="13"/>
                <w:szCs w:val="13"/>
                <w:b w:val="1"/>
                <w:bCs w:val="1"/>
                <w:color w:val="auto"/>
              </w:rPr>
              <w:t>Shares</w:t>
            </w:r>
          </w:p>
        </w:tc>
        <w:tc>
          <w:tcPr>
            <w:tcW w:w="2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49"/>
              <w:spacing w:after="0"/>
              <w:rPr>
                <w:sz w:val="20"/>
                <w:szCs w:val="20"/>
                <w:color w:val="auto"/>
              </w:rPr>
            </w:pPr>
            <w:r>
              <w:rPr>
                <w:rFonts w:ascii="Arial" w:cs="Arial" w:eastAsia="Arial" w:hAnsi="Arial"/>
                <w:sz w:val="13"/>
                <w:szCs w:val="13"/>
                <w:b w:val="1"/>
                <w:bCs w:val="1"/>
                <w:color w:val="auto"/>
                <w:w w:val="85"/>
              </w:rPr>
              <w:t>Amount</w:t>
            </w:r>
          </w:p>
        </w:tc>
        <w:tc>
          <w:tcPr>
            <w:tcW w:w="24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center"/>
              <w:ind w:right="89"/>
              <w:spacing w:after="0"/>
              <w:rPr>
                <w:sz w:val="20"/>
                <w:szCs w:val="20"/>
                <w:color w:val="auto"/>
              </w:rPr>
            </w:pPr>
            <w:r>
              <w:rPr>
                <w:rFonts w:ascii="Arial" w:cs="Arial" w:eastAsia="Arial" w:hAnsi="Arial"/>
                <w:sz w:val="13"/>
                <w:szCs w:val="13"/>
                <w:b w:val="1"/>
                <w:bCs w:val="1"/>
                <w:color w:val="auto"/>
                <w:w w:val="87"/>
              </w:rPr>
              <w:t>Par Value</w:t>
            </w:r>
          </w:p>
        </w:tc>
        <w:tc>
          <w:tcPr>
            <w:tcW w:w="2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69"/>
              <w:spacing w:after="0"/>
              <w:rPr>
                <w:sz w:val="20"/>
                <w:szCs w:val="20"/>
                <w:color w:val="auto"/>
              </w:rPr>
            </w:pPr>
            <w:r>
              <w:rPr>
                <w:rFonts w:ascii="Arial" w:cs="Arial" w:eastAsia="Arial" w:hAnsi="Arial"/>
                <w:sz w:val="13"/>
                <w:szCs w:val="13"/>
                <w:b w:val="1"/>
                <w:bCs w:val="1"/>
                <w:color w:val="auto"/>
                <w:w w:val="89"/>
              </w:rPr>
              <w:t>Earnings</w:t>
            </w:r>
          </w:p>
        </w:tc>
        <w:tc>
          <w:tcPr>
            <w:tcW w:w="24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78"/>
              </w:rPr>
              <w:t>Loss</w:t>
            </w: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70"/>
              <w:spacing w:after="0"/>
              <w:rPr>
                <w:sz w:val="20"/>
                <w:szCs w:val="20"/>
                <w:color w:val="auto"/>
              </w:rPr>
            </w:pPr>
            <w:r>
              <w:rPr>
                <w:rFonts w:ascii="Arial" w:cs="Arial" w:eastAsia="Arial" w:hAnsi="Arial"/>
                <w:sz w:val="13"/>
                <w:szCs w:val="13"/>
                <w:b w:val="1"/>
                <w:bCs w:val="1"/>
                <w:color w:val="auto"/>
                <w:w w:val="90"/>
              </w:rPr>
              <w:t>Equity</w:t>
            </w:r>
          </w:p>
        </w:tc>
        <w:tc>
          <w:tcPr>
            <w:tcW w:w="2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69"/>
              <w:spacing w:after="0"/>
              <w:rPr>
                <w:sz w:val="20"/>
                <w:szCs w:val="20"/>
                <w:color w:val="auto"/>
              </w:rPr>
            </w:pPr>
            <w:r>
              <w:rPr>
                <w:rFonts w:ascii="Arial" w:cs="Arial" w:eastAsia="Arial" w:hAnsi="Arial"/>
                <w:sz w:val="13"/>
                <w:szCs w:val="13"/>
                <w:b w:val="1"/>
                <w:bCs w:val="1"/>
                <w:color w:val="auto"/>
                <w:w w:val="90"/>
              </w:rPr>
              <w:t>Equity</w:t>
            </w:r>
          </w:p>
        </w:tc>
        <w:tc>
          <w:tcPr>
            <w:tcW w:w="2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109"/>
              <w:spacing w:after="0"/>
              <w:rPr>
                <w:sz w:val="20"/>
                <w:szCs w:val="20"/>
                <w:color w:val="auto"/>
              </w:rPr>
            </w:pPr>
            <w:r>
              <w:rPr>
                <w:rFonts w:ascii="Arial" w:cs="Arial" w:eastAsia="Arial" w:hAnsi="Arial"/>
                <w:sz w:val="13"/>
                <w:szCs w:val="13"/>
                <w:b w:val="1"/>
                <w:bCs w:val="1"/>
                <w:color w:val="auto"/>
                <w:w w:val="94"/>
              </w:rPr>
              <w:t>Total Equity</w:t>
            </w:r>
          </w:p>
        </w:tc>
        <w:tc>
          <w:tcPr>
            <w:tcW w:w="0" w:type="dxa"/>
            <w:vAlign w:val="bottom"/>
          </w:tcPr>
          <w:p>
            <w:pPr>
              <w:spacing w:after="0"/>
              <w:rPr>
                <w:sz w:val="1"/>
                <w:szCs w:val="1"/>
                <w:color w:val="auto"/>
              </w:rPr>
            </w:pPr>
          </w:p>
        </w:tc>
      </w:tr>
      <w:tr>
        <w:trPr>
          <w:trHeight w:val="203"/>
        </w:trPr>
        <w:tc>
          <w:tcPr>
            <w:tcW w:w="3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December 31, 2018</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67.0</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0.7</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340.4</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1,606.1</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(131.7)</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1,815.4</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16.1</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1,831.6</w:t>
            </w:r>
          </w:p>
        </w:tc>
        <w:tc>
          <w:tcPr>
            <w:tcW w:w="0" w:type="dxa"/>
            <w:vAlign w:val="bottom"/>
          </w:tcPr>
          <w:p>
            <w:pPr>
              <w:spacing w:after="0"/>
              <w:rPr>
                <w:sz w:val="1"/>
                <w:szCs w:val="1"/>
                <w:color w:val="auto"/>
              </w:rPr>
            </w:pPr>
          </w:p>
        </w:tc>
      </w:tr>
      <w:tr>
        <w:trPr>
          <w:trHeight w:val="197"/>
        </w:trPr>
        <w:tc>
          <w:tcPr>
            <w:tcW w:w="3000" w:type="dxa"/>
            <w:vAlign w:val="bottom"/>
          </w:tcPr>
          <w:p>
            <w:pPr>
              <w:ind w:left="120"/>
              <w:spacing w:after="0"/>
              <w:rPr>
                <w:sz w:val="20"/>
                <w:szCs w:val="20"/>
                <w:color w:val="auto"/>
              </w:rPr>
            </w:pPr>
            <w:r>
              <w:rPr>
                <w:rFonts w:ascii="Arial" w:cs="Arial" w:eastAsia="Arial" w:hAnsi="Arial"/>
                <w:sz w:val="14"/>
                <w:szCs w:val="14"/>
                <w:color w:val="auto"/>
              </w:rPr>
              <w:t>Net income</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37.2</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90"/>
              <w:spacing w:after="0"/>
              <w:rPr>
                <w:sz w:val="20"/>
                <w:szCs w:val="20"/>
                <w:color w:val="auto"/>
              </w:rPr>
            </w:pPr>
            <w:r>
              <w:rPr>
                <w:rFonts w:ascii="Arial" w:cs="Arial" w:eastAsia="Arial" w:hAnsi="Arial"/>
                <w:sz w:val="14"/>
                <w:szCs w:val="14"/>
                <w:color w:val="auto"/>
              </w:rPr>
              <w:t>37.2</w:t>
            </w:r>
          </w:p>
        </w:tc>
        <w:tc>
          <w:tcPr>
            <w:tcW w:w="220" w:type="dxa"/>
            <w:vAlign w:val="bottom"/>
          </w:tcPr>
          <w:p>
            <w:pPr>
              <w:spacing w:after="0"/>
              <w:rPr>
                <w:sz w:val="17"/>
                <w:szCs w:val="17"/>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0.1</w:t>
            </w:r>
          </w:p>
        </w:tc>
        <w:tc>
          <w:tcPr>
            <w:tcW w:w="240" w:type="dxa"/>
            <w:vAlign w:val="bottom"/>
          </w:tcPr>
          <w:p>
            <w:pPr>
              <w:spacing w:after="0"/>
              <w:rPr>
                <w:sz w:val="17"/>
                <w:szCs w:val="17"/>
                <w:color w:val="auto"/>
              </w:rPr>
            </w:pP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37.3</w:t>
            </w:r>
          </w:p>
        </w:tc>
        <w:tc>
          <w:tcPr>
            <w:tcW w:w="0" w:type="dxa"/>
            <w:vAlign w:val="bottom"/>
          </w:tcPr>
          <w:p>
            <w:pPr>
              <w:spacing w:after="0"/>
              <w:rPr>
                <w:sz w:val="1"/>
                <w:szCs w:val="1"/>
                <w:color w:val="auto"/>
              </w:rPr>
            </w:pPr>
          </w:p>
        </w:tc>
      </w:tr>
      <w:tr>
        <w:trPr>
          <w:trHeight w:val="208"/>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Cash dividends declared</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(4.0)</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(4.0)</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(4.0)</w:t>
            </w:r>
          </w:p>
        </w:tc>
        <w:tc>
          <w:tcPr>
            <w:tcW w:w="0" w:type="dxa"/>
            <w:vAlign w:val="bottom"/>
          </w:tcPr>
          <w:p>
            <w:pPr>
              <w:spacing w:after="0"/>
              <w:rPr>
                <w:sz w:val="1"/>
                <w:szCs w:val="1"/>
                <w:color w:val="auto"/>
              </w:rPr>
            </w:pPr>
          </w:p>
        </w:tc>
      </w:tr>
      <w:tr>
        <w:trPr>
          <w:trHeight w:val="197"/>
        </w:trPr>
        <w:tc>
          <w:tcPr>
            <w:tcW w:w="3000" w:type="dxa"/>
            <w:vAlign w:val="bottom"/>
          </w:tcPr>
          <w:p>
            <w:pPr>
              <w:ind w:left="120"/>
              <w:spacing w:after="0"/>
              <w:rPr>
                <w:sz w:val="20"/>
                <w:szCs w:val="20"/>
                <w:color w:val="auto"/>
              </w:rPr>
            </w:pPr>
            <w:r>
              <w:rPr>
                <w:rFonts w:ascii="Arial" w:cs="Arial" w:eastAsia="Arial" w:hAnsi="Arial"/>
                <w:sz w:val="14"/>
                <w:szCs w:val="14"/>
                <w:color w:val="auto"/>
              </w:rPr>
              <w:t>Amortization of share-based payment awards</w:t>
            </w: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4.0</w:t>
            </w:r>
          </w:p>
        </w:tc>
        <w:tc>
          <w:tcPr>
            <w:tcW w:w="200" w:type="dxa"/>
            <w:vAlign w:val="bottom"/>
          </w:tcPr>
          <w:p>
            <w:pPr>
              <w:spacing w:after="0"/>
              <w:rPr>
                <w:sz w:val="17"/>
                <w:szCs w:val="17"/>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90"/>
              <w:spacing w:after="0"/>
              <w:rPr>
                <w:sz w:val="20"/>
                <w:szCs w:val="20"/>
                <w:color w:val="auto"/>
              </w:rPr>
            </w:pPr>
            <w:r>
              <w:rPr>
                <w:rFonts w:ascii="Arial" w:cs="Arial" w:eastAsia="Arial" w:hAnsi="Arial"/>
                <w:sz w:val="14"/>
                <w:szCs w:val="14"/>
                <w:color w:val="auto"/>
              </w:rPr>
              <w:t>4.0</w:t>
            </w:r>
          </w:p>
        </w:tc>
        <w:tc>
          <w:tcPr>
            <w:tcW w:w="220" w:type="dxa"/>
            <w:vAlign w:val="bottom"/>
          </w:tcPr>
          <w:p>
            <w:pPr>
              <w:spacing w:after="0"/>
              <w:rPr>
                <w:sz w:val="17"/>
                <w:szCs w:val="17"/>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4.0</w:t>
            </w:r>
          </w:p>
        </w:tc>
        <w:tc>
          <w:tcPr>
            <w:tcW w:w="0" w:type="dxa"/>
            <w:vAlign w:val="bottom"/>
          </w:tcPr>
          <w:p>
            <w:pPr>
              <w:spacing w:after="0"/>
              <w:rPr>
                <w:sz w:val="1"/>
                <w:szCs w:val="1"/>
                <w:color w:val="auto"/>
              </w:rPr>
            </w:pPr>
          </w:p>
        </w:tc>
      </w:tr>
      <w:tr>
        <w:trPr>
          <w:trHeight w:val="163"/>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w w:val="95"/>
              </w:rPr>
              <w:t>Issuance (cancellation) of common stock related</w:t>
            </w:r>
          </w:p>
        </w:tc>
        <w:tc>
          <w:tcPr>
            <w:tcW w:w="6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to share-based payment awards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0.1</w:t>
            </w:r>
          </w:p>
        </w:tc>
        <w:tc>
          <w:tcPr>
            <w:tcW w:w="20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7"/>
        </w:trPr>
        <w:tc>
          <w:tcPr>
            <w:tcW w:w="3000" w:type="dxa"/>
            <w:vAlign w:val="bottom"/>
          </w:tcPr>
          <w:p>
            <w:pPr>
              <w:ind w:left="120"/>
              <w:spacing w:after="0" w:line="157" w:lineRule="exact"/>
              <w:rPr>
                <w:sz w:val="20"/>
                <w:szCs w:val="20"/>
                <w:color w:val="auto"/>
              </w:rPr>
            </w:pPr>
            <w:r>
              <w:rPr>
                <w:rFonts w:ascii="Arial" w:cs="Arial" w:eastAsia="Arial" w:hAnsi="Arial"/>
                <w:sz w:val="14"/>
                <w:szCs w:val="14"/>
                <w:color w:val="auto"/>
              </w:rPr>
              <w:t>Purchases of common stock tendered by</w:t>
            </w: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3000" w:type="dxa"/>
            <w:vAlign w:val="bottom"/>
          </w:tcPr>
          <w:p>
            <w:pPr>
              <w:ind w:left="120"/>
              <w:spacing w:after="0" w:line="149" w:lineRule="exact"/>
              <w:rPr>
                <w:sz w:val="20"/>
                <w:szCs w:val="20"/>
                <w:color w:val="auto"/>
              </w:rPr>
            </w:pPr>
            <w:r>
              <w:rPr>
                <w:rFonts w:ascii="Arial" w:cs="Arial" w:eastAsia="Arial" w:hAnsi="Arial"/>
                <w:sz w:val="14"/>
                <w:szCs w:val="14"/>
                <w:color w:val="auto"/>
              </w:rPr>
              <w:t>employees to satisfy the required withholding</w:t>
            </w: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3000" w:type="dxa"/>
            <w:vAlign w:val="bottom"/>
          </w:tcPr>
          <w:p>
            <w:pPr>
              <w:ind w:left="120"/>
              <w:spacing w:after="0"/>
              <w:rPr>
                <w:sz w:val="20"/>
                <w:szCs w:val="20"/>
                <w:color w:val="auto"/>
              </w:rPr>
            </w:pPr>
            <w:r>
              <w:rPr>
                <w:rFonts w:ascii="Arial" w:cs="Arial" w:eastAsia="Arial" w:hAnsi="Arial"/>
                <w:sz w:val="14"/>
                <w:szCs w:val="14"/>
                <w:color w:val="auto"/>
              </w:rPr>
              <w:t>taxes related to share-based payment awards</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800" w:type="dxa"/>
            <w:vAlign w:val="bottom"/>
          </w:tcPr>
          <w:p>
            <w:pPr>
              <w:jc w:val="right"/>
              <w:ind w:right="49"/>
              <w:spacing w:after="0"/>
              <w:rPr>
                <w:sz w:val="20"/>
                <w:szCs w:val="20"/>
                <w:color w:val="auto"/>
              </w:rPr>
            </w:pPr>
            <w:r>
              <w:rPr>
                <w:rFonts w:ascii="Arial" w:cs="Arial" w:eastAsia="Arial" w:hAnsi="Arial"/>
                <w:sz w:val="14"/>
                <w:szCs w:val="14"/>
                <w:color w:val="auto"/>
              </w:rPr>
              <w:t>(1.4)</w:t>
            </w:r>
          </w:p>
        </w:tc>
        <w:tc>
          <w:tcPr>
            <w:tcW w:w="200" w:type="dxa"/>
            <w:vAlign w:val="bottom"/>
          </w:tcPr>
          <w:p>
            <w:pPr>
              <w:spacing w:after="0"/>
              <w:rPr>
                <w:sz w:val="16"/>
                <w:szCs w:val="16"/>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(1.4)</w:t>
            </w:r>
          </w:p>
        </w:tc>
        <w:tc>
          <w:tcPr>
            <w:tcW w:w="220" w:type="dxa"/>
            <w:vAlign w:val="bottom"/>
          </w:tcPr>
          <w:p>
            <w:pPr>
              <w:spacing w:after="0"/>
              <w:rPr>
                <w:sz w:val="16"/>
                <w:szCs w:val="16"/>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03"/>
        </w:trPr>
        <w:tc>
          <w:tcPr>
            <w:tcW w:w="300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Other comprehensive income (loss)</w:t>
            </w:r>
          </w:p>
        </w:tc>
        <w:tc>
          <w:tcPr>
            <w:tcW w:w="68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(11.0)</w:t>
            </w: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(11.0)</w:t>
            </w:r>
          </w:p>
        </w:tc>
        <w:tc>
          <w:tcPr>
            <w:tcW w:w="2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(0.8)</w:t>
            </w: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196"/>
        </w:trPr>
        <w:tc>
          <w:tcPr>
            <w:tcW w:w="3000" w:type="dxa"/>
            <w:vAlign w:val="bottom"/>
          </w:tcPr>
          <w:p>
            <w:pPr>
              <w:ind w:left="20"/>
              <w:spacing w:after="0"/>
              <w:rPr>
                <w:sz w:val="20"/>
                <w:szCs w:val="20"/>
                <w:color w:val="auto"/>
              </w:rPr>
            </w:pPr>
            <w:r>
              <w:rPr>
                <w:rFonts w:ascii="Arial" w:cs="Arial" w:eastAsia="Arial" w:hAnsi="Arial"/>
                <w:sz w:val="14"/>
                <w:szCs w:val="14"/>
                <w:color w:val="auto"/>
              </w:rPr>
              <w:t>Balance as of March 31, 2019</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67.1</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0.7</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343.0</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1,639.3</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50"/>
              <w:spacing w:after="0"/>
              <w:rPr>
                <w:sz w:val="20"/>
                <w:szCs w:val="20"/>
                <w:color w:val="auto"/>
              </w:rPr>
            </w:pPr>
            <w:r>
              <w:rPr>
                <w:rFonts w:ascii="Arial" w:cs="Arial" w:eastAsia="Arial" w:hAnsi="Arial"/>
                <w:sz w:val="14"/>
                <w:szCs w:val="14"/>
                <w:color w:val="auto"/>
              </w:rPr>
              <w:t>(142.7)</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90"/>
              <w:spacing w:after="0"/>
              <w:rPr>
                <w:sz w:val="20"/>
                <w:szCs w:val="20"/>
                <w:color w:val="auto"/>
              </w:rPr>
            </w:pPr>
            <w:r>
              <w:rPr>
                <w:rFonts w:ascii="Arial" w:cs="Arial" w:eastAsia="Arial" w:hAnsi="Arial"/>
                <w:sz w:val="14"/>
                <w:szCs w:val="14"/>
                <w:color w:val="auto"/>
              </w:rPr>
              <w:t>1,840.3</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15.5</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1,855.8</w:t>
            </w:r>
          </w:p>
        </w:tc>
        <w:tc>
          <w:tcPr>
            <w:tcW w:w="0" w:type="dxa"/>
            <w:vAlign w:val="bottom"/>
          </w:tcPr>
          <w:p>
            <w:pPr>
              <w:spacing w:after="0"/>
              <w:rPr>
                <w:sz w:val="1"/>
                <w:szCs w:val="1"/>
                <w:color w:val="auto"/>
              </w:rPr>
            </w:pPr>
          </w:p>
        </w:tc>
      </w:tr>
      <w:tr>
        <w:trPr>
          <w:trHeight w:val="209"/>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income</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37.0</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37.0</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0.6</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37.6</w:t>
            </w:r>
          </w:p>
        </w:tc>
        <w:tc>
          <w:tcPr>
            <w:tcW w:w="0" w:type="dxa"/>
            <w:vAlign w:val="bottom"/>
          </w:tcPr>
          <w:p>
            <w:pPr>
              <w:spacing w:after="0"/>
              <w:rPr>
                <w:sz w:val="1"/>
                <w:szCs w:val="1"/>
                <w:color w:val="auto"/>
              </w:rPr>
            </w:pPr>
          </w:p>
        </w:tc>
      </w:tr>
      <w:tr>
        <w:trPr>
          <w:trHeight w:val="196"/>
        </w:trPr>
        <w:tc>
          <w:tcPr>
            <w:tcW w:w="3000" w:type="dxa"/>
            <w:vAlign w:val="bottom"/>
          </w:tcPr>
          <w:p>
            <w:pPr>
              <w:ind w:left="120"/>
              <w:spacing w:after="0"/>
              <w:rPr>
                <w:sz w:val="20"/>
                <w:szCs w:val="20"/>
                <w:color w:val="auto"/>
              </w:rPr>
            </w:pPr>
            <w:r>
              <w:rPr>
                <w:rFonts w:ascii="Arial" w:cs="Arial" w:eastAsia="Arial" w:hAnsi="Arial"/>
                <w:sz w:val="14"/>
                <w:szCs w:val="14"/>
                <w:color w:val="auto"/>
              </w:rPr>
              <w:t>Cash dividends declared</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660" w:type="dxa"/>
            <w:vAlign w:val="bottom"/>
          </w:tcPr>
          <w:p>
            <w:pPr>
              <w:jc w:val="right"/>
              <w:ind w:right="29"/>
              <w:spacing w:after="0"/>
              <w:rPr>
                <w:sz w:val="20"/>
                <w:szCs w:val="20"/>
                <w:color w:val="auto"/>
              </w:rPr>
            </w:pPr>
            <w:r>
              <w:rPr>
                <w:rFonts w:ascii="Arial" w:cs="Arial" w:eastAsia="Arial" w:hAnsi="Arial"/>
                <w:sz w:val="14"/>
                <w:szCs w:val="14"/>
                <w:color w:val="auto"/>
              </w:rPr>
              <w:t>(6.6)</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(6.6)</w:t>
            </w:r>
          </w:p>
        </w:tc>
        <w:tc>
          <w:tcPr>
            <w:tcW w:w="220" w:type="dxa"/>
            <w:vAlign w:val="bottom"/>
          </w:tcPr>
          <w:p>
            <w:pPr>
              <w:spacing w:after="0"/>
              <w:rPr>
                <w:sz w:val="17"/>
                <w:szCs w:val="17"/>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(6.6)</w:t>
            </w:r>
          </w:p>
        </w:tc>
        <w:tc>
          <w:tcPr>
            <w:tcW w:w="0" w:type="dxa"/>
            <w:vAlign w:val="bottom"/>
          </w:tcPr>
          <w:p>
            <w:pPr>
              <w:spacing w:after="0"/>
              <w:rPr>
                <w:sz w:val="1"/>
                <w:szCs w:val="1"/>
                <w:color w:val="auto"/>
              </w:rPr>
            </w:pPr>
          </w:p>
        </w:tc>
      </w:tr>
      <w:tr>
        <w:trPr>
          <w:trHeight w:val="209"/>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Amortization of share-based payment awards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3.5</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3.5</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3.5</w:t>
            </w:r>
          </w:p>
        </w:tc>
        <w:tc>
          <w:tcPr>
            <w:tcW w:w="0" w:type="dxa"/>
            <w:vAlign w:val="bottom"/>
          </w:tcPr>
          <w:p>
            <w:pPr>
              <w:spacing w:after="0"/>
              <w:rPr>
                <w:sz w:val="1"/>
                <w:szCs w:val="1"/>
                <w:color w:val="auto"/>
              </w:rPr>
            </w:pPr>
          </w:p>
        </w:tc>
      </w:tr>
      <w:tr>
        <w:trPr>
          <w:trHeight w:val="157"/>
        </w:trPr>
        <w:tc>
          <w:tcPr>
            <w:tcW w:w="3000" w:type="dxa"/>
            <w:vAlign w:val="bottom"/>
          </w:tcPr>
          <w:p>
            <w:pPr>
              <w:ind w:left="120"/>
              <w:spacing w:after="0" w:line="157" w:lineRule="exact"/>
              <w:rPr>
                <w:sz w:val="20"/>
                <w:szCs w:val="20"/>
                <w:color w:val="auto"/>
              </w:rPr>
            </w:pPr>
            <w:r>
              <w:rPr>
                <w:rFonts w:ascii="Arial" w:cs="Arial" w:eastAsia="Arial" w:hAnsi="Arial"/>
                <w:sz w:val="14"/>
                <w:szCs w:val="14"/>
                <w:color w:val="auto"/>
                <w:w w:val="95"/>
              </w:rPr>
              <w:t>Issuance (cancellation) of common stock related</w:t>
            </w: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000" w:type="dxa"/>
            <w:vAlign w:val="bottom"/>
          </w:tcPr>
          <w:p>
            <w:pPr>
              <w:ind w:left="120"/>
              <w:spacing w:after="0"/>
              <w:rPr>
                <w:sz w:val="20"/>
                <w:szCs w:val="20"/>
                <w:color w:val="auto"/>
              </w:rPr>
            </w:pPr>
            <w:r>
              <w:rPr>
                <w:rFonts w:ascii="Arial" w:cs="Arial" w:eastAsia="Arial" w:hAnsi="Arial"/>
                <w:sz w:val="14"/>
                <w:szCs w:val="14"/>
                <w:color w:val="auto"/>
              </w:rPr>
              <w:t>to share-based payment awards</w:t>
            </w:r>
          </w:p>
        </w:tc>
        <w:tc>
          <w:tcPr>
            <w:tcW w:w="680" w:type="dxa"/>
            <w:vAlign w:val="bottom"/>
          </w:tcPr>
          <w:p>
            <w:pPr>
              <w:jc w:val="right"/>
              <w:ind w:right="89"/>
              <w:spacing w:after="0"/>
              <w:rPr>
                <w:sz w:val="20"/>
                <w:szCs w:val="20"/>
                <w:color w:val="auto"/>
              </w:rPr>
            </w:pPr>
            <w:r>
              <w:rPr>
                <w:rFonts w:ascii="Arial" w:cs="Arial" w:eastAsia="Arial" w:hAnsi="Arial"/>
                <w:sz w:val="14"/>
                <w:szCs w:val="14"/>
                <w:color w:val="auto"/>
              </w:rPr>
              <w:t>0.2</w:t>
            </w:r>
          </w:p>
        </w:tc>
        <w:tc>
          <w:tcPr>
            <w:tcW w:w="200" w:type="dxa"/>
            <w:vAlign w:val="bottom"/>
          </w:tcPr>
          <w:p>
            <w:pPr>
              <w:spacing w:after="0"/>
              <w:rPr>
                <w:sz w:val="16"/>
                <w:szCs w:val="16"/>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800" w:type="dxa"/>
            <w:vAlign w:val="bottom"/>
          </w:tcPr>
          <w:p>
            <w:pPr>
              <w:jc w:val="right"/>
              <w:ind w:right="89"/>
              <w:spacing w:after="0"/>
              <w:rPr>
                <w:sz w:val="20"/>
                <w:szCs w:val="20"/>
                <w:color w:val="auto"/>
              </w:rPr>
            </w:pPr>
            <w:r>
              <w:rPr>
                <w:rFonts w:ascii="Arial" w:cs="Arial" w:eastAsia="Arial" w:hAnsi="Arial"/>
                <w:sz w:val="14"/>
                <w:szCs w:val="14"/>
                <w:color w:val="auto"/>
              </w:rPr>
              <w:t>0.7</w:t>
            </w:r>
          </w:p>
        </w:tc>
        <w:tc>
          <w:tcPr>
            <w:tcW w:w="200" w:type="dxa"/>
            <w:vAlign w:val="bottom"/>
          </w:tcPr>
          <w:p>
            <w:pPr>
              <w:spacing w:after="0"/>
              <w:rPr>
                <w:sz w:val="16"/>
                <w:szCs w:val="16"/>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940" w:type="dxa"/>
            <w:vAlign w:val="bottom"/>
          </w:tcPr>
          <w:p>
            <w:pPr>
              <w:jc w:val="right"/>
              <w:ind w:right="90"/>
              <w:spacing w:after="0"/>
              <w:rPr>
                <w:sz w:val="20"/>
                <w:szCs w:val="20"/>
                <w:color w:val="auto"/>
              </w:rPr>
            </w:pPr>
            <w:r>
              <w:rPr>
                <w:rFonts w:ascii="Arial" w:cs="Arial" w:eastAsia="Arial" w:hAnsi="Arial"/>
                <w:sz w:val="14"/>
                <w:szCs w:val="14"/>
                <w:color w:val="auto"/>
              </w:rPr>
              <w:t>0.7</w:t>
            </w:r>
          </w:p>
        </w:tc>
        <w:tc>
          <w:tcPr>
            <w:tcW w:w="220" w:type="dxa"/>
            <w:vAlign w:val="bottom"/>
          </w:tcPr>
          <w:p>
            <w:pPr>
              <w:spacing w:after="0"/>
              <w:rPr>
                <w:sz w:val="16"/>
                <w:szCs w:val="16"/>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900" w:type="dxa"/>
            <w:vAlign w:val="bottom"/>
          </w:tcPr>
          <w:p>
            <w:pPr>
              <w:jc w:val="right"/>
              <w:ind w:right="89"/>
              <w:spacing w:after="0"/>
              <w:rPr>
                <w:sz w:val="20"/>
                <w:szCs w:val="20"/>
                <w:color w:val="auto"/>
              </w:rPr>
            </w:pPr>
            <w:r>
              <w:rPr>
                <w:rFonts w:ascii="Arial" w:cs="Arial" w:eastAsia="Arial" w:hAnsi="Arial"/>
                <w:sz w:val="14"/>
                <w:szCs w:val="14"/>
                <w:color w:val="auto"/>
              </w:rPr>
              <w:t>0.7</w:t>
            </w:r>
          </w:p>
        </w:tc>
        <w:tc>
          <w:tcPr>
            <w:tcW w:w="0" w:type="dxa"/>
            <w:vAlign w:val="bottom"/>
          </w:tcPr>
          <w:p>
            <w:pPr>
              <w:spacing w:after="0"/>
              <w:rPr>
                <w:sz w:val="1"/>
                <w:szCs w:val="1"/>
                <w:color w:val="auto"/>
              </w:rPr>
            </w:pPr>
          </w:p>
        </w:tc>
      </w:tr>
      <w:tr>
        <w:trPr>
          <w:trHeight w:val="163"/>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Purchases of common stock tendered by</w:t>
            </w:r>
          </w:p>
        </w:tc>
        <w:tc>
          <w:tcPr>
            <w:tcW w:w="6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00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employees to satisfy the required withholding</w:t>
            </w:r>
          </w:p>
        </w:tc>
        <w:tc>
          <w:tcPr>
            <w:tcW w:w="6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taxes related to share-based payment awards</w:t>
            </w:r>
          </w:p>
        </w:tc>
        <w:tc>
          <w:tcPr>
            <w:tcW w:w="68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5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(1.2)</w:t>
            </w: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(1.2)</w:t>
            </w:r>
          </w:p>
        </w:tc>
        <w:tc>
          <w:tcPr>
            <w:tcW w:w="22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97"/>
        </w:trPr>
        <w:tc>
          <w:tcPr>
            <w:tcW w:w="3000" w:type="dxa"/>
            <w:vAlign w:val="bottom"/>
          </w:tcPr>
          <w:p>
            <w:pPr>
              <w:ind w:left="120"/>
              <w:spacing w:after="0"/>
              <w:rPr>
                <w:sz w:val="20"/>
                <w:szCs w:val="20"/>
                <w:color w:val="auto"/>
              </w:rPr>
            </w:pPr>
            <w:r>
              <w:rPr>
                <w:rFonts w:ascii="Arial" w:cs="Arial" w:eastAsia="Arial" w:hAnsi="Arial"/>
                <w:sz w:val="14"/>
                <w:szCs w:val="14"/>
                <w:color w:val="auto"/>
              </w:rPr>
              <w:t>Purchases of common stock</w:t>
            </w:r>
          </w:p>
        </w:tc>
        <w:tc>
          <w:tcPr>
            <w:tcW w:w="680" w:type="dxa"/>
            <w:vAlign w:val="bottom"/>
          </w:tcPr>
          <w:p>
            <w:pPr>
              <w:jc w:val="right"/>
              <w:ind w:right="49"/>
              <w:spacing w:after="0"/>
              <w:rPr>
                <w:sz w:val="20"/>
                <w:szCs w:val="20"/>
                <w:color w:val="auto"/>
              </w:rPr>
            </w:pPr>
            <w:r>
              <w:rPr>
                <w:rFonts w:ascii="Arial" w:cs="Arial" w:eastAsia="Arial" w:hAnsi="Arial"/>
                <w:sz w:val="14"/>
                <w:szCs w:val="14"/>
                <w:color w:val="auto"/>
              </w:rPr>
              <w:t>(2.1)</w:t>
            </w:r>
          </w:p>
        </w:tc>
        <w:tc>
          <w:tcPr>
            <w:tcW w:w="200" w:type="dxa"/>
            <w:vAlign w:val="bottom"/>
          </w:tcPr>
          <w:p>
            <w:pPr>
              <w:spacing w:after="0"/>
              <w:rPr>
                <w:sz w:val="17"/>
                <w:szCs w:val="17"/>
                <w:color w:val="auto"/>
              </w:rPr>
            </w:pPr>
          </w:p>
        </w:tc>
        <w:tc>
          <w:tcPr>
            <w:tcW w:w="5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800" w:type="dxa"/>
            <w:vAlign w:val="bottom"/>
          </w:tcPr>
          <w:p>
            <w:pPr>
              <w:jc w:val="right"/>
              <w:ind w:right="49"/>
              <w:spacing w:after="0"/>
              <w:rPr>
                <w:sz w:val="20"/>
                <w:szCs w:val="20"/>
                <w:color w:val="auto"/>
              </w:rPr>
            </w:pPr>
            <w:r>
              <w:rPr>
                <w:rFonts w:ascii="Arial" w:cs="Arial" w:eastAsia="Arial" w:hAnsi="Arial"/>
                <w:sz w:val="14"/>
                <w:szCs w:val="14"/>
                <w:color w:val="auto"/>
              </w:rPr>
              <w:t>(65.4)</w:t>
            </w:r>
          </w:p>
        </w:tc>
        <w:tc>
          <w:tcPr>
            <w:tcW w:w="200" w:type="dxa"/>
            <w:vAlign w:val="bottom"/>
          </w:tcPr>
          <w:p>
            <w:pPr>
              <w:spacing w:after="0"/>
              <w:rPr>
                <w:sz w:val="17"/>
                <w:szCs w:val="17"/>
                <w:color w:val="auto"/>
              </w:rPr>
            </w:pPr>
          </w:p>
        </w:tc>
        <w:tc>
          <w:tcPr>
            <w:tcW w:w="66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1060" w:type="dxa"/>
            <w:vAlign w:val="bottom"/>
          </w:tcPr>
          <w:p>
            <w:pPr>
              <w:jc w:val="right"/>
              <w:ind w:right="7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940" w:type="dxa"/>
            <w:vAlign w:val="bottom"/>
          </w:tcPr>
          <w:p>
            <w:pPr>
              <w:jc w:val="right"/>
              <w:ind w:right="50"/>
              <w:spacing w:after="0"/>
              <w:rPr>
                <w:sz w:val="20"/>
                <w:szCs w:val="20"/>
                <w:color w:val="auto"/>
              </w:rPr>
            </w:pPr>
            <w:r>
              <w:rPr>
                <w:rFonts w:ascii="Arial" w:cs="Arial" w:eastAsia="Arial" w:hAnsi="Arial"/>
                <w:sz w:val="14"/>
                <w:szCs w:val="14"/>
                <w:color w:val="auto"/>
              </w:rPr>
              <w:t>(65.4)</w:t>
            </w:r>
          </w:p>
        </w:tc>
        <w:tc>
          <w:tcPr>
            <w:tcW w:w="220" w:type="dxa"/>
            <w:vAlign w:val="bottom"/>
          </w:tcPr>
          <w:p>
            <w:pPr>
              <w:spacing w:after="0"/>
              <w:rPr>
                <w:sz w:val="17"/>
                <w:szCs w:val="17"/>
                <w:color w:val="auto"/>
              </w:rPr>
            </w:pPr>
          </w:p>
        </w:tc>
        <w:tc>
          <w:tcPr>
            <w:tcW w:w="102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7"/>
                <w:szCs w:val="17"/>
                <w:color w:val="auto"/>
              </w:rPr>
            </w:pPr>
          </w:p>
        </w:tc>
        <w:tc>
          <w:tcPr>
            <w:tcW w:w="900" w:type="dxa"/>
            <w:vAlign w:val="bottom"/>
          </w:tcPr>
          <w:p>
            <w:pPr>
              <w:jc w:val="right"/>
              <w:ind w:right="49"/>
              <w:spacing w:after="0"/>
              <w:rPr>
                <w:sz w:val="20"/>
                <w:szCs w:val="20"/>
                <w:color w:val="auto"/>
              </w:rPr>
            </w:pPr>
            <w:r>
              <w:rPr>
                <w:rFonts w:ascii="Arial" w:cs="Arial" w:eastAsia="Arial" w:hAnsi="Arial"/>
                <w:sz w:val="14"/>
                <w:szCs w:val="14"/>
                <w:color w:val="auto"/>
              </w:rPr>
              <w:t>(65.4)</w:t>
            </w:r>
          </w:p>
        </w:tc>
        <w:tc>
          <w:tcPr>
            <w:tcW w:w="0" w:type="dxa"/>
            <w:vAlign w:val="bottom"/>
          </w:tcPr>
          <w:p>
            <w:pPr>
              <w:spacing w:after="0"/>
              <w:rPr>
                <w:sz w:val="1"/>
                <w:szCs w:val="1"/>
                <w:color w:val="auto"/>
              </w:rPr>
            </w:pPr>
          </w:p>
        </w:tc>
      </w:tr>
      <w:tr>
        <w:trPr>
          <w:trHeight w:val="203"/>
        </w:trPr>
        <w:tc>
          <w:tcPr>
            <w:tcW w:w="300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Other comprehensive income (loss)</w:t>
            </w:r>
          </w:p>
        </w:tc>
        <w:tc>
          <w:tcPr>
            <w:tcW w:w="68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(8.9)</w:t>
            </w:r>
          </w:p>
        </w:tc>
        <w:tc>
          <w:tcPr>
            <w:tcW w:w="0" w:type="dxa"/>
            <w:vAlign w:val="bottom"/>
          </w:tcPr>
          <w:p>
            <w:pPr>
              <w:spacing w:after="0"/>
              <w:rPr>
                <w:sz w:val="1"/>
                <w:szCs w:val="1"/>
                <w:color w:val="auto"/>
              </w:rPr>
            </w:pPr>
          </w:p>
        </w:tc>
      </w:tr>
      <w:tr>
        <w:trPr>
          <w:trHeight w:val="196"/>
        </w:trPr>
        <w:tc>
          <w:tcPr>
            <w:tcW w:w="30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Balance as of June 30, 2019</w:t>
            </w:r>
          </w:p>
        </w:tc>
        <w:tc>
          <w:tcPr>
            <w:tcW w:w="68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65.2</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5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0.7</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280.7</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1,669.7</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(151.6)</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rPr>
              <w:t>1,799.4</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69"/>
              <w:spacing w:after="0"/>
              <w:rPr>
                <w:sz w:val="20"/>
                <w:szCs w:val="20"/>
                <w:color w:val="auto"/>
              </w:rPr>
            </w:pPr>
            <w:r>
              <w:rPr>
                <w:rFonts w:ascii="Arial" w:cs="Arial" w:eastAsia="Arial" w:hAnsi="Arial"/>
                <w:sz w:val="14"/>
                <w:szCs w:val="14"/>
                <w:color w:val="auto"/>
              </w:rPr>
              <w:t>16.1</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89"/>
              <w:spacing w:after="0"/>
              <w:rPr>
                <w:sz w:val="20"/>
                <w:szCs w:val="20"/>
                <w:color w:val="auto"/>
              </w:rPr>
            </w:pPr>
            <w:r>
              <w:rPr>
                <w:rFonts w:ascii="Arial" w:cs="Arial" w:eastAsia="Arial" w:hAnsi="Arial"/>
                <w:sz w:val="14"/>
                <w:szCs w:val="14"/>
                <w:color w:val="auto"/>
              </w:rPr>
              <w:t>1,815.6</w:t>
            </w:r>
          </w:p>
        </w:tc>
        <w:tc>
          <w:tcPr>
            <w:tcW w:w="0" w:type="dxa"/>
            <w:vAlign w:val="bottom"/>
          </w:tcPr>
          <w:p>
            <w:pPr>
              <w:spacing w:after="0"/>
              <w:rPr>
                <w:sz w:val="1"/>
                <w:szCs w:val="1"/>
                <w:color w:val="auto"/>
              </w:rPr>
            </w:pPr>
          </w:p>
        </w:tc>
      </w:tr>
      <w:tr>
        <w:trPr>
          <w:trHeight w:val="27"/>
        </w:trPr>
        <w:tc>
          <w:tcPr>
            <w:tcW w:w="30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Dividends</w:t>
      </w:r>
    </w:p>
    <w:p>
      <w:pPr>
        <w:spacing w:after="0" w:line="25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six months ended June 30, 2020, the Company's Board of Directors declared quarterly cash dividends of $0.10 per common share representing $6.5 million and $6.3 million in total dividends, which were paid on April 9, 2020 and July 2, 2020 respectively. During the six months ended June 30, 2019, the Company's Board of Directors declared quarterly cash dividends of $0.06 and $0.10 per common share representing $4.0 million and $6.6 million in total dividends, which were paid on April 12, 2019 and July 5, 2019 respectively.</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30"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3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20" w:type="dxa"/>
            <w:vAlign w:val="bottom"/>
            <w:gridSpan w:val="3"/>
          </w:tcPr>
          <w:p>
            <w:pPr>
              <w:jc w:val="right"/>
              <w:ind w:right="588"/>
              <w:spacing w:after="0"/>
              <w:rPr>
                <w:sz w:val="20"/>
                <w:szCs w:val="20"/>
                <w:color w:val="auto"/>
              </w:rPr>
            </w:pPr>
            <w:r>
              <w:rPr>
                <w:rFonts w:ascii="Arial" w:cs="Arial" w:eastAsia="Arial" w:hAnsi="Arial"/>
                <w:sz w:val="14"/>
                <w:szCs w:val="14"/>
                <w:b w:val="1"/>
                <w:bCs w:val="1"/>
                <w:color w:val="auto"/>
              </w:rPr>
              <w:t>For the Six Months Ended</w:t>
            </w:r>
          </w:p>
        </w:tc>
      </w:tr>
      <w:tr>
        <w:trPr>
          <w:trHeight w:val="208"/>
        </w:trPr>
        <w:tc>
          <w:tcPr>
            <w:tcW w:w="830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gridSpan w:val="2"/>
          </w:tcPr>
          <w:p>
            <w:pPr>
              <w:jc w:val="right"/>
              <w:ind w:right="108"/>
              <w:spacing w:after="0"/>
              <w:rPr>
                <w:sz w:val="20"/>
                <w:szCs w:val="20"/>
                <w:color w:val="auto"/>
              </w:rPr>
            </w:pPr>
            <w:r>
              <w:rPr>
                <w:rFonts w:ascii="Arial" w:cs="Arial" w:eastAsia="Arial" w:hAnsi="Arial"/>
                <w:sz w:val="14"/>
                <w:szCs w:val="14"/>
                <w:b w:val="1"/>
                <w:bCs w:val="1"/>
                <w:color w:val="auto"/>
              </w:rPr>
              <w:t>June 30,</w:t>
            </w:r>
          </w:p>
        </w:tc>
        <w:tc>
          <w:tcPr>
            <w:tcW w:w="1040" w:type="dxa"/>
            <w:vAlign w:val="bottom"/>
            <w:tcBorders>
              <w:bottom w:val="single" w:sz="8" w:color="auto"/>
            </w:tcBorders>
          </w:tcPr>
          <w:p>
            <w:pPr>
              <w:spacing w:after="0"/>
              <w:rPr>
                <w:sz w:val="18"/>
                <w:szCs w:val="18"/>
                <w:color w:val="auto"/>
              </w:rPr>
            </w:pPr>
          </w:p>
        </w:tc>
      </w:tr>
      <w:tr>
        <w:trPr>
          <w:trHeight w:val="196"/>
        </w:trPr>
        <w:tc>
          <w:tcPr>
            <w:tcW w:w="83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2019</w:t>
            </w:r>
          </w:p>
        </w:tc>
      </w:tr>
      <w:tr>
        <w:trPr>
          <w:trHeight w:val="269"/>
        </w:trPr>
        <w:tc>
          <w:tcPr>
            <w:tcW w:w="83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flows from operating activities:</w:t>
            </w:r>
          </w:p>
        </w:tc>
        <w:tc>
          <w:tcPr>
            <w:tcW w:w="3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r>
      <w:tr>
        <w:trPr>
          <w:trHeight w:val="196"/>
        </w:trPr>
        <w:tc>
          <w:tcPr>
            <w:tcW w:w="830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Net income including noncontrolling interest</w:t>
            </w:r>
          </w:p>
        </w:tc>
        <w:tc>
          <w:tcPr>
            <w:tcW w:w="3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31.0</w:t>
            </w:r>
          </w:p>
        </w:tc>
        <w:tc>
          <w:tcPr>
            <w:tcW w:w="4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74.9</w:t>
            </w:r>
          </w:p>
        </w:tc>
      </w:tr>
      <w:tr>
        <w:trPr>
          <w:trHeight w:val="270"/>
        </w:trPr>
        <w:tc>
          <w:tcPr>
            <w:tcW w:w="83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Adjustments to reconcile net income including noncontrolling interest to net cash provided by operating activities:</w:t>
            </w:r>
          </w:p>
        </w:tc>
        <w:tc>
          <w:tcPr>
            <w:tcW w:w="3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r>
      <w:tr>
        <w:trPr>
          <w:trHeight w:val="197"/>
        </w:trPr>
        <w:tc>
          <w:tcPr>
            <w:tcW w:w="8300" w:type="dxa"/>
            <w:vAlign w:val="bottom"/>
          </w:tcPr>
          <w:p>
            <w:pPr>
              <w:ind w:left="220"/>
              <w:spacing w:after="0"/>
              <w:rPr>
                <w:sz w:val="20"/>
                <w:szCs w:val="20"/>
                <w:color w:val="auto"/>
              </w:rPr>
            </w:pPr>
            <w:r>
              <w:rPr>
                <w:rFonts w:ascii="Arial" w:cs="Arial" w:eastAsia="Arial" w:hAnsi="Arial"/>
                <w:sz w:val="14"/>
                <w:szCs w:val="14"/>
                <w:color w:val="auto"/>
              </w:rPr>
              <w:t>Depreciation and amortization</w:t>
            </w:r>
          </w:p>
        </w:tc>
        <w:tc>
          <w:tcPr>
            <w:tcW w:w="320" w:type="dxa"/>
            <w:vAlign w:val="bottom"/>
          </w:tcPr>
          <w:p>
            <w:pPr>
              <w:spacing w:after="0"/>
              <w:rPr>
                <w:sz w:val="17"/>
                <w:szCs w:val="17"/>
                <w:color w:val="auto"/>
              </w:rPr>
            </w:pP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44.2</w:t>
            </w:r>
          </w:p>
        </w:tc>
        <w:tc>
          <w:tcPr>
            <w:tcW w:w="480" w:type="dxa"/>
            <w:vAlign w:val="bottom"/>
          </w:tcPr>
          <w:p>
            <w:pPr>
              <w:spacing w:after="0"/>
              <w:rPr>
                <w:sz w:val="17"/>
                <w:szCs w:val="17"/>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43.1</w:t>
            </w:r>
          </w:p>
        </w:tc>
      </w:tr>
      <w:tr>
        <w:trPr>
          <w:trHeight w:val="208"/>
        </w:trPr>
        <w:tc>
          <w:tcPr>
            <w:tcW w:w="83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Provision for bad debt</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34.6</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5.7</w:t>
            </w:r>
          </w:p>
        </w:tc>
      </w:tr>
      <w:tr>
        <w:trPr>
          <w:trHeight w:val="197"/>
        </w:trPr>
        <w:tc>
          <w:tcPr>
            <w:tcW w:w="8300" w:type="dxa"/>
            <w:vAlign w:val="bottom"/>
          </w:tcPr>
          <w:p>
            <w:pPr>
              <w:ind w:left="220"/>
              <w:spacing w:after="0"/>
              <w:rPr>
                <w:sz w:val="20"/>
                <w:szCs w:val="20"/>
                <w:color w:val="auto"/>
              </w:rPr>
            </w:pPr>
            <w:r>
              <w:rPr>
                <w:rFonts w:ascii="Arial" w:cs="Arial" w:eastAsia="Arial" w:hAnsi="Arial"/>
                <w:sz w:val="14"/>
                <w:szCs w:val="14"/>
                <w:color w:val="auto"/>
              </w:rPr>
              <w:t>Share-based payment award compensation costs</w:t>
            </w:r>
          </w:p>
        </w:tc>
        <w:tc>
          <w:tcPr>
            <w:tcW w:w="320" w:type="dxa"/>
            <w:vAlign w:val="bottom"/>
          </w:tcPr>
          <w:p>
            <w:pPr>
              <w:spacing w:after="0"/>
              <w:rPr>
                <w:sz w:val="17"/>
                <w:szCs w:val="17"/>
                <w:color w:val="auto"/>
              </w:rPr>
            </w:pP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0.6</w:t>
            </w:r>
          </w:p>
        </w:tc>
        <w:tc>
          <w:tcPr>
            <w:tcW w:w="480" w:type="dxa"/>
            <w:vAlign w:val="bottom"/>
          </w:tcPr>
          <w:p>
            <w:pPr>
              <w:spacing w:after="0"/>
              <w:rPr>
                <w:sz w:val="17"/>
                <w:szCs w:val="17"/>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7.7</w:t>
            </w:r>
          </w:p>
        </w:tc>
      </w:tr>
      <w:tr>
        <w:trPr>
          <w:trHeight w:val="208"/>
        </w:trPr>
        <w:tc>
          <w:tcPr>
            <w:tcW w:w="83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Deferred income tax expense (benefit)</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4.8</w:t>
            </w:r>
          </w:p>
        </w:tc>
      </w:tr>
      <w:tr>
        <w:trPr>
          <w:trHeight w:val="197"/>
        </w:trPr>
        <w:tc>
          <w:tcPr>
            <w:tcW w:w="8300" w:type="dxa"/>
            <w:vAlign w:val="bottom"/>
          </w:tcPr>
          <w:p>
            <w:pPr>
              <w:ind w:left="220"/>
              <w:spacing w:after="0"/>
              <w:rPr>
                <w:sz w:val="20"/>
                <w:szCs w:val="20"/>
                <w:color w:val="auto"/>
              </w:rPr>
            </w:pPr>
            <w:r>
              <w:rPr>
                <w:rFonts w:ascii="Arial" w:cs="Arial" w:eastAsia="Arial" w:hAnsi="Arial"/>
                <w:sz w:val="14"/>
                <w:szCs w:val="14"/>
                <w:color w:val="auto"/>
              </w:rPr>
              <w:t>Foreign currency (gains) losses, net</w:t>
            </w:r>
          </w:p>
        </w:tc>
        <w:tc>
          <w:tcPr>
            <w:tcW w:w="320" w:type="dxa"/>
            <w:vAlign w:val="bottom"/>
          </w:tcPr>
          <w:p>
            <w:pPr>
              <w:spacing w:after="0"/>
              <w:rPr>
                <w:sz w:val="17"/>
                <w:szCs w:val="17"/>
                <w:color w:val="auto"/>
              </w:rPr>
            </w:pP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3.0</w:t>
            </w:r>
          </w:p>
        </w:tc>
        <w:tc>
          <w:tcPr>
            <w:tcW w:w="480" w:type="dxa"/>
            <w:vAlign w:val="bottom"/>
          </w:tcPr>
          <w:p>
            <w:pPr>
              <w:spacing w:after="0"/>
              <w:rPr>
                <w:sz w:val="17"/>
                <w:szCs w:val="17"/>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2.1</w:t>
            </w:r>
          </w:p>
        </w:tc>
      </w:tr>
      <w:tr>
        <w:trPr>
          <w:trHeight w:val="208"/>
        </w:trPr>
        <w:tc>
          <w:tcPr>
            <w:tcW w:w="83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0.2</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r>
      <w:tr>
        <w:trPr>
          <w:trHeight w:val="264"/>
        </w:trPr>
        <w:tc>
          <w:tcPr>
            <w:tcW w:w="8300" w:type="dxa"/>
            <w:vAlign w:val="bottom"/>
          </w:tcPr>
          <w:p>
            <w:pPr>
              <w:ind w:left="220"/>
              <w:spacing w:after="0"/>
              <w:rPr>
                <w:sz w:val="20"/>
                <w:szCs w:val="20"/>
                <w:color w:val="auto"/>
              </w:rPr>
            </w:pPr>
            <w:r>
              <w:rPr>
                <w:rFonts w:ascii="Arial" w:cs="Arial" w:eastAsia="Arial" w:hAnsi="Arial"/>
                <w:sz w:val="14"/>
                <w:szCs w:val="14"/>
                <w:color w:val="auto"/>
              </w:rPr>
              <w:t>Changes in assets and liabilities, net of acquisitions:</w:t>
            </w:r>
          </w:p>
        </w:tc>
        <w:tc>
          <w:tcPr>
            <w:tcW w:w="3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40" w:type="dxa"/>
            <w:vAlign w:val="bottom"/>
          </w:tcPr>
          <w:p>
            <w:pPr>
              <w:spacing w:after="0"/>
              <w:rPr>
                <w:sz w:val="22"/>
                <w:szCs w:val="22"/>
                <w:color w:val="auto"/>
              </w:rPr>
            </w:pPr>
          </w:p>
        </w:tc>
      </w:tr>
      <w:tr>
        <w:trPr>
          <w:trHeight w:val="208"/>
        </w:trPr>
        <w:tc>
          <w:tcPr>
            <w:tcW w:w="8300" w:type="dxa"/>
            <w:vAlign w:val="bottom"/>
            <w:shd w:val="clear" w:color="auto" w:fill="CCEEFF"/>
          </w:tcPr>
          <w:p>
            <w:pPr>
              <w:ind w:left="340"/>
              <w:spacing w:after="0"/>
              <w:rPr>
                <w:sz w:val="20"/>
                <w:szCs w:val="20"/>
                <w:color w:val="auto"/>
              </w:rPr>
            </w:pPr>
            <w:r>
              <w:rPr>
                <w:rFonts w:ascii="Arial" w:cs="Arial" w:eastAsia="Arial" w:hAnsi="Arial"/>
                <w:sz w:val="14"/>
                <w:szCs w:val="14"/>
                <w:color w:val="auto"/>
              </w:rPr>
              <w:t>Accounts receivable, net</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1,462.6</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(12.5)</w:t>
            </w:r>
          </w:p>
        </w:tc>
      </w:tr>
      <w:tr>
        <w:trPr>
          <w:trHeight w:val="197"/>
        </w:trPr>
        <w:tc>
          <w:tcPr>
            <w:tcW w:w="8300" w:type="dxa"/>
            <w:vAlign w:val="bottom"/>
          </w:tcPr>
          <w:p>
            <w:pPr>
              <w:ind w:left="340"/>
              <w:spacing w:after="0"/>
              <w:rPr>
                <w:sz w:val="20"/>
                <w:szCs w:val="20"/>
                <w:color w:val="auto"/>
              </w:rPr>
            </w:pPr>
            <w:r>
              <w:rPr>
                <w:rFonts w:ascii="Arial" w:cs="Arial" w:eastAsia="Arial" w:hAnsi="Arial"/>
                <w:sz w:val="14"/>
                <w:szCs w:val="14"/>
                <w:color w:val="auto"/>
              </w:rPr>
              <w:t>Inventories</w:t>
            </w:r>
          </w:p>
        </w:tc>
        <w:tc>
          <w:tcPr>
            <w:tcW w:w="320" w:type="dxa"/>
            <w:vAlign w:val="bottom"/>
          </w:tcPr>
          <w:p>
            <w:pPr>
              <w:spacing w:after="0"/>
              <w:rPr>
                <w:sz w:val="17"/>
                <w:szCs w:val="17"/>
                <w:color w:val="auto"/>
              </w:rPr>
            </w:pP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282.8</w:t>
            </w:r>
          </w:p>
        </w:tc>
        <w:tc>
          <w:tcPr>
            <w:tcW w:w="480" w:type="dxa"/>
            <w:vAlign w:val="bottom"/>
          </w:tcPr>
          <w:p>
            <w:pPr>
              <w:spacing w:after="0"/>
              <w:rPr>
                <w:sz w:val="17"/>
                <w:szCs w:val="17"/>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(40.4)</w:t>
            </w:r>
          </w:p>
        </w:tc>
      </w:tr>
      <w:tr>
        <w:trPr>
          <w:trHeight w:val="208"/>
        </w:trPr>
        <w:tc>
          <w:tcPr>
            <w:tcW w:w="8300" w:type="dxa"/>
            <w:vAlign w:val="bottom"/>
            <w:shd w:val="clear" w:color="auto" w:fill="CCEEFF"/>
          </w:tcPr>
          <w:p>
            <w:pPr>
              <w:ind w:left="340"/>
              <w:spacing w:after="0"/>
              <w:rPr>
                <w:sz w:val="20"/>
                <w:szCs w:val="20"/>
                <w:color w:val="auto"/>
              </w:rPr>
            </w:pPr>
            <w:r>
              <w:rPr>
                <w:rFonts w:ascii="Arial" w:cs="Arial" w:eastAsia="Arial" w:hAnsi="Arial"/>
                <w:sz w:val="14"/>
                <w:szCs w:val="14"/>
                <w:color w:val="auto"/>
              </w:rPr>
              <w:t>Prepaid expenses</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6.4</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w:t>
            </w:r>
          </w:p>
        </w:tc>
      </w:tr>
      <w:tr>
        <w:trPr>
          <w:trHeight w:val="197"/>
        </w:trPr>
        <w:tc>
          <w:tcPr>
            <w:tcW w:w="8300" w:type="dxa"/>
            <w:vAlign w:val="bottom"/>
          </w:tcPr>
          <w:p>
            <w:pPr>
              <w:ind w:left="340"/>
              <w:spacing w:after="0"/>
              <w:rPr>
                <w:sz w:val="20"/>
                <w:szCs w:val="20"/>
                <w:color w:val="auto"/>
              </w:rPr>
            </w:pPr>
            <w:r>
              <w:rPr>
                <w:rFonts w:ascii="Arial" w:cs="Arial" w:eastAsia="Arial" w:hAnsi="Arial"/>
                <w:sz w:val="14"/>
                <w:szCs w:val="14"/>
                <w:color w:val="auto"/>
              </w:rPr>
              <w:t>Short-term derivative assets, net</w:t>
            </w:r>
          </w:p>
        </w:tc>
        <w:tc>
          <w:tcPr>
            <w:tcW w:w="320" w:type="dxa"/>
            <w:vAlign w:val="bottom"/>
          </w:tcPr>
          <w:p>
            <w:pPr>
              <w:spacing w:after="0"/>
              <w:rPr>
                <w:sz w:val="17"/>
                <w:szCs w:val="17"/>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(110.4)</w:t>
            </w:r>
          </w:p>
        </w:tc>
        <w:tc>
          <w:tcPr>
            <w:tcW w:w="480" w:type="dxa"/>
            <w:vAlign w:val="bottom"/>
          </w:tcPr>
          <w:p>
            <w:pPr>
              <w:spacing w:after="0"/>
              <w:rPr>
                <w:sz w:val="17"/>
                <w:szCs w:val="17"/>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167.6</w:t>
            </w:r>
          </w:p>
        </w:tc>
      </w:tr>
      <w:tr>
        <w:trPr>
          <w:trHeight w:val="208"/>
        </w:trPr>
        <w:tc>
          <w:tcPr>
            <w:tcW w:w="8300" w:type="dxa"/>
            <w:vAlign w:val="bottom"/>
            <w:shd w:val="clear" w:color="auto" w:fill="CCEEFF"/>
          </w:tcPr>
          <w:p>
            <w:pPr>
              <w:ind w:left="340"/>
              <w:spacing w:after="0"/>
              <w:rPr>
                <w:sz w:val="20"/>
                <w:szCs w:val="20"/>
                <w:color w:val="auto"/>
              </w:rPr>
            </w:pPr>
            <w:r>
              <w:rPr>
                <w:rFonts w:ascii="Arial" w:cs="Arial" w:eastAsia="Arial" w:hAnsi="Arial"/>
                <w:sz w:val="14"/>
                <w:szCs w:val="14"/>
                <w:color w:val="auto"/>
              </w:rPr>
              <w:t>Other current assets</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17.2</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8.9</w:t>
            </w:r>
          </w:p>
        </w:tc>
      </w:tr>
      <w:tr>
        <w:trPr>
          <w:trHeight w:val="197"/>
        </w:trPr>
        <w:tc>
          <w:tcPr>
            <w:tcW w:w="8300" w:type="dxa"/>
            <w:vAlign w:val="bottom"/>
          </w:tcPr>
          <w:p>
            <w:pPr>
              <w:ind w:left="340"/>
              <w:spacing w:after="0"/>
              <w:rPr>
                <w:sz w:val="20"/>
                <w:szCs w:val="20"/>
                <w:color w:val="auto"/>
              </w:rPr>
            </w:pPr>
            <w:r>
              <w:rPr>
                <w:rFonts w:ascii="Arial" w:cs="Arial" w:eastAsia="Arial" w:hAnsi="Arial"/>
                <w:sz w:val="14"/>
                <w:szCs w:val="14"/>
                <w:color w:val="auto"/>
              </w:rPr>
              <w:t>Cash collateral with counterparties</w:t>
            </w:r>
          </w:p>
        </w:tc>
        <w:tc>
          <w:tcPr>
            <w:tcW w:w="320" w:type="dxa"/>
            <w:vAlign w:val="bottom"/>
          </w:tcPr>
          <w:p>
            <w:pPr>
              <w:spacing w:after="0"/>
              <w:rPr>
                <w:sz w:val="17"/>
                <w:szCs w:val="17"/>
                <w:color w:val="auto"/>
              </w:rPr>
            </w:pP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17.6</w:t>
            </w:r>
          </w:p>
        </w:tc>
        <w:tc>
          <w:tcPr>
            <w:tcW w:w="480" w:type="dxa"/>
            <w:vAlign w:val="bottom"/>
          </w:tcPr>
          <w:p>
            <w:pPr>
              <w:spacing w:after="0"/>
              <w:rPr>
                <w:sz w:val="17"/>
                <w:szCs w:val="17"/>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(38.0)</w:t>
            </w:r>
          </w:p>
        </w:tc>
      </w:tr>
      <w:tr>
        <w:trPr>
          <w:trHeight w:val="208"/>
        </w:trPr>
        <w:tc>
          <w:tcPr>
            <w:tcW w:w="8300" w:type="dxa"/>
            <w:vAlign w:val="bottom"/>
            <w:shd w:val="clear" w:color="auto" w:fill="CCEEFF"/>
          </w:tcPr>
          <w:p>
            <w:pPr>
              <w:ind w:left="340"/>
              <w:spacing w:after="0"/>
              <w:rPr>
                <w:sz w:val="20"/>
                <w:szCs w:val="20"/>
                <w:color w:val="auto"/>
              </w:rPr>
            </w:pPr>
            <w:r>
              <w:rPr>
                <w:rFonts w:ascii="Arial" w:cs="Arial" w:eastAsia="Arial" w:hAnsi="Arial"/>
                <w:sz w:val="14"/>
                <w:szCs w:val="14"/>
                <w:color w:val="auto"/>
              </w:rPr>
              <w:t>Other non-current assets</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(18.4)</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33.9</w:t>
            </w:r>
          </w:p>
        </w:tc>
      </w:tr>
      <w:tr>
        <w:trPr>
          <w:trHeight w:val="197"/>
        </w:trPr>
        <w:tc>
          <w:tcPr>
            <w:tcW w:w="8300" w:type="dxa"/>
            <w:vAlign w:val="bottom"/>
          </w:tcPr>
          <w:p>
            <w:pPr>
              <w:ind w:left="340"/>
              <w:spacing w:after="0"/>
              <w:rPr>
                <w:sz w:val="20"/>
                <w:szCs w:val="20"/>
                <w:color w:val="auto"/>
              </w:rPr>
            </w:pPr>
            <w:r>
              <w:rPr>
                <w:rFonts w:ascii="Arial" w:cs="Arial" w:eastAsia="Arial" w:hAnsi="Arial"/>
                <w:sz w:val="14"/>
                <w:szCs w:val="14"/>
                <w:color w:val="auto"/>
              </w:rPr>
              <w:t>Accounts payable</w:t>
            </w:r>
          </w:p>
        </w:tc>
        <w:tc>
          <w:tcPr>
            <w:tcW w:w="320" w:type="dxa"/>
            <w:vAlign w:val="bottom"/>
          </w:tcPr>
          <w:p>
            <w:pPr>
              <w:spacing w:after="0"/>
              <w:rPr>
                <w:sz w:val="17"/>
                <w:szCs w:val="17"/>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(1,527.1)</w:t>
            </w:r>
          </w:p>
        </w:tc>
        <w:tc>
          <w:tcPr>
            <w:tcW w:w="480" w:type="dxa"/>
            <w:vAlign w:val="bottom"/>
          </w:tcPr>
          <w:p>
            <w:pPr>
              <w:spacing w:after="0"/>
              <w:rPr>
                <w:sz w:val="17"/>
                <w:szCs w:val="17"/>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70.0</w:t>
            </w:r>
          </w:p>
        </w:tc>
      </w:tr>
      <w:tr>
        <w:trPr>
          <w:trHeight w:val="208"/>
        </w:trPr>
        <w:tc>
          <w:tcPr>
            <w:tcW w:w="8300" w:type="dxa"/>
            <w:vAlign w:val="bottom"/>
            <w:shd w:val="clear" w:color="auto" w:fill="CCEEFF"/>
          </w:tcPr>
          <w:p>
            <w:pPr>
              <w:ind w:left="340"/>
              <w:spacing w:after="0"/>
              <w:rPr>
                <w:sz w:val="20"/>
                <w:szCs w:val="20"/>
                <w:color w:val="auto"/>
              </w:rPr>
            </w:pPr>
            <w:r>
              <w:rPr>
                <w:rFonts w:ascii="Arial" w:cs="Arial" w:eastAsia="Arial" w:hAnsi="Arial"/>
                <w:sz w:val="14"/>
                <w:szCs w:val="14"/>
                <w:color w:val="auto"/>
              </w:rPr>
              <w:t>Customer deposits</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19.5</w:t>
            </w:r>
          </w:p>
        </w:tc>
      </w:tr>
      <w:tr>
        <w:trPr>
          <w:trHeight w:val="196"/>
        </w:trPr>
        <w:tc>
          <w:tcPr>
            <w:tcW w:w="8300" w:type="dxa"/>
            <w:vAlign w:val="bottom"/>
          </w:tcPr>
          <w:p>
            <w:pPr>
              <w:ind w:left="340"/>
              <w:spacing w:after="0"/>
              <w:rPr>
                <w:sz w:val="20"/>
                <w:szCs w:val="20"/>
                <w:color w:val="auto"/>
              </w:rPr>
            </w:pPr>
            <w:r>
              <w:rPr>
                <w:rFonts w:ascii="Arial" w:cs="Arial" w:eastAsia="Arial" w:hAnsi="Arial"/>
                <w:sz w:val="14"/>
                <w:szCs w:val="14"/>
                <w:color w:val="auto"/>
              </w:rPr>
              <w:t>Accrued expenses and other current liabilities</w:t>
            </w:r>
          </w:p>
        </w:tc>
        <w:tc>
          <w:tcPr>
            <w:tcW w:w="320" w:type="dxa"/>
            <w:vAlign w:val="bottom"/>
          </w:tcPr>
          <w:p>
            <w:pPr>
              <w:spacing w:after="0"/>
              <w:rPr>
                <w:sz w:val="17"/>
                <w:szCs w:val="17"/>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(25.2)</w:t>
            </w:r>
          </w:p>
        </w:tc>
        <w:tc>
          <w:tcPr>
            <w:tcW w:w="480" w:type="dxa"/>
            <w:vAlign w:val="bottom"/>
          </w:tcPr>
          <w:p>
            <w:pPr>
              <w:spacing w:after="0"/>
              <w:rPr>
                <w:sz w:val="17"/>
                <w:szCs w:val="17"/>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(143.7)</w:t>
            </w:r>
          </w:p>
        </w:tc>
      </w:tr>
      <w:tr>
        <w:trPr>
          <w:trHeight w:val="203"/>
        </w:trPr>
        <w:tc>
          <w:tcPr>
            <w:tcW w:w="8300" w:type="dxa"/>
            <w:vAlign w:val="bottom"/>
            <w:tcBorders>
              <w:bottom w:val="single" w:sz="8" w:color="auto"/>
            </w:tcBorders>
            <w:shd w:val="clear" w:color="auto" w:fill="CCEEFF"/>
          </w:tcPr>
          <w:p>
            <w:pPr>
              <w:ind w:left="340"/>
              <w:spacing w:after="0"/>
              <w:rPr>
                <w:sz w:val="20"/>
                <w:szCs w:val="20"/>
                <w:color w:val="auto"/>
              </w:rPr>
            </w:pPr>
            <w:r>
              <w:rPr>
                <w:rFonts w:ascii="Arial" w:cs="Arial" w:eastAsia="Arial" w:hAnsi="Arial"/>
                <w:sz w:val="14"/>
                <w:szCs w:val="14"/>
                <w:color w:val="auto"/>
              </w:rPr>
              <w:t>Non-current income tax, net and other long-term liabilities</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33.7</w:t>
            </w:r>
          </w:p>
        </w:tc>
        <w:tc>
          <w:tcPr>
            <w:tcW w:w="48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(60.4)</w:t>
            </w:r>
          </w:p>
        </w:tc>
      </w:tr>
      <w:tr>
        <w:trPr>
          <w:trHeight w:val="196"/>
        </w:trPr>
        <w:tc>
          <w:tcPr>
            <w:tcW w:w="83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adjustments</w:t>
            </w:r>
          </w:p>
        </w:tc>
        <w:tc>
          <w:tcPr>
            <w:tcW w:w="3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214.1</w:t>
            </w:r>
          </w:p>
        </w:tc>
        <w:tc>
          <w:tcPr>
            <w:tcW w:w="4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60.8</w:t>
            </w:r>
          </w:p>
        </w:tc>
      </w:tr>
      <w:tr>
        <w:trPr>
          <w:trHeight w:val="196"/>
        </w:trPr>
        <w:tc>
          <w:tcPr>
            <w:tcW w:w="830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b w:val="1"/>
                <w:bCs w:val="1"/>
                <w:color w:val="auto"/>
              </w:rPr>
              <w:t>Net cash provided by (used in) operating activities</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245.1</w:t>
            </w:r>
          </w:p>
        </w:tc>
        <w:tc>
          <w:tcPr>
            <w:tcW w:w="48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135.8</w:t>
            </w:r>
          </w:p>
        </w:tc>
      </w:tr>
      <w:tr>
        <w:trPr>
          <w:trHeight w:val="263"/>
        </w:trPr>
        <w:tc>
          <w:tcPr>
            <w:tcW w:w="8300" w:type="dxa"/>
            <w:vAlign w:val="bottom"/>
          </w:tcPr>
          <w:p>
            <w:pPr>
              <w:ind w:left="20"/>
              <w:spacing w:after="0"/>
              <w:rPr>
                <w:sz w:val="20"/>
                <w:szCs w:val="20"/>
                <w:color w:val="auto"/>
              </w:rPr>
            </w:pPr>
            <w:r>
              <w:rPr>
                <w:rFonts w:ascii="Arial" w:cs="Arial" w:eastAsia="Arial" w:hAnsi="Arial"/>
                <w:sz w:val="14"/>
                <w:szCs w:val="14"/>
                <w:color w:val="auto"/>
              </w:rPr>
              <w:t>Cash flows from investing activities:</w:t>
            </w:r>
          </w:p>
        </w:tc>
        <w:tc>
          <w:tcPr>
            <w:tcW w:w="3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040" w:type="dxa"/>
            <w:vAlign w:val="bottom"/>
          </w:tcPr>
          <w:p>
            <w:pPr>
              <w:spacing w:after="0"/>
              <w:rPr>
                <w:sz w:val="22"/>
                <w:szCs w:val="22"/>
                <w:color w:val="auto"/>
              </w:rPr>
            </w:pPr>
          </w:p>
        </w:tc>
      </w:tr>
      <w:tr>
        <w:trPr>
          <w:trHeight w:val="208"/>
        </w:trPr>
        <w:tc>
          <w:tcPr>
            <w:tcW w:w="83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Acquisition of business, net of cash acquired</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(130.6)</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r>
      <w:tr>
        <w:trPr>
          <w:trHeight w:val="197"/>
        </w:trPr>
        <w:tc>
          <w:tcPr>
            <w:tcW w:w="8300" w:type="dxa"/>
            <w:vAlign w:val="bottom"/>
          </w:tcPr>
          <w:p>
            <w:pPr>
              <w:ind w:left="120"/>
              <w:spacing w:after="0"/>
              <w:rPr>
                <w:sz w:val="20"/>
                <w:szCs w:val="20"/>
                <w:color w:val="auto"/>
              </w:rPr>
            </w:pPr>
            <w:r>
              <w:rPr>
                <w:rFonts w:ascii="Arial" w:cs="Arial" w:eastAsia="Arial" w:hAnsi="Arial"/>
                <w:sz w:val="14"/>
                <w:szCs w:val="14"/>
                <w:color w:val="auto"/>
              </w:rPr>
              <w:t>Capital expenditures</w:t>
            </w:r>
          </w:p>
        </w:tc>
        <w:tc>
          <w:tcPr>
            <w:tcW w:w="320" w:type="dxa"/>
            <w:vAlign w:val="bottom"/>
          </w:tcPr>
          <w:p>
            <w:pPr>
              <w:spacing w:after="0"/>
              <w:rPr>
                <w:sz w:val="17"/>
                <w:szCs w:val="17"/>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(32.9)</w:t>
            </w:r>
          </w:p>
        </w:tc>
        <w:tc>
          <w:tcPr>
            <w:tcW w:w="480" w:type="dxa"/>
            <w:vAlign w:val="bottom"/>
          </w:tcPr>
          <w:p>
            <w:pPr>
              <w:spacing w:after="0"/>
              <w:rPr>
                <w:sz w:val="17"/>
                <w:szCs w:val="17"/>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(37.3)</w:t>
            </w:r>
          </w:p>
        </w:tc>
      </w:tr>
      <w:tr>
        <w:trPr>
          <w:trHeight w:val="203"/>
        </w:trPr>
        <w:tc>
          <w:tcPr>
            <w:tcW w:w="830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Other investing activities, net</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(5.3)</w:t>
            </w:r>
          </w:p>
        </w:tc>
        <w:tc>
          <w:tcPr>
            <w:tcW w:w="48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3.8</w:t>
            </w:r>
          </w:p>
        </w:tc>
      </w:tr>
      <w:tr>
        <w:trPr>
          <w:trHeight w:val="196"/>
        </w:trPr>
        <w:tc>
          <w:tcPr>
            <w:tcW w:w="830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Net cash (used in) provided by investing activities</w:t>
            </w:r>
          </w:p>
        </w:tc>
        <w:tc>
          <w:tcPr>
            <w:tcW w:w="3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(168.7)</w:t>
            </w:r>
          </w:p>
        </w:tc>
        <w:tc>
          <w:tcPr>
            <w:tcW w:w="4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(33.6)</w:t>
            </w:r>
          </w:p>
        </w:tc>
      </w:tr>
      <w:tr>
        <w:trPr>
          <w:trHeight w:val="270"/>
        </w:trPr>
        <w:tc>
          <w:tcPr>
            <w:tcW w:w="83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flows from financing activities:</w:t>
            </w:r>
          </w:p>
        </w:tc>
        <w:tc>
          <w:tcPr>
            <w:tcW w:w="32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r>
      <w:tr>
        <w:trPr>
          <w:trHeight w:val="196"/>
        </w:trPr>
        <w:tc>
          <w:tcPr>
            <w:tcW w:w="8300" w:type="dxa"/>
            <w:vAlign w:val="bottom"/>
          </w:tcPr>
          <w:p>
            <w:pPr>
              <w:ind w:left="120"/>
              <w:spacing w:after="0"/>
              <w:rPr>
                <w:sz w:val="20"/>
                <w:szCs w:val="20"/>
                <w:color w:val="auto"/>
              </w:rPr>
            </w:pPr>
            <w:r>
              <w:rPr>
                <w:rFonts w:ascii="Arial" w:cs="Arial" w:eastAsia="Arial" w:hAnsi="Arial"/>
                <w:sz w:val="14"/>
                <w:szCs w:val="14"/>
                <w:color w:val="auto"/>
              </w:rPr>
              <w:t>Borrowings of debt</w:t>
            </w:r>
          </w:p>
        </w:tc>
        <w:tc>
          <w:tcPr>
            <w:tcW w:w="320" w:type="dxa"/>
            <w:vAlign w:val="bottom"/>
          </w:tcPr>
          <w:p>
            <w:pPr>
              <w:spacing w:after="0"/>
              <w:rPr>
                <w:sz w:val="17"/>
                <w:szCs w:val="17"/>
                <w:color w:val="auto"/>
              </w:rPr>
            </w:pP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2,080.0</w:t>
            </w:r>
          </w:p>
        </w:tc>
        <w:tc>
          <w:tcPr>
            <w:tcW w:w="480" w:type="dxa"/>
            <w:vAlign w:val="bottom"/>
          </w:tcPr>
          <w:p>
            <w:pPr>
              <w:spacing w:after="0"/>
              <w:rPr>
                <w:sz w:val="17"/>
                <w:szCs w:val="17"/>
                <w:color w:val="auto"/>
              </w:rPr>
            </w:pPr>
          </w:p>
        </w:tc>
        <w:tc>
          <w:tcPr>
            <w:tcW w:w="1040" w:type="dxa"/>
            <w:vAlign w:val="bottom"/>
          </w:tcPr>
          <w:p>
            <w:pPr>
              <w:jc w:val="right"/>
              <w:ind w:right="68"/>
              <w:spacing w:after="0"/>
              <w:rPr>
                <w:sz w:val="20"/>
                <w:szCs w:val="20"/>
                <w:color w:val="auto"/>
              </w:rPr>
            </w:pPr>
            <w:r>
              <w:rPr>
                <w:rFonts w:ascii="Arial" w:cs="Arial" w:eastAsia="Arial" w:hAnsi="Arial"/>
                <w:sz w:val="14"/>
                <w:szCs w:val="14"/>
                <w:color w:val="auto"/>
              </w:rPr>
              <w:t>3,197.6</w:t>
            </w:r>
          </w:p>
        </w:tc>
      </w:tr>
      <w:tr>
        <w:trPr>
          <w:trHeight w:val="209"/>
        </w:trPr>
        <w:tc>
          <w:tcPr>
            <w:tcW w:w="83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Repayments of debt</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(1,613.7)</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(3,218.6)</w:t>
            </w:r>
          </w:p>
        </w:tc>
      </w:tr>
      <w:tr>
        <w:trPr>
          <w:trHeight w:val="196"/>
        </w:trPr>
        <w:tc>
          <w:tcPr>
            <w:tcW w:w="8300" w:type="dxa"/>
            <w:vAlign w:val="bottom"/>
          </w:tcPr>
          <w:p>
            <w:pPr>
              <w:ind w:left="120"/>
              <w:spacing w:after="0"/>
              <w:rPr>
                <w:sz w:val="20"/>
                <w:szCs w:val="20"/>
                <w:color w:val="auto"/>
              </w:rPr>
            </w:pPr>
            <w:r>
              <w:rPr>
                <w:rFonts w:ascii="Arial" w:cs="Arial" w:eastAsia="Arial" w:hAnsi="Arial"/>
                <w:sz w:val="14"/>
                <w:szCs w:val="14"/>
                <w:color w:val="auto"/>
              </w:rPr>
              <w:t>Dividends paid on common stock</w:t>
            </w:r>
          </w:p>
        </w:tc>
        <w:tc>
          <w:tcPr>
            <w:tcW w:w="320" w:type="dxa"/>
            <w:vAlign w:val="bottom"/>
          </w:tcPr>
          <w:p>
            <w:pPr>
              <w:spacing w:after="0"/>
              <w:rPr>
                <w:sz w:val="17"/>
                <w:szCs w:val="17"/>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(13.0)</w:t>
            </w:r>
          </w:p>
        </w:tc>
        <w:tc>
          <w:tcPr>
            <w:tcW w:w="480" w:type="dxa"/>
            <w:vAlign w:val="bottom"/>
          </w:tcPr>
          <w:p>
            <w:pPr>
              <w:spacing w:after="0"/>
              <w:rPr>
                <w:sz w:val="17"/>
                <w:szCs w:val="17"/>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(8.0)</w:t>
            </w:r>
          </w:p>
        </w:tc>
      </w:tr>
      <w:tr>
        <w:trPr>
          <w:trHeight w:val="209"/>
        </w:trPr>
        <w:tc>
          <w:tcPr>
            <w:tcW w:w="83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Repurchases of common stock</w:t>
            </w: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(55.6)</w:t>
            </w:r>
          </w:p>
        </w:tc>
        <w:tc>
          <w:tcPr>
            <w:tcW w:w="48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(65.4)</w:t>
            </w:r>
          </w:p>
        </w:tc>
      </w:tr>
      <w:tr>
        <w:trPr>
          <w:trHeight w:val="196"/>
        </w:trPr>
        <w:tc>
          <w:tcPr>
            <w:tcW w:w="830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Other financing activities, net</w:t>
            </w:r>
          </w:p>
        </w:tc>
        <w:tc>
          <w:tcPr>
            <w:tcW w:w="3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w:t>
            </w:r>
          </w:p>
        </w:tc>
        <w:tc>
          <w:tcPr>
            <w:tcW w:w="4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w:t>
            </w:r>
          </w:p>
        </w:tc>
      </w:tr>
      <w:tr>
        <w:trPr>
          <w:trHeight w:val="196"/>
        </w:trPr>
        <w:tc>
          <w:tcPr>
            <w:tcW w:w="830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b w:val="1"/>
                <w:bCs w:val="1"/>
                <w:color w:val="auto"/>
              </w:rPr>
              <w:t>Net cash provided by (used in) financing activities</w:t>
            </w: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394.9</w:t>
            </w:r>
          </w:p>
        </w:tc>
        <w:tc>
          <w:tcPr>
            <w:tcW w:w="48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(97.1)</w:t>
            </w:r>
          </w:p>
        </w:tc>
      </w:tr>
      <w:tr>
        <w:trPr>
          <w:trHeight w:val="196"/>
        </w:trPr>
        <w:tc>
          <w:tcPr>
            <w:tcW w:w="83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Effect of exchange rate changes on cash and cash equivalents</w:t>
            </w:r>
          </w:p>
        </w:tc>
        <w:tc>
          <w:tcPr>
            <w:tcW w:w="3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(11.6)</w:t>
            </w:r>
          </w:p>
        </w:tc>
        <w:tc>
          <w:tcPr>
            <w:tcW w:w="4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w:t>
            </w:r>
          </w:p>
        </w:tc>
      </w:tr>
      <w:tr>
        <w:trPr>
          <w:trHeight w:val="202"/>
        </w:trPr>
        <w:tc>
          <w:tcPr>
            <w:tcW w:w="83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Net increase (decrease) in cash and cash equivalents</w:t>
            </w: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459.6</w:t>
            </w:r>
          </w:p>
        </w:tc>
        <w:tc>
          <w:tcPr>
            <w:tcW w:w="48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6.3</w:t>
            </w:r>
          </w:p>
        </w:tc>
      </w:tr>
      <w:tr>
        <w:trPr>
          <w:trHeight w:val="197"/>
        </w:trPr>
        <w:tc>
          <w:tcPr>
            <w:tcW w:w="83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Cash and cash equivalents, as of the beginning of the period</w:t>
            </w:r>
          </w:p>
        </w:tc>
        <w:tc>
          <w:tcPr>
            <w:tcW w:w="3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186.1</w:t>
            </w:r>
          </w:p>
        </w:tc>
        <w:tc>
          <w:tcPr>
            <w:tcW w:w="4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211.7</w:t>
            </w:r>
          </w:p>
        </w:tc>
      </w:tr>
      <w:tr>
        <w:trPr>
          <w:trHeight w:val="221"/>
        </w:trPr>
        <w:tc>
          <w:tcPr>
            <w:tcW w:w="83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Cash and cash equivalents, as of the end of the period</w:t>
            </w:r>
          </w:p>
        </w:tc>
        <w:tc>
          <w:tcPr>
            <w:tcW w:w="32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645.7</w:t>
            </w:r>
          </w:p>
        </w:tc>
        <w:tc>
          <w:tcPr>
            <w:tcW w:w="48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218.1</w:t>
            </w:r>
          </w:p>
        </w:tc>
      </w:tr>
      <w:tr>
        <w:trPr>
          <w:trHeight w:val="20"/>
        </w:trPr>
        <w:tc>
          <w:tcPr>
            <w:tcW w:w="83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Supplemental Schedule of Noncash Investing and Financing Activities:</w:t>
      </w:r>
    </w:p>
    <w:p>
      <w:pPr>
        <w:spacing w:after="0" w:line="229" w:lineRule="exact"/>
        <w:rPr>
          <w:sz w:val="20"/>
          <w:szCs w:val="20"/>
          <w:color w:val="auto"/>
        </w:rPr>
      </w:pPr>
    </w:p>
    <w:p>
      <w:pPr>
        <w:ind w:left="180" w:hanging="172"/>
        <w:spacing w:after="0"/>
        <w:tabs>
          <w:tab w:leader="none" w:pos="180" w:val="left"/>
        </w:tabs>
        <w:numPr>
          <w:ilvl w:val="0"/>
          <w:numId w:val="3"/>
        </w:numPr>
        <w:rPr>
          <w:rFonts w:ascii="Arial" w:cs="Arial" w:eastAsia="Arial" w:hAnsi="Arial"/>
          <w:sz w:val="16"/>
          <w:szCs w:val="16"/>
          <w:color w:val="auto"/>
        </w:rPr>
      </w:pPr>
      <w:r>
        <w:rPr>
          <w:rFonts w:ascii="Arial" w:cs="Arial" w:eastAsia="Arial" w:hAnsi="Arial"/>
          <w:sz w:val="16"/>
          <w:szCs w:val="16"/>
          <w:color w:val="auto"/>
        </w:rPr>
        <w:t>Cash dividends declared, but not yet paid, were $6.3 million and $6.6 million for the six months ended June 30, 2020 and 2019, respectively.</w:t>
      </w:r>
    </w:p>
    <w:p>
      <w:pPr>
        <w:spacing w:after="0" w:line="275" w:lineRule="exact"/>
        <w:rPr>
          <w:rFonts w:ascii="Arial" w:cs="Arial" w:eastAsia="Arial" w:hAnsi="Arial"/>
          <w:sz w:val="16"/>
          <w:szCs w:val="16"/>
          <w:color w:val="auto"/>
        </w:rPr>
      </w:pPr>
    </w:p>
    <w:p>
      <w:pPr>
        <w:ind w:left="180" w:hanging="172"/>
        <w:spacing w:after="0"/>
        <w:tabs>
          <w:tab w:leader="none" w:pos="180" w:val="left"/>
        </w:tabs>
        <w:numPr>
          <w:ilvl w:val="0"/>
          <w:numId w:val="3"/>
        </w:numPr>
        <w:rPr>
          <w:rFonts w:ascii="Arial" w:cs="Arial" w:eastAsia="Arial" w:hAnsi="Arial"/>
          <w:sz w:val="17"/>
          <w:szCs w:val="17"/>
          <w:color w:val="auto"/>
        </w:rPr>
      </w:pPr>
      <w:r>
        <w:rPr>
          <w:rFonts w:ascii="Arial" w:cs="Arial" w:eastAsia="Arial" w:hAnsi="Arial"/>
          <w:sz w:val="17"/>
          <w:szCs w:val="17"/>
          <w:color w:val="auto"/>
        </w:rPr>
        <w:t>Deferred consideration and other transactions for the acquisition of a business and assets were $38.9 million as of June 30, 2020.</w:t>
      </w:r>
    </w:p>
    <w:p>
      <w:pPr>
        <w:spacing w:after="0" w:line="264" w:lineRule="exact"/>
        <w:rPr>
          <w:sz w:val="20"/>
          <w:szCs w:val="20"/>
          <w:color w:val="auto"/>
        </w:rPr>
      </w:pPr>
    </w:p>
    <w:p>
      <w:pPr>
        <w:ind w:left="2040"/>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340"/>
          </w:cols>
          <w:pgMar w:left="320" w:top="891" w:right="1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Consolidated Financial Statements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(Unaudited)</w:t>
      </w:r>
    </w:p>
    <w:p>
      <w:pPr>
        <w:spacing w:after="0" w:line="234" w:lineRule="exact"/>
        <w:rPr>
          <w:sz w:val="20"/>
          <w:szCs w:val="20"/>
          <w:color w:val="auto"/>
        </w:rPr>
      </w:pPr>
    </w:p>
    <w:p>
      <w:pPr>
        <w:ind w:left="360" w:right="6680" w:hanging="352"/>
        <w:spacing w:after="0" w:line="518" w:lineRule="auto"/>
        <w:tabs>
          <w:tab w:leader="none" w:pos="18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Significant Accounting Policies General</w:t>
      </w:r>
    </w:p>
    <w:p>
      <w:pPr>
        <w:spacing w:after="0" w:line="2" w:lineRule="exact"/>
        <w:rPr>
          <w:sz w:val="20"/>
          <w:szCs w:val="20"/>
          <w:color w:val="auto"/>
        </w:rPr>
      </w:pPr>
    </w:p>
    <w:p>
      <w:pPr>
        <w:jc w:val="both"/>
        <w:ind w:firstLine="383"/>
        <w:spacing w:after="0" w:line="277" w:lineRule="auto"/>
        <w:rPr>
          <w:sz w:val="20"/>
          <w:szCs w:val="20"/>
          <w:color w:val="auto"/>
        </w:rPr>
      </w:pPr>
      <w:r>
        <w:rPr>
          <w:rFonts w:ascii="Arial" w:cs="Arial" w:eastAsia="Arial" w:hAnsi="Arial"/>
          <w:sz w:val="18"/>
          <w:szCs w:val="18"/>
          <w:color w:val="auto"/>
        </w:rPr>
        <w:t>World Fuel Services Corporation (the “Company”) was incorporated in Florida in July 1984 and along with its consolidated subsidiaries is referred to collectively in this Quarterly Report on Form 10-Q (“10-Q Report”) as “World Fuel,” “we,” “our” and “us.”</w:t>
      </w:r>
    </w:p>
    <w:p>
      <w:pPr>
        <w:spacing w:after="0" w:line="197" w:lineRule="exact"/>
        <w:rPr>
          <w:sz w:val="20"/>
          <w:szCs w:val="20"/>
          <w:color w:val="auto"/>
        </w:rPr>
      </w:pPr>
    </w:p>
    <w:p>
      <w:pPr>
        <w:jc w:val="both"/>
        <w:ind w:firstLine="378"/>
        <w:spacing w:after="0" w:line="291" w:lineRule="auto"/>
        <w:rPr>
          <w:sz w:val="20"/>
          <w:szCs w:val="20"/>
          <w:color w:val="auto"/>
        </w:rPr>
      </w:pPr>
      <w:r>
        <w:rPr>
          <w:rFonts w:ascii="Arial" w:cs="Arial" w:eastAsia="Arial" w:hAnsi="Arial"/>
          <w:sz w:val="16"/>
          <w:szCs w:val="16"/>
          <w:color w:val="auto"/>
        </w:rPr>
        <w:t>We are a leading global fuel services company, principally engaged in the distribution of fuel and related products and services in the aviation, marine and land transportation industries. In recent years, we have expanded our product and service offerings to include energy advisory services and supply fulfillment with respect to natural gas and power and transaction and payment management solutions to commercial and industrial customers. Our intention is to become a leading global energy management company offering a full suite of energy advisory, management and fulfillment services, technology solutions as well as sustainability products and services across the energy product spectrum. We also offer payment management solutions to commercial and industrial customers, principally in the aviation, land and marine transportation industries. We will continue to focus on enhancing the portfolio of products and services we provide based on changes in customer demand, including sustainability offerings and renewable fuel products.</w:t>
      </w:r>
    </w:p>
    <w:p>
      <w:pPr>
        <w:spacing w:after="0" w:line="193" w:lineRule="exact"/>
        <w:rPr>
          <w:sz w:val="20"/>
          <w:szCs w:val="20"/>
          <w:color w:val="auto"/>
        </w:rPr>
      </w:pPr>
    </w:p>
    <w:p>
      <w:pPr>
        <w:jc w:val="both"/>
        <w:ind w:right="20" w:firstLine="324"/>
        <w:spacing w:after="0" w:line="263" w:lineRule="auto"/>
        <w:rPr>
          <w:sz w:val="20"/>
          <w:szCs w:val="20"/>
          <w:color w:val="auto"/>
        </w:rPr>
      </w:pPr>
      <w:r>
        <w:rPr>
          <w:rFonts w:ascii="Arial" w:cs="Arial" w:eastAsia="Arial" w:hAnsi="Arial"/>
          <w:sz w:val="18"/>
          <w:szCs w:val="18"/>
          <w:color w:val="auto"/>
        </w:rPr>
        <w:t>We prepared our Consolidated Financial Statements following the requirements of the United States (“U.S.”) Securities and Exchange Commission (“SEC”) for interim reporting. As permitted under those rules, certain footnotes or other financial information that are normally required by accounting principles generally accepted in the U.S. (“U.S. GAAP”) can be condensed or omitted.</w:t>
      </w:r>
    </w:p>
    <w:p>
      <w:pPr>
        <w:spacing w:after="0" w:line="211"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Revenues, expenses, assets and liabilities can vary during each quarter of the year. Therefore, the results and trends in these interim financial statements may not be representative of those for the full year. In our opinion, all adjustments necessary for a fair statement of the financial statements, which are of a normal and recurring nature, have been made for the interim periods reported. The information included in this 10-Q Report should be read in conjunction with the Consolidated Financial Statements and accompanying notes included in our 2019 Annual Report on Form 10-K (“2019 10-K Report”). Certain amounts in the Consolidated Financial Statements and accompanying notes may not add due to rounding. All percentages have been calculated using unrounded amounts.</w:t>
      </w:r>
    </w:p>
    <w:p>
      <w:pPr>
        <w:spacing w:after="0" w:line="21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COVID-19</w:t>
      </w:r>
    </w:p>
    <w:p>
      <w:pPr>
        <w:spacing w:after="0" w:line="256"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The outbreak of COVID-19, which was declared a pandemic by the World Health Organization in March 2020, has created significant volatility, uncertainty and disruption in the global economy. The rapid spread of the virus has caused governments around the world to implement stringent measures to help control its spread, including, without limitation, quarantines, “stay-at-home” or “shelter-in-place” orders, social-distancing mandates, travel restrictions, and closures or reduced operations for businesses, governmental agencies, schools and other institutions, among others.</w:t>
      </w:r>
    </w:p>
    <w:p>
      <w:pPr>
        <w:spacing w:after="0" w:line="198"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Beginning in the quarterly period ended March 31, 2020, the aviation, marine and land transportation industries, along with global economic conditions generally, have been significantly disrupted by the pandemic. A large number of our customers in these industries have experienced substantial reductions in their operations due to travel restrictions and stay-at-home orders, as well as the extended shutdown of various businesses in affected regions. Furthermore, government measures also led to a precipitous decline and historic volatility in fuel prices in response to concerns about demand for fuel, further exacerbated by recent disagreements regarding crude oil production levels between the Organization of Petroleum Exporting Countries ("OPEC") members and other oil-producing countries such as Russia, as well as related global storage considerations. In response to these developments, in March 2020, we took swift action to ensure the safety of our employees and other stakeholders and initiated a number of initiatives relating to cost reduction, liquidity and operating efficiencies.</w:t>
      </w:r>
    </w:p>
    <w:p>
      <w:pPr>
        <w:spacing w:after="0" w:line="219" w:lineRule="exact"/>
        <w:rPr>
          <w:sz w:val="20"/>
          <w:szCs w:val="20"/>
          <w:color w:val="auto"/>
        </w:rPr>
      </w:pPr>
    </w:p>
    <w:p>
      <w:pPr>
        <w:ind w:right="200" w:firstLine="324"/>
        <w:spacing w:after="0" w:line="279" w:lineRule="auto"/>
        <w:rPr>
          <w:sz w:val="20"/>
          <w:szCs w:val="20"/>
          <w:color w:val="auto"/>
        </w:rPr>
      </w:pPr>
      <w:r>
        <w:rPr>
          <w:rFonts w:ascii="Arial" w:cs="Arial" w:eastAsia="Arial" w:hAnsi="Arial"/>
          <w:sz w:val="16"/>
          <w:szCs w:val="16"/>
          <w:color w:val="auto"/>
        </w:rPr>
        <w:t>While the pandemic and associated impacts on economic activity had a limited adverse effect on our results of operations and financial condition for the first quarter of 2020, we have since seen a sharp decline in demand and related sales as large sectors of the global economy have been adversely impacted by the crisis. Accordingly, our results of operations during the second quarter of 2020 were significantly impacted due to the effects of the pandemic. As a result, during the second quarter of 2020, we took additional steps and expanded the restructuring of our operations to include the rationalization of our global office footprint, including the transition of select offices to smaller or more cost-effective locations.</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0" w:name="page11"/>
    <w:bookmarkEnd w:id="10"/>
    <w:p>
      <w:pPr>
        <w:jc w:val="both"/>
        <w:ind w:firstLine="324"/>
        <w:spacing w:after="0" w:line="291" w:lineRule="auto"/>
        <w:rPr>
          <w:sz w:val="20"/>
          <w:szCs w:val="20"/>
          <w:color w:val="auto"/>
        </w:rPr>
      </w:pPr>
      <w:r>
        <w:rPr>
          <w:rFonts w:ascii="Arial" w:cs="Arial" w:eastAsia="Arial" w:hAnsi="Arial"/>
          <w:sz w:val="16"/>
          <w:szCs w:val="16"/>
          <w:color w:val="auto"/>
        </w:rPr>
        <w:t>We make estimates and assumptions that affect the reported amounts on our financial statements and accompanying notes as of the date of the financial statements. We assessed accounting estimates that require consideration of forecasted financial information, including, but not limited to, our allowance for credit losses, the carrying value of our goodwill, intangible assets, and other long-lived assets. This assessment was conducted in the context of information reasonably available to us, as well as our consideration of the future potential impacts of COVID-19 on our business as of June 30, 2020. At this time, we are unable to predict with specificity the ultimate impact of the crisis, as it will depend on the magnitude, severity and duration of the pandemic, as well as how quickly, and to what extent, normal economic and operating conditions resume on a sustainable basis globally. Accordingly, if the impact is more severe or longer in duration than we have assumed, such impact could potentially result in additional impairments and increases in credit allowances.</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Significant Accounting Policies</w:t>
      </w:r>
    </w:p>
    <w:p>
      <w:pPr>
        <w:spacing w:after="0" w:line="256" w:lineRule="exact"/>
        <w:rPr>
          <w:sz w:val="20"/>
          <w:szCs w:val="20"/>
          <w:color w:val="auto"/>
        </w:rPr>
      </w:pPr>
    </w:p>
    <w:p>
      <w:pPr>
        <w:jc w:val="both"/>
        <w:ind w:firstLine="364"/>
        <w:spacing w:after="0" w:line="259" w:lineRule="auto"/>
        <w:rPr>
          <w:sz w:val="20"/>
          <w:szCs w:val="20"/>
          <w:color w:val="auto"/>
        </w:rPr>
      </w:pPr>
      <w:r>
        <w:rPr>
          <w:rFonts w:ascii="Arial" w:cs="Arial" w:eastAsia="Arial" w:hAnsi="Arial"/>
          <w:sz w:val="18"/>
          <w:szCs w:val="18"/>
          <w:color w:val="auto"/>
        </w:rPr>
        <w:t>There have been no significant changes, other than those related to the adopted new accounting standards below, in the Company's accounting policies from those disclosed in our 2019 10-K Report. The significant accounting policies we use for quarterly financial reporting are disclosed in Note 1. Basis of Presentation, New Accounting Standards and Significant Accounting Policies of the accompanying notes to the Consolidated Financial Statements included in our 2019 10-K Report, and in the section below Adoption of New Accounting Standards.</w:t>
      </w:r>
    </w:p>
    <w:p>
      <w:pPr>
        <w:spacing w:after="0" w:line="210"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Adoption of New Accounting Standards</w:t>
      </w:r>
    </w:p>
    <w:p>
      <w:pPr>
        <w:spacing w:after="0" w:line="229"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We included below a description of recent new accounting standards or accounting standards updates that had an impact on the Company’s Consolidated Financial Statements. New accounting standards or accounting standards updates not listed below were assessed and determined to be either not applicable or did not have a material impact on the Company’s Consolidated Financial Statements or processes.</w:t>
      </w:r>
    </w:p>
    <w:p>
      <w:pPr>
        <w:spacing w:after="0" w:line="192"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i w:val="1"/>
          <w:iCs w:val="1"/>
          <w:color w:val="auto"/>
        </w:rPr>
        <w:t xml:space="preserve">Financial Instruments-Credit Losses (Topic 326): Measurement of Credit Losses on Financial Instruments. </w:t>
      </w:r>
      <w:r>
        <w:rPr>
          <w:rFonts w:ascii="Arial" w:cs="Arial" w:eastAsia="Arial" w:hAnsi="Arial"/>
          <w:sz w:val="17"/>
          <w:szCs w:val="17"/>
          <w:color w:val="auto"/>
        </w:rPr>
        <w:t>In June 2016, Accounting Standards</w:t>
      </w:r>
      <w:r>
        <w:rPr>
          <w:rFonts w:ascii="Arial" w:cs="Arial" w:eastAsia="Arial" w:hAnsi="Arial"/>
          <w:sz w:val="17"/>
          <w:szCs w:val="17"/>
          <w:i w:val="1"/>
          <w:iCs w:val="1"/>
          <w:color w:val="auto"/>
        </w:rPr>
        <w:t xml:space="preserve"> </w:t>
      </w:r>
      <w:r>
        <w:rPr>
          <w:rFonts w:ascii="Arial" w:cs="Arial" w:eastAsia="Arial" w:hAnsi="Arial"/>
          <w:sz w:val="17"/>
          <w:szCs w:val="17"/>
          <w:color w:val="auto"/>
        </w:rPr>
        <w:t>Update ("ASU") 2016-13 was issued, which replaced the incurred loss impairment model with a model that reflects expected credit losses over the lifetime of the asset and requires consideration of a broader range of reasonable and supportable information to determine credit loss estimates. The guidance in this update, including the subsequent related codification amendments, changed how entities account for credit impairment from trade and other receivables, net investments arising from sales-type and direct financing leases, debt securities, purchased-credit impaired financial assets and other instruments in addition to loans. For receivables and certain other instruments that are not measured at fair value, entities are required to estimate expected credit losses. Under the expected loss model, an entity recognizes a loss upon initial recognition of the asset that reflects all future events that could lead to a loss being realized, regardless of whether it is probable that the future event will occur.</w:t>
      </w:r>
    </w:p>
    <w:p>
      <w:pPr>
        <w:spacing w:after="0" w:line="111"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Company adopted ASU 2016-13, including the related codification amendments, in the first quarter of 2020 utilizing the modified retrospective transition method and applying the transition provisions at the effective date.</w:t>
      </w:r>
    </w:p>
    <w:p>
      <w:pPr>
        <w:spacing w:after="0" w:line="8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implemented changes to business processes and internal controls that support the new standard. As of the date of implementation on January 1, 2020, the Company recognized $11.1 million as a reduction to the opening retained earnings balance. The main drivers of the consolidated impact at transition are related to the inclusion of future economic conditions, the exclusion of freestanding credit enhancements when estimating the expected credit loss and estimating the lifetime credit losses of notes receivable.</w:t>
      </w:r>
    </w:p>
    <w:p>
      <w:pPr>
        <w:spacing w:after="0" w:line="11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Accounting Standards Issued but Not Yet Adopted</w:t>
      </w:r>
    </w:p>
    <w:p>
      <w:pPr>
        <w:spacing w:after="0" w:line="25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There have been no recently issued accounting standards not yet adopted by us which are expected, upon adoption, to have a material impact on the Company’s Consolidated Financial Statements or processes.</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Accounts Receivable</w:t>
      </w:r>
    </w:p>
    <w:p>
      <w:pPr>
        <w:spacing w:after="0" w:line="252"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Accounts receivable and allowance for credit losses</w:t>
      </w:r>
    </w:p>
    <w:p>
      <w:pPr>
        <w:spacing w:after="0" w:line="256" w:lineRule="exact"/>
        <w:rPr>
          <w:sz w:val="20"/>
          <w:szCs w:val="20"/>
          <w:color w:val="auto"/>
        </w:rPr>
      </w:pPr>
    </w:p>
    <w:p>
      <w:pPr>
        <w:jc w:val="both"/>
        <w:ind w:firstLine="441"/>
        <w:spacing w:after="0" w:line="263" w:lineRule="auto"/>
        <w:rPr>
          <w:sz w:val="20"/>
          <w:szCs w:val="20"/>
          <w:color w:val="auto"/>
        </w:rPr>
      </w:pPr>
      <w:r>
        <w:rPr>
          <w:rFonts w:ascii="Arial" w:cs="Arial" w:eastAsia="Arial" w:hAnsi="Arial"/>
          <w:sz w:val="18"/>
          <w:szCs w:val="18"/>
          <w:color w:val="auto"/>
        </w:rPr>
        <w:t>We extend credit on an unsecured basis to most of our customers. Our exposure to expected credit losses depends on the financial condition of our customers and other macroeconomic factors beyond our control, such as deteriorating conditions in the world economy or in the industries we serve, changes in oil prices and political instability. While we actively manage our</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1" w:name="page12"/>
    <w:bookmarkEnd w:id="11"/>
    <w:p>
      <w:pPr>
        <w:jc w:val="both"/>
        <w:spacing w:after="0" w:line="277" w:lineRule="auto"/>
        <w:rPr>
          <w:sz w:val="20"/>
          <w:szCs w:val="20"/>
          <w:color w:val="auto"/>
        </w:rPr>
      </w:pPr>
      <w:r>
        <w:rPr>
          <w:rFonts w:ascii="Arial" w:cs="Arial" w:eastAsia="Arial" w:hAnsi="Arial"/>
          <w:sz w:val="18"/>
          <w:szCs w:val="18"/>
          <w:color w:val="auto"/>
        </w:rPr>
        <w:t>credit exposure and work to respond to both changes in our customers’ financial conditions or macroeconomic events, there can be no guarantee we will be able to mitigate all of these risks successfully.</w:t>
      </w:r>
    </w:p>
    <w:p>
      <w:pPr>
        <w:spacing w:after="0" w:line="197" w:lineRule="exact"/>
        <w:rPr>
          <w:sz w:val="20"/>
          <w:szCs w:val="20"/>
          <w:color w:val="auto"/>
        </w:rPr>
      </w:pPr>
    </w:p>
    <w:p>
      <w:pPr>
        <w:jc w:val="both"/>
        <w:ind w:firstLine="681"/>
        <w:spacing w:after="0" w:line="255" w:lineRule="auto"/>
        <w:rPr>
          <w:sz w:val="20"/>
          <w:szCs w:val="20"/>
          <w:color w:val="auto"/>
        </w:rPr>
      </w:pPr>
      <w:r>
        <w:rPr>
          <w:rFonts w:ascii="Arial" w:cs="Arial" w:eastAsia="Arial" w:hAnsi="Arial"/>
          <w:sz w:val="18"/>
          <w:szCs w:val="18"/>
          <w:color w:val="auto"/>
        </w:rPr>
        <w:t>We perform ongoing credit evaluations of our customers and adjust credit limits based upon payment history and the customer’s current creditworthiness based on expected exposure. Our payment terms with customers are based on each customers' creditworthiness and are generally 30-60 days, although certain markets and other customer-specific factors may warrant longer payment terms. Accounts receivable balances that are not paid within the terms of the sales agreement may be subject to finance fees based on the outstanding balance. Although we analyze customers’ payment history and expected creditworthiness, since we extend credit on an unsecured basis to most of our customers, there is a possibility that any accounts receivable not collected may ultimately need to be written off.</w:t>
      </w:r>
    </w:p>
    <w:p>
      <w:pPr>
        <w:spacing w:after="0" w:line="219"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Accounts receivable are measured at amortized cost. The health of our receivables is continuously monitored using a risk-based model, taking into consideration both the timeliness and predictability of collections from our customers. We maintain a provision for expected credit losses based upon our historical experience with our customers, along with any specific customer collection issues that we have identified from current financial information and business prospects, as well as any political or economic conditions or other market factors, including certain assumptions based on reasonable forward-looking information from market sources. Principally, based on these credit risk factors, portfolio segments are defined and an internally derived risk-based credit loss reserve is established and applied to each portfolio segment. Customer account balances that are deemed to be at high risk of collectability are reserved at higher rates than customer account balances which we expect to collect without difficulty.</w:t>
      </w:r>
    </w:p>
    <w:p>
      <w:pPr>
        <w:spacing w:after="0" w:line="204"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We had accounts receivable of $1.4 billion and $2.9 billion as of June 30, 2020 and December 31, 2019, respectively. We also had an allowance for credit losses related to accounts receivables and other insignificant financing receivables of $48.6 million (including the $11.1 million cumulative transition adjustment to retained earnings related to the implementation of ASU 2016-13) and $35.5 million, as of June 30, 2020 and December 31, 2019, respectively. Changes to the expected credit loss provision during the six months ended June 30, 2020 include global economic outlook considerations as a result of the Company’s assessment of reasonable and supportable forward-looking information including the expected overall impact of the pandemic mainly to the aviation segment. Write-off of uncollectible receivables during the six months ended June 30, 2020 resulted from negative impacts of the pandemic combined with pre-existing financial difficulties experienced by certain customers. Based on an aging analysis as of June 30, 2020, 91% of our net accounts receivable were outstanding less than 60 days.</w:t>
      </w:r>
    </w:p>
    <w:p>
      <w:pPr>
        <w:spacing w:after="0" w:line="11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activities in our allowance for credit losses (in millions):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140" w:type="dxa"/>
            <w:vAlign w:val="bottom"/>
            <w:tcBorders>
              <w:bottom w:val="single" w:sz="8" w:color="auto"/>
            </w:tcBorders>
          </w:tcPr>
          <w:p>
            <w:pPr>
              <w:spacing w:after="0"/>
              <w:rPr>
                <w:sz w:val="16"/>
                <w:szCs w:val="16"/>
                <w:color w:val="auto"/>
              </w:rPr>
            </w:pPr>
          </w:p>
        </w:tc>
        <w:tc>
          <w:tcPr>
            <w:tcW w:w="43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Total</w:t>
            </w:r>
          </w:p>
        </w:tc>
      </w:tr>
      <w:tr>
        <w:trPr>
          <w:trHeight w:val="202"/>
        </w:trPr>
        <w:tc>
          <w:tcPr>
            <w:tcW w:w="6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January 1, 2020</w:t>
            </w:r>
          </w:p>
        </w:tc>
        <w:tc>
          <w:tcPr>
            <w:tcW w:w="432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46.6</w:t>
            </w:r>
          </w:p>
        </w:tc>
      </w:tr>
      <w:tr>
        <w:trPr>
          <w:trHeight w:val="196"/>
        </w:trPr>
        <w:tc>
          <w:tcPr>
            <w:tcW w:w="6140" w:type="dxa"/>
            <w:vAlign w:val="bottom"/>
          </w:tcPr>
          <w:p>
            <w:pPr>
              <w:ind w:left="20"/>
              <w:spacing w:after="0"/>
              <w:rPr>
                <w:sz w:val="20"/>
                <w:szCs w:val="20"/>
                <w:color w:val="auto"/>
              </w:rPr>
            </w:pPr>
            <w:r>
              <w:rPr>
                <w:rFonts w:ascii="Arial" w:cs="Arial" w:eastAsia="Arial" w:hAnsi="Arial"/>
                <w:sz w:val="14"/>
                <w:szCs w:val="14"/>
                <w:color w:val="auto"/>
              </w:rPr>
              <w:t>Charges to provision for credit losses</w:t>
            </w:r>
          </w:p>
        </w:tc>
        <w:tc>
          <w:tcPr>
            <w:tcW w:w="4320" w:type="dxa"/>
            <w:vAlign w:val="bottom"/>
          </w:tcPr>
          <w:p>
            <w:pPr>
              <w:spacing w:after="0"/>
              <w:rPr>
                <w:sz w:val="17"/>
                <w:szCs w:val="17"/>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34.6</w:t>
            </w:r>
          </w:p>
        </w:tc>
      </w:tr>
      <w:tr>
        <w:trPr>
          <w:trHeight w:val="209"/>
        </w:trPr>
        <w:tc>
          <w:tcPr>
            <w:tcW w:w="6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Write-off of uncollectible receivables</w:t>
            </w:r>
          </w:p>
        </w:tc>
        <w:tc>
          <w:tcPr>
            <w:tcW w:w="43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(32.9)</w:t>
            </w:r>
          </w:p>
        </w:tc>
      </w:tr>
      <w:tr>
        <w:trPr>
          <w:trHeight w:val="196"/>
        </w:trPr>
        <w:tc>
          <w:tcPr>
            <w:tcW w:w="6140" w:type="dxa"/>
            <w:vAlign w:val="bottom"/>
          </w:tcPr>
          <w:p>
            <w:pPr>
              <w:ind w:left="20"/>
              <w:spacing w:after="0"/>
              <w:rPr>
                <w:sz w:val="20"/>
                <w:szCs w:val="20"/>
                <w:color w:val="auto"/>
              </w:rPr>
            </w:pPr>
            <w:r>
              <w:rPr>
                <w:rFonts w:ascii="Arial" w:cs="Arial" w:eastAsia="Arial" w:hAnsi="Arial"/>
                <w:sz w:val="14"/>
                <w:szCs w:val="14"/>
                <w:color w:val="auto"/>
              </w:rPr>
              <w:t>Recoveries of credit losses</w:t>
            </w:r>
          </w:p>
        </w:tc>
        <w:tc>
          <w:tcPr>
            <w:tcW w:w="4320" w:type="dxa"/>
            <w:vAlign w:val="bottom"/>
          </w:tcPr>
          <w:p>
            <w:pPr>
              <w:spacing w:after="0"/>
              <w:rPr>
                <w:sz w:val="17"/>
                <w:szCs w:val="17"/>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0.4</w:t>
            </w:r>
          </w:p>
        </w:tc>
      </w:tr>
      <w:tr>
        <w:trPr>
          <w:trHeight w:val="203"/>
        </w:trPr>
        <w:tc>
          <w:tcPr>
            <w:tcW w:w="6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Translation adjustments</w:t>
            </w:r>
          </w:p>
        </w:tc>
        <w:tc>
          <w:tcPr>
            <w:tcW w:w="43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(0.1)</w:t>
            </w:r>
          </w:p>
        </w:tc>
      </w:tr>
      <w:tr>
        <w:trPr>
          <w:trHeight w:val="196"/>
        </w:trPr>
        <w:tc>
          <w:tcPr>
            <w:tcW w:w="61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Balance as of June 30, 2020</w:t>
            </w:r>
          </w:p>
        </w:tc>
        <w:tc>
          <w:tcPr>
            <w:tcW w:w="43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48.6</w:t>
            </w:r>
          </w:p>
        </w:tc>
      </w:tr>
      <w:tr>
        <w:trPr>
          <w:trHeight w:val="26"/>
        </w:trPr>
        <w:tc>
          <w:tcPr>
            <w:tcW w:w="6140" w:type="dxa"/>
            <w:vAlign w:val="bottom"/>
            <w:tcBorders>
              <w:bottom w:val="single" w:sz="8" w:color="auto"/>
            </w:tcBorders>
          </w:tcPr>
          <w:p>
            <w:pPr>
              <w:spacing w:after="0"/>
              <w:rPr>
                <w:sz w:val="2"/>
                <w:szCs w:val="2"/>
                <w:color w:val="auto"/>
              </w:rPr>
            </w:pPr>
          </w:p>
        </w:tc>
        <w:tc>
          <w:tcPr>
            <w:tcW w:w="43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bl>
    <w:p>
      <w:pPr>
        <w:spacing w:after="0" w:line="252"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Financing programs</w:t>
      </w:r>
    </w:p>
    <w:p>
      <w:pPr>
        <w:spacing w:after="0" w:line="148"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We have accounts receivable financing programs under receivables purchase agreements (“RPAs”) with Wells Fargo Bank, N.A. and Citibank, N.A. that allow for the sale of our accounts receivable in an amount up to 100% of our outstanding qualifying accounts receivable balances and receive cash consideration equal to the total balance, less a discount margin equal to LIBOR plus 1% to 3%. Accounts receivable sold under the RPAs are accounted for as sales, in accordance with FASB ASC Topic 860, </w:t>
      </w:r>
      <w:r>
        <w:rPr>
          <w:rFonts w:ascii="Arial" w:cs="Arial" w:eastAsia="Arial" w:hAnsi="Arial"/>
          <w:sz w:val="18"/>
          <w:szCs w:val="18"/>
          <w:i w:val="1"/>
          <w:iCs w:val="1"/>
          <w:color w:val="auto"/>
        </w:rPr>
        <w:t>Transfers and Servicing</w:t>
      </w:r>
      <w:r>
        <w:rPr>
          <w:rFonts w:ascii="Arial" w:cs="Arial" w:eastAsia="Arial" w:hAnsi="Arial"/>
          <w:sz w:val="18"/>
          <w:szCs w:val="18"/>
          <w:color w:val="auto"/>
        </w:rPr>
        <w:t>, and excluded from Accounts receivable, net on the accompanying Consolidated Balance Sheets. Fees and interest paid under the RPAs are recorded within Interest expense and other financing costs, net on the Consolidated Statements of Comprehensive Income.</w:t>
      </w:r>
    </w:p>
    <w:p>
      <w:pPr>
        <w:spacing w:after="0" w:line="219" w:lineRule="exact"/>
        <w:rPr>
          <w:sz w:val="20"/>
          <w:szCs w:val="20"/>
          <w:color w:val="auto"/>
        </w:rPr>
      </w:pPr>
    </w:p>
    <w:p>
      <w:pPr>
        <w:jc w:val="both"/>
        <w:ind w:firstLine="421"/>
        <w:spacing w:after="0" w:line="279" w:lineRule="auto"/>
        <w:rPr>
          <w:sz w:val="20"/>
          <w:szCs w:val="20"/>
          <w:color w:val="auto"/>
        </w:rPr>
      </w:pPr>
      <w:r>
        <w:rPr>
          <w:rFonts w:ascii="Arial" w:cs="Arial" w:eastAsia="Arial" w:hAnsi="Arial"/>
          <w:sz w:val="17"/>
          <w:szCs w:val="17"/>
          <w:color w:val="auto"/>
        </w:rPr>
        <w:t>Under the RPAs, accounts receivable sold, which remained outstanding as of June 30, 2020 and December 31, 2019, were $92.6 million and $405.9 million, respectively. The fees and interest paid under the RPAs were $5.5 million and $13.3 million for the six months ended June 30, 2020 and 2019, respectively. For the six months ended June 30, 2020 and 2019, cash payments to the owners of account receivables were $2.5 billion and $4.2 billion, respectively, and cash proceeds from the sale of account receivables were $2.2 billion and $4.2 billion,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3. Acquisitions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2020 Acquisitions</w:t>
      </w:r>
    </w:p>
    <w:p>
      <w:pPr>
        <w:spacing w:after="0" w:line="256" w:lineRule="exact"/>
        <w:rPr>
          <w:sz w:val="20"/>
          <w:szCs w:val="20"/>
          <w:color w:val="auto"/>
        </w:rPr>
      </w:pPr>
    </w:p>
    <w:p>
      <w:pPr>
        <w:jc w:val="both"/>
        <w:ind w:right="20" w:firstLine="324"/>
        <w:spacing w:after="0" w:line="308" w:lineRule="auto"/>
        <w:rPr>
          <w:sz w:val="20"/>
          <w:szCs w:val="20"/>
          <w:color w:val="auto"/>
        </w:rPr>
      </w:pPr>
      <w:r>
        <w:rPr>
          <w:rFonts w:ascii="Arial" w:cs="Arial" w:eastAsia="Arial" w:hAnsi="Arial"/>
          <w:sz w:val="17"/>
          <w:szCs w:val="17"/>
          <w:color w:val="auto"/>
        </w:rPr>
        <w:t>During the second quarter of 2020, we acquired an additional interest in a software company in our aviation segment and obtained control. The transaction was accounted for as an asset acquisition and did not have a material impact on our Consolidated Financial Statements.</w:t>
      </w:r>
    </w:p>
    <w:p>
      <w:pPr>
        <w:spacing w:after="0" w:line="173" w:lineRule="exact"/>
        <w:rPr>
          <w:sz w:val="20"/>
          <w:szCs w:val="20"/>
          <w:color w:val="auto"/>
        </w:rPr>
      </w:pPr>
    </w:p>
    <w:p>
      <w:pPr>
        <w:jc w:val="both"/>
        <w:ind w:firstLine="324"/>
        <w:spacing w:after="0" w:line="308" w:lineRule="auto"/>
        <w:rPr>
          <w:sz w:val="20"/>
          <w:szCs w:val="20"/>
          <w:color w:val="auto"/>
        </w:rPr>
      </w:pPr>
      <w:r>
        <w:rPr>
          <w:rFonts w:ascii="Arial" w:cs="Arial" w:eastAsia="Arial" w:hAnsi="Arial"/>
          <w:sz w:val="17"/>
          <w:szCs w:val="17"/>
          <w:color w:val="auto"/>
        </w:rPr>
        <w:t>During the first quarter of 2020, we completed the acquisition of the aviation fuel business from Universal Weather and Aviation, Inc. (“UVair fuel business”), which serves business and general aviation customers worldwide. The acquisition was accounted for as a business combination.</w:t>
      </w:r>
    </w:p>
    <w:p>
      <w:pPr>
        <w:spacing w:after="0" w:line="173" w:lineRule="exact"/>
        <w:rPr>
          <w:sz w:val="20"/>
          <w:szCs w:val="20"/>
          <w:color w:val="auto"/>
        </w:rPr>
      </w:pPr>
    </w:p>
    <w:p>
      <w:pPr>
        <w:jc w:val="both"/>
        <w:ind w:firstLine="420"/>
        <w:spacing w:after="0" w:line="279" w:lineRule="auto"/>
        <w:rPr>
          <w:sz w:val="20"/>
          <w:szCs w:val="20"/>
          <w:color w:val="auto"/>
        </w:rPr>
      </w:pPr>
      <w:r>
        <w:rPr>
          <w:rFonts w:ascii="Arial" w:cs="Arial" w:eastAsia="Arial" w:hAnsi="Arial"/>
          <w:sz w:val="17"/>
          <w:szCs w:val="17"/>
          <w:color w:val="auto"/>
        </w:rPr>
        <w:t>The following table summarizes the aggregate consideration paid for this acquisition, updated as of June 30, 2020 for certain working capital items, and the provisional amounts of the assets acquired and liabilities assumed, recognized at the acquisition date. The Company is in the process of obtaining information to finalize the valuations of certain acquired assets and assumed liabilities and expects to complete the process in the third quarter 2020. Thus, the provisional measurements of these acquired assets and assumed liabilities are subject to change (amounts in millions):</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02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Total</w:t>
            </w:r>
          </w:p>
        </w:tc>
      </w:tr>
      <w:tr>
        <w:trPr>
          <w:trHeight w:val="202"/>
        </w:trPr>
        <w:tc>
          <w:tcPr>
            <w:tcW w:w="102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Cash paid for acquisition of business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b w:val="1"/>
                <w:bCs w:val="1"/>
                <w:color w:val="auto"/>
              </w:rPr>
              <w:t>128.6</w:t>
            </w:r>
          </w:p>
        </w:tc>
      </w:tr>
      <w:tr>
        <w:trPr>
          <w:trHeight w:val="196"/>
        </w:trPr>
        <w:tc>
          <w:tcPr>
            <w:tcW w:w="102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Amounts due to sellers</w:t>
            </w:r>
          </w:p>
        </w:tc>
        <w:tc>
          <w:tcPr>
            <w:tcW w:w="2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30.0</w:t>
            </w:r>
          </w:p>
        </w:tc>
      </w:tr>
      <w:tr>
        <w:trPr>
          <w:trHeight w:val="221"/>
        </w:trPr>
        <w:tc>
          <w:tcPr>
            <w:tcW w:w="10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Estimated purchase price</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b w:val="1"/>
                <w:bCs w:val="1"/>
                <w:color w:val="auto"/>
              </w:rPr>
              <w:t>158.6</w:t>
            </w:r>
          </w:p>
        </w:tc>
      </w:tr>
      <w:tr>
        <w:trPr>
          <w:trHeight w:val="20"/>
        </w:trPr>
        <w:tc>
          <w:tcPr>
            <w:tcW w:w="1024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r>
      <w:tr>
        <w:trPr>
          <w:trHeight w:val="169"/>
        </w:trPr>
        <w:tc>
          <w:tcPr>
            <w:tcW w:w="10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203"/>
        </w:trPr>
        <w:tc>
          <w:tcPr>
            <w:tcW w:w="102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 acquired:</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r>
      <w:tr>
        <w:trPr>
          <w:trHeight w:val="197"/>
        </w:trPr>
        <w:tc>
          <w:tcPr>
            <w:tcW w:w="10240" w:type="dxa"/>
            <w:vAlign w:val="bottom"/>
          </w:tcPr>
          <w:p>
            <w:pPr>
              <w:ind w:left="20"/>
              <w:spacing w:after="0"/>
              <w:rPr>
                <w:sz w:val="20"/>
                <w:szCs w:val="20"/>
                <w:color w:val="auto"/>
              </w:rPr>
            </w:pPr>
            <w:r>
              <w:rPr>
                <w:rFonts w:ascii="Arial" w:cs="Arial" w:eastAsia="Arial" w:hAnsi="Arial"/>
                <w:sz w:val="14"/>
                <w:szCs w:val="14"/>
                <w:color w:val="auto"/>
              </w:rPr>
              <w:t>Accounts receivable</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42.8</w:t>
            </w:r>
          </w:p>
        </w:tc>
      </w:tr>
      <w:tr>
        <w:trPr>
          <w:trHeight w:val="208"/>
        </w:trPr>
        <w:tc>
          <w:tcPr>
            <w:tcW w:w="10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Goodwill and identifiable intangible assets</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123.0</w:t>
            </w:r>
          </w:p>
        </w:tc>
      </w:tr>
      <w:tr>
        <w:trPr>
          <w:trHeight w:val="196"/>
        </w:trPr>
        <w:tc>
          <w:tcPr>
            <w:tcW w:w="10240" w:type="dxa"/>
            <w:vAlign w:val="bottom"/>
          </w:tcPr>
          <w:p>
            <w:pPr>
              <w:ind w:left="20"/>
              <w:spacing w:after="0"/>
              <w:rPr>
                <w:sz w:val="20"/>
                <w:szCs w:val="20"/>
                <w:color w:val="auto"/>
              </w:rPr>
            </w:pPr>
            <w:r>
              <w:rPr>
                <w:rFonts w:ascii="Arial" w:cs="Arial" w:eastAsia="Arial" w:hAnsi="Arial"/>
                <w:sz w:val="14"/>
                <w:szCs w:val="14"/>
                <w:color w:val="auto"/>
              </w:rPr>
              <w:t>Other current and long-term assets</w:t>
            </w:r>
          </w:p>
        </w:tc>
        <w:tc>
          <w:tcPr>
            <w:tcW w:w="220" w:type="dxa"/>
            <w:vAlign w:val="bottom"/>
          </w:tcPr>
          <w:p>
            <w:pPr>
              <w:spacing w:after="0"/>
              <w:rPr>
                <w:sz w:val="17"/>
                <w:szCs w:val="17"/>
                <w:color w:val="auto"/>
              </w:rPr>
            </w:pPr>
          </w:p>
        </w:tc>
        <w:tc>
          <w:tcPr>
            <w:tcW w:w="760" w:type="dxa"/>
            <w:vAlign w:val="bottom"/>
          </w:tcPr>
          <w:p>
            <w:pPr>
              <w:jc w:val="right"/>
              <w:ind w:right="88"/>
              <w:spacing w:after="0"/>
              <w:rPr>
                <w:sz w:val="20"/>
                <w:szCs w:val="20"/>
                <w:color w:val="auto"/>
              </w:rPr>
            </w:pPr>
            <w:r>
              <w:rPr>
                <w:rFonts w:ascii="Arial" w:cs="Arial" w:eastAsia="Arial" w:hAnsi="Arial"/>
                <w:sz w:val="14"/>
                <w:szCs w:val="14"/>
                <w:color w:val="auto"/>
              </w:rPr>
              <w:t>3.8</w:t>
            </w:r>
          </w:p>
        </w:tc>
      </w:tr>
      <w:tr>
        <w:trPr>
          <w:trHeight w:val="222"/>
        </w:trPr>
        <w:tc>
          <w:tcPr>
            <w:tcW w:w="102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r>
      <w:tr>
        <w:trPr>
          <w:trHeight w:val="197"/>
        </w:trPr>
        <w:tc>
          <w:tcPr>
            <w:tcW w:w="10240" w:type="dxa"/>
            <w:vAlign w:val="bottom"/>
          </w:tcPr>
          <w:p>
            <w:pPr>
              <w:ind w:left="20"/>
              <w:spacing w:after="0"/>
              <w:rPr>
                <w:sz w:val="20"/>
                <w:szCs w:val="20"/>
                <w:color w:val="auto"/>
              </w:rPr>
            </w:pPr>
            <w:r>
              <w:rPr>
                <w:rFonts w:ascii="Arial" w:cs="Arial" w:eastAsia="Arial" w:hAnsi="Arial"/>
                <w:sz w:val="14"/>
                <w:szCs w:val="14"/>
                <w:b w:val="1"/>
                <w:bCs w:val="1"/>
                <w:color w:val="auto"/>
              </w:rPr>
              <w:t>Liabilities assumed:</w:t>
            </w: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09"/>
        </w:trPr>
        <w:tc>
          <w:tcPr>
            <w:tcW w:w="10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Accounts payable</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w:t>
            </w:r>
          </w:p>
        </w:tc>
      </w:tr>
      <w:tr>
        <w:trPr>
          <w:trHeight w:val="196"/>
        </w:trPr>
        <w:tc>
          <w:tcPr>
            <w:tcW w:w="10240" w:type="dxa"/>
            <w:vAlign w:val="bottom"/>
          </w:tcPr>
          <w:p>
            <w:pPr>
              <w:ind w:left="20"/>
              <w:spacing w:after="0"/>
              <w:rPr>
                <w:sz w:val="20"/>
                <w:szCs w:val="20"/>
                <w:color w:val="auto"/>
              </w:rPr>
            </w:pPr>
            <w:r>
              <w:rPr>
                <w:rFonts w:ascii="Arial" w:cs="Arial" w:eastAsia="Arial" w:hAnsi="Arial"/>
                <w:sz w:val="14"/>
                <w:szCs w:val="14"/>
                <w:color w:val="auto"/>
              </w:rPr>
              <w:t>Other current and long-term liabilities</w:t>
            </w:r>
          </w:p>
        </w:tc>
        <w:tc>
          <w:tcPr>
            <w:tcW w:w="220" w:type="dxa"/>
            <w:vAlign w:val="bottom"/>
          </w:tcPr>
          <w:p>
            <w:pPr>
              <w:spacing w:after="0"/>
              <w:rPr>
                <w:sz w:val="17"/>
                <w:szCs w:val="17"/>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(1.0)</w:t>
            </w:r>
          </w:p>
        </w:tc>
      </w:tr>
      <w:tr>
        <w:trPr>
          <w:trHeight w:val="222"/>
        </w:trPr>
        <w:tc>
          <w:tcPr>
            <w:tcW w:w="1024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spacing w:after="0"/>
              <w:rPr>
                <w:sz w:val="19"/>
                <w:szCs w:val="19"/>
                <w:color w:val="auto"/>
              </w:rPr>
            </w:pPr>
          </w:p>
        </w:tc>
      </w:tr>
      <w:tr>
        <w:trPr>
          <w:trHeight w:val="190"/>
        </w:trPr>
        <w:tc>
          <w:tcPr>
            <w:tcW w:w="102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Estimated purchase price</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158.6</w:t>
            </w:r>
          </w:p>
        </w:tc>
      </w:tr>
      <w:tr>
        <w:trPr>
          <w:trHeight w:val="26"/>
        </w:trPr>
        <w:tc>
          <w:tcPr>
            <w:tcW w:w="10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The goodwill of $78.7 million included the adjustments made to certain working capital items during the quarter ended June 30, 2020 and was assigned to the aviation segment. The company anticipates $70.3 million of the goodwill assigned to be deductible for tax purposes and is attributable primarily to the expected synergies and other benefits that we believe will result from combining the acquired operations with the aviation segment operations. The identifiable intangible assets were $44.3 million and primarily consisted of customer relationships and other identifiable assets.</w:t>
      </w:r>
    </w:p>
    <w:p>
      <w:pPr>
        <w:spacing w:after="0" w:line="198"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The financial position, results of operations and cash flows of these acquisitions have been included in our Consolidated Financial Statements since their acquisition dates and did not have a material impact on our consolidated revenue and net income for the three and six months ended June 30, 2020; accordingly, pro forma information for these acquisitions have not been provided as the impact was not considered material.</w:t>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Derivative Instruments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describes our derivative classifications: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Fair Value Hedges. </w:t>
      </w:r>
      <w:r>
        <w:rPr>
          <w:rFonts w:ascii="Arial" w:cs="Arial" w:eastAsia="Arial" w:hAnsi="Arial"/>
          <w:sz w:val="18"/>
          <w:szCs w:val="18"/>
          <w:color w:val="auto"/>
        </w:rPr>
        <w:t>Includes derivative contracts we hold to hedge the risk of changes in the price of our inventory.</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7"/>
          <w:szCs w:val="17"/>
          <w:i w:val="1"/>
          <w:iCs w:val="1"/>
          <w:color w:val="auto"/>
        </w:rPr>
        <w:t xml:space="preserve">Cash Flow Hedges. </w:t>
      </w:r>
      <w:r>
        <w:rPr>
          <w:rFonts w:ascii="Arial" w:cs="Arial" w:eastAsia="Arial" w:hAnsi="Arial"/>
          <w:sz w:val="17"/>
          <w:szCs w:val="17"/>
          <w:color w:val="auto"/>
        </w:rPr>
        <w:t>Includes derivative contracts we execute to mitigate the risk of price and interest rate volatility in forecasted transactions.</w:t>
      </w:r>
    </w:p>
    <w:p>
      <w:pPr>
        <w:spacing w:after="0" w:line="264" w:lineRule="exact"/>
        <w:rPr>
          <w:sz w:val="20"/>
          <w:szCs w:val="20"/>
          <w:color w:val="auto"/>
        </w:rPr>
      </w:pPr>
    </w:p>
    <w:p>
      <w:pPr>
        <w:jc w:val="both"/>
        <w:ind w:firstLine="324"/>
        <w:spacing w:after="0" w:line="342" w:lineRule="auto"/>
        <w:rPr>
          <w:sz w:val="20"/>
          <w:szCs w:val="20"/>
          <w:color w:val="auto"/>
        </w:rPr>
      </w:pPr>
      <w:r>
        <w:rPr>
          <w:rFonts w:ascii="Arial" w:cs="Arial" w:eastAsia="Arial" w:hAnsi="Arial"/>
          <w:sz w:val="16"/>
          <w:szCs w:val="16"/>
          <w:i w:val="1"/>
          <w:iCs w:val="1"/>
          <w:color w:val="auto"/>
        </w:rPr>
        <w:t xml:space="preserve">Non-designated Derivatives. </w:t>
      </w:r>
      <w:r>
        <w:rPr>
          <w:rFonts w:ascii="Arial" w:cs="Arial" w:eastAsia="Arial" w:hAnsi="Arial"/>
          <w:sz w:val="16"/>
          <w:szCs w:val="16"/>
          <w:color w:val="auto"/>
        </w:rPr>
        <w:t>Includes derivatives we primarily transact to mitigate the risk of market price fluctuations in swaps or futures contracts, as</w:t>
      </w:r>
      <w:r>
        <w:rPr>
          <w:rFonts w:ascii="Arial" w:cs="Arial" w:eastAsia="Arial" w:hAnsi="Arial"/>
          <w:sz w:val="16"/>
          <w:szCs w:val="16"/>
          <w:i w:val="1"/>
          <w:iCs w:val="1"/>
          <w:color w:val="auto"/>
        </w:rPr>
        <w:t xml:space="preserve"> </w:t>
      </w:r>
      <w:r>
        <w:rPr>
          <w:rFonts w:ascii="Arial" w:cs="Arial" w:eastAsia="Arial" w:hAnsi="Arial"/>
          <w:sz w:val="16"/>
          <w:szCs w:val="16"/>
          <w:color w:val="auto"/>
        </w:rPr>
        <w:t>well as certain forward fixed price purchase and sale contracts to hedge the risk of currency rate fluctuations and for portfolio optimization.</w:t>
      </w: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3" w:name="page14"/>
    <w:bookmarkEnd w:id="13"/>
    <w:p>
      <w:pPr>
        <w:jc w:val="both"/>
        <w:ind w:firstLine="324"/>
        <w:spacing w:after="0" w:line="257" w:lineRule="auto"/>
        <w:rPr>
          <w:sz w:val="20"/>
          <w:szCs w:val="20"/>
          <w:color w:val="auto"/>
        </w:rPr>
      </w:pPr>
      <w:r>
        <w:rPr>
          <w:rFonts w:ascii="Arial" w:cs="Arial" w:eastAsia="Arial" w:hAnsi="Arial"/>
          <w:sz w:val="18"/>
          <w:szCs w:val="18"/>
          <w:color w:val="auto"/>
        </w:rPr>
        <w:t>In March 2020, we entered into a $300 million, one-month LIBOR, floating-for-fixed non-amortizing interest rate swap contract ("IR Swap") with a maturity date in March 2025. The IR Swap was designated as a cash flow hedge to mitigate potential adverse changes in interest rates related to certain variable rate debt obligations. Changes in the IR Swap's fair value recorded periodically in Accumulated other comprehensive income, are subsequently reclassified to our Consolidated Statements of Income and Comprehensive Income within Interest expense and other financing costs, net when the underlying hedged variable rate interest payments are accrued.</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The following table presents the gross fair value of our derivative instruments and their locations on the Consolidated Balance Sheets (in millions):</w:t>
      </w:r>
    </w:p>
    <w:p>
      <w:pPr>
        <w:spacing w:after="0" w:line="282"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60" w:type="dxa"/>
            <w:vAlign w:val="bottom"/>
            <w:gridSpan w:val="3"/>
          </w:tcPr>
          <w:p>
            <w:pPr>
              <w:jc w:val="right"/>
              <w:ind w:right="428"/>
              <w:spacing w:after="0"/>
              <w:rPr>
                <w:sz w:val="20"/>
                <w:szCs w:val="20"/>
                <w:color w:val="auto"/>
              </w:rPr>
            </w:pPr>
            <w:r>
              <w:rPr>
                <w:rFonts w:ascii="Arial" w:cs="Arial" w:eastAsia="Arial" w:hAnsi="Arial"/>
                <w:sz w:val="14"/>
                <w:szCs w:val="14"/>
                <w:b w:val="1"/>
                <w:bCs w:val="1"/>
                <w:color w:val="auto"/>
              </w:rPr>
              <w:t>Gross Derivative Assets</w:t>
            </w:r>
          </w:p>
        </w:tc>
        <w:tc>
          <w:tcPr>
            <w:tcW w:w="340" w:type="dxa"/>
            <w:vAlign w:val="bottom"/>
          </w:tcPr>
          <w:p>
            <w:pPr>
              <w:spacing w:after="0"/>
              <w:rPr>
                <w:sz w:val="16"/>
                <w:szCs w:val="16"/>
                <w:color w:val="auto"/>
              </w:rPr>
            </w:pPr>
          </w:p>
        </w:tc>
        <w:tc>
          <w:tcPr>
            <w:tcW w:w="2280" w:type="dxa"/>
            <w:vAlign w:val="bottom"/>
            <w:gridSpan w:val="3"/>
          </w:tcPr>
          <w:p>
            <w:pPr>
              <w:jc w:val="right"/>
              <w:ind w:right="348"/>
              <w:spacing w:after="0"/>
              <w:rPr>
                <w:sz w:val="20"/>
                <w:szCs w:val="20"/>
                <w:color w:val="auto"/>
              </w:rPr>
            </w:pPr>
            <w:r>
              <w:rPr>
                <w:rFonts w:ascii="Arial" w:cs="Arial" w:eastAsia="Arial" w:hAnsi="Arial"/>
                <w:sz w:val="14"/>
                <w:szCs w:val="14"/>
                <w:b w:val="1"/>
                <w:bCs w:val="1"/>
                <w:color w:val="auto"/>
              </w:rPr>
              <w:t>Gross Derivative Liabilities</w:t>
            </w:r>
          </w:p>
        </w:tc>
      </w:tr>
      <w:tr>
        <w:trPr>
          <w:trHeight w:val="208"/>
        </w:trPr>
        <w:tc>
          <w:tcPr>
            <w:tcW w:w="2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1"/>
              </w:rPr>
              <w:t>As of</w:t>
            </w:r>
          </w:p>
        </w:tc>
        <w:tc>
          <w:tcPr>
            <w:tcW w:w="10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1"/>
              </w:rPr>
              <w:t>As of</w:t>
            </w:r>
          </w:p>
        </w:tc>
        <w:tc>
          <w:tcPr>
            <w:tcW w:w="1060" w:type="dxa"/>
            <w:vAlign w:val="bottom"/>
            <w:tcBorders>
              <w:bottom w:val="single" w:sz="8" w:color="auto"/>
            </w:tcBorders>
          </w:tcPr>
          <w:p>
            <w:pPr>
              <w:spacing w:after="0"/>
              <w:rPr>
                <w:sz w:val="18"/>
                <w:szCs w:val="18"/>
                <w:color w:val="auto"/>
              </w:rPr>
            </w:pPr>
          </w:p>
        </w:tc>
      </w:tr>
      <w:tr>
        <w:trPr>
          <w:trHeight w:val="190"/>
        </w:trPr>
        <w:tc>
          <w:tcPr>
            <w:tcW w:w="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jc w:val="right"/>
              <w:ind w:right="148"/>
              <w:spacing w:after="0"/>
              <w:rPr>
                <w:sz w:val="20"/>
                <w:szCs w:val="20"/>
                <w:color w:val="auto"/>
              </w:rPr>
            </w:pPr>
            <w:r>
              <w:rPr>
                <w:rFonts w:ascii="Arial" w:cs="Arial" w:eastAsia="Arial" w:hAnsi="Arial"/>
                <w:sz w:val="14"/>
                <w:szCs w:val="14"/>
                <w:b w:val="1"/>
                <w:bCs w:val="1"/>
                <w:color w:val="auto"/>
              </w:rPr>
              <w:t>June 30,</w:t>
            </w:r>
          </w:p>
        </w:tc>
        <w:tc>
          <w:tcPr>
            <w:tcW w:w="360" w:type="dxa"/>
            <w:vAlign w:val="bottom"/>
          </w:tcPr>
          <w:p>
            <w:pPr>
              <w:spacing w:after="0"/>
              <w:rPr>
                <w:sz w:val="16"/>
                <w:szCs w:val="16"/>
                <w:color w:val="auto"/>
              </w:rPr>
            </w:pPr>
          </w:p>
        </w:tc>
        <w:tc>
          <w:tcPr>
            <w:tcW w:w="1040" w:type="dxa"/>
            <w:vAlign w:val="bottom"/>
          </w:tcPr>
          <w:p>
            <w:pPr>
              <w:jc w:val="right"/>
              <w:ind w:right="88"/>
              <w:spacing w:after="0"/>
              <w:rPr>
                <w:sz w:val="20"/>
                <w:szCs w:val="20"/>
                <w:color w:val="auto"/>
              </w:rPr>
            </w:pPr>
            <w:r>
              <w:rPr>
                <w:rFonts w:ascii="Arial" w:cs="Arial" w:eastAsia="Arial" w:hAnsi="Arial"/>
                <w:sz w:val="14"/>
                <w:szCs w:val="14"/>
                <w:b w:val="1"/>
                <w:bCs w:val="1"/>
                <w:color w:val="auto"/>
                <w:w w:val="94"/>
              </w:rPr>
              <w:t>December 31,</w:t>
            </w:r>
          </w:p>
        </w:tc>
        <w:tc>
          <w:tcPr>
            <w:tcW w:w="340" w:type="dxa"/>
            <w:vAlign w:val="bottom"/>
          </w:tcPr>
          <w:p>
            <w:pPr>
              <w:spacing w:after="0"/>
              <w:rPr>
                <w:sz w:val="16"/>
                <w:szCs w:val="16"/>
                <w:color w:val="auto"/>
              </w:rPr>
            </w:pPr>
          </w:p>
        </w:tc>
        <w:tc>
          <w:tcPr>
            <w:tcW w:w="840" w:type="dxa"/>
            <w:vAlign w:val="bottom"/>
          </w:tcPr>
          <w:p>
            <w:pPr>
              <w:jc w:val="right"/>
              <w:ind w:right="128"/>
              <w:spacing w:after="0"/>
              <w:rPr>
                <w:sz w:val="20"/>
                <w:szCs w:val="20"/>
                <w:color w:val="auto"/>
              </w:rPr>
            </w:pPr>
            <w:r>
              <w:rPr>
                <w:rFonts w:ascii="Arial" w:cs="Arial" w:eastAsia="Arial" w:hAnsi="Arial"/>
                <w:sz w:val="14"/>
                <w:szCs w:val="14"/>
                <w:b w:val="1"/>
                <w:bCs w:val="1"/>
                <w:color w:val="auto"/>
              </w:rPr>
              <w:t>June 30,</w:t>
            </w:r>
          </w:p>
        </w:tc>
        <w:tc>
          <w:tcPr>
            <w:tcW w:w="380" w:type="dxa"/>
            <w:vAlign w:val="bottom"/>
          </w:tcPr>
          <w:p>
            <w:pPr>
              <w:spacing w:after="0"/>
              <w:rPr>
                <w:sz w:val="16"/>
                <w:szCs w:val="16"/>
                <w:color w:val="auto"/>
              </w:rPr>
            </w:pPr>
          </w:p>
        </w:tc>
        <w:tc>
          <w:tcPr>
            <w:tcW w:w="1060" w:type="dxa"/>
            <w:vAlign w:val="bottom"/>
          </w:tcPr>
          <w:p>
            <w:pPr>
              <w:jc w:val="right"/>
              <w:ind w:right="108"/>
              <w:spacing w:after="0"/>
              <w:rPr>
                <w:sz w:val="20"/>
                <w:szCs w:val="20"/>
                <w:color w:val="auto"/>
              </w:rPr>
            </w:pPr>
            <w:r>
              <w:rPr>
                <w:rFonts w:ascii="Arial" w:cs="Arial" w:eastAsia="Arial" w:hAnsi="Arial"/>
                <w:sz w:val="14"/>
                <w:szCs w:val="14"/>
                <w:b w:val="1"/>
                <w:bCs w:val="1"/>
                <w:color w:val="auto"/>
                <w:w w:val="94"/>
              </w:rPr>
              <w:t>December 31,</w:t>
            </w:r>
          </w:p>
        </w:tc>
      </w:tr>
      <w:tr>
        <w:trPr>
          <w:trHeight w:val="209"/>
        </w:trPr>
        <w:tc>
          <w:tcPr>
            <w:tcW w:w="2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2020</w:t>
            </w:r>
          </w:p>
        </w:tc>
        <w:tc>
          <w:tcPr>
            <w:tcW w:w="3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2019</w:t>
            </w:r>
          </w:p>
        </w:tc>
        <w:tc>
          <w:tcPr>
            <w:tcW w:w="3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r>
      <w:tr>
        <w:trPr>
          <w:trHeight w:val="196"/>
        </w:trPr>
        <w:tc>
          <w:tcPr>
            <w:tcW w:w="19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Derivative Instruments</w:t>
            </w:r>
          </w:p>
        </w:tc>
        <w:tc>
          <w:tcPr>
            <w:tcW w:w="4160" w:type="dxa"/>
            <w:vAlign w:val="bottom"/>
            <w:tcBorders>
              <w:bottom w:val="single" w:sz="8" w:color="auto"/>
            </w:tcBorders>
            <w:gridSpan w:val="4"/>
          </w:tcPr>
          <w:p>
            <w:pPr>
              <w:ind w:left="280"/>
              <w:spacing w:after="0"/>
              <w:rPr>
                <w:sz w:val="20"/>
                <w:szCs w:val="20"/>
                <w:color w:val="auto"/>
              </w:rPr>
            </w:pPr>
            <w:r>
              <w:rPr>
                <w:rFonts w:ascii="Arial" w:cs="Arial" w:eastAsia="Arial" w:hAnsi="Arial"/>
                <w:sz w:val="14"/>
                <w:szCs w:val="14"/>
                <w:b w:val="1"/>
                <w:bCs w:val="1"/>
                <w:color w:val="auto"/>
              </w:rPr>
              <w:t>Consolidated Balance Sheets location</w:t>
            </w: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r>
      <w:tr>
        <w:trPr>
          <w:trHeight w:val="162"/>
        </w:trPr>
        <w:tc>
          <w:tcPr>
            <w:tcW w:w="6100" w:type="dxa"/>
            <w:vAlign w:val="bottom"/>
            <w:gridSpan w:val="6"/>
            <w:shd w:val="clear" w:color="auto" w:fill="CCEEFF"/>
          </w:tcPr>
          <w:p>
            <w:pPr>
              <w:ind w:left="20"/>
              <w:spacing w:after="0"/>
              <w:rPr>
                <w:sz w:val="20"/>
                <w:szCs w:val="20"/>
                <w:color w:val="auto"/>
              </w:rPr>
            </w:pPr>
            <w:r>
              <w:rPr>
                <w:rFonts w:ascii="Arial" w:cs="Arial" w:eastAsia="Arial" w:hAnsi="Arial"/>
                <w:sz w:val="14"/>
                <w:szCs w:val="14"/>
                <w:b w:val="1"/>
                <w:bCs w:val="1"/>
                <w:color w:val="auto"/>
              </w:rPr>
              <w:t>Derivatives designated as hedging instruments</w:t>
            </w: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r>
      <w:tr>
        <w:trPr>
          <w:trHeight w:val="21"/>
        </w:trPr>
        <w:tc>
          <w:tcPr>
            <w:tcW w:w="20" w:type="dxa"/>
            <w:vAlign w:val="bottom"/>
            <w:tcBorders>
              <w:top w:val="single" w:sz="8" w:color="CCEEFF"/>
            </w:tcBorders>
            <w:shd w:val="clear" w:color="auto" w:fill="CCEEFF"/>
          </w:tcPr>
          <w:p>
            <w:pPr>
              <w:spacing w:after="0" w:line="20" w:lineRule="exact"/>
              <w:rPr>
                <w:sz w:val="1"/>
                <w:szCs w:val="1"/>
                <w:color w:val="auto"/>
              </w:rPr>
            </w:pPr>
          </w:p>
        </w:tc>
        <w:tc>
          <w:tcPr>
            <w:tcW w:w="1920" w:type="dxa"/>
            <w:vAlign w:val="bottom"/>
            <w:tcBorders>
              <w:top w:val="single" w:sz="8" w:color="auto"/>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28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10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1060" w:type="dxa"/>
            <w:vAlign w:val="bottom"/>
            <w:tcBorders>
              <w:top w:val="single" w:sz="8" w:color="CCEEFF"/>
            </w:tcBorders>
            <w:shd w:val="clear" w:color="auto" w:fill="CCEEFF"/>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1920" w:type="dxa"/>
            <w:vAlign w:val="bottom"/>
          </w:tcPr>
          <w:p>
            <w:pPr>
              <w:ind w:left="100"/>
              <w:spacing w:after="0"/>
              <w:rPr>
                <w:sz w:val="20"/>
                <w:szCs w:val="20"/>
                <w:color w:val="auto"/>
              </w:rPr>
            </w:pPr>
            <w:r>
              <w:rPr>
                <w:rFonts w:ascii="Arial" w:cs="Arial" w:eastAsia="Arial" w:hAnsi="Arial"/>
                <w:sz w:val="14"/>
                <w:szCs w:val="14"/>
                <w:color w:val="auto"/>
              </w:rPr>
              <w:t>Commodity contracts</w:t>
            </w:r>
          </w:p>
        </w:tc>
        <w:tc>
          <w:tcPr>
            <w:tcW w:w="4160" w:type="dxa"/>
            <w:vAlign w:val="bottom"/>
            <w:gridSpan w:val="4"/>
          </w:tcPr>
          <w:p>
            <w:pPr>
              <w:ind w:left="2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36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38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w:t>
            </w:r>
          </w:p>
        </w:tc>
      </w:tr>
      <w:tr>
        <w:trPr>
          <w:trHeight w:val="208"/>
        </w:trPr>
        <w:tc>
          <w:tcPr>
            <w:tcW w:w="2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4160" w:type="dxa"/>
            <w:vAlign w:val="bottom"/>
            <w:gridSpan w:val="4"/>
            <w:shd w:val="clear" w:color="auto" w:fill="CCEEFF"/>
          </w:tcPr>
          <w:p>
            <w:pPr>
              <w:ind w:left="280"/>
              <w:spacing w:after="0"/>
              <w:rPr>
                <w:sz w:val="20"/>
                <w:szCs w:val="20"/>
                <w:color w:val="auto"/>
              </w:rPr>
            </w:pPr>
            <w:r>
              <w:rPr>
                <w:rFonts w:ascii="Arial" w:cs="Arial" w:eastAsia="Arial" w:hAnsi="Arial"/>
                <w:sz w:val="14"/>
                <w:szCs w:val="14"/>
                <w:color w:val="auto"/>
              </w:rPr>
              <w:t>Identifiable intangible and other non-current assets</w:t>
            </w: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r>
      <w:tr>
        <w:trPr>
          <w:trHeight w:val="197"/>
        </w:trPr>
        <w:tc>
          <w:tcPr>
            <w:tcW w:w="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4160" w:type="dxa"/>
            <w:vAlign w:val="bottom"/>
            <w:gridSpan w:val="4"/>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2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204.0</w:t>
            </w:r>
          </w:p>
        </w:tc>
        <w:tc>
          <w:tcPr>
            <w:tcW w:w="360" w:type="dxa"/>
            <w:vAlign w:val="bottom"/>
          </w:tcPr>
          <w:p>
            <w:pPr>
              <w:spacing w:after="0"/>
              <w:rPr>
                <w:sz w:val="17"/>
                <w:szCs w:val="17"/>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3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177.0</w:t>
            </w:r>
          </w:p>
        </w:tc>
        <w:tc>
          <w:tcPr>
            <w:tcW w:w="38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20.0</w:t>
            </w:r>
          </w:p>
        </w:tc>
      </w:tr>
      <w:tr>
        <w:trPr>
          <w:trHeight w:val="203"/>
        </w:trPr>
        <w:tc>
          <w:tcPr>
            <w:tcW w:w="20" w:type="dxa"/>
            <w:vAlign w:val="bottom"/>
            <w:shd w:val="clear" w:color="auto" w:fill="CCEEFF"/>
          </w:tcPr>
          <w:p>
            <w:pPr>
              <w:spacing w:after="0"/>
              <w:rPr>
                <w:sz w:val="17"/>
                <w:szCs w:val="17"/>
                <w:color w:val="auto"/>
              </w:rPr>
            </w:pPr>
          </w:p>
        </w:tc>
        <w:tc>
          <w:tcPr>
            <w:tcW w:w="1920" w:type="dxa"/>
            <w:vAlign w:val="bottom"/>
            <w:shd w:val="clear" w:color="auto" w:fill="CCEEFF"/>
          </w:tcPr>
          <w:p>
            <w:pPr>
              <w:spacing w:after="0"/>
              <w:rPr>
                <w:sz w:val="17"/>
                <w:szCs w:val="17"/>
                <w:color w:val="auto"/>
              </w:rPr>
            </w:pPr>
          </w:p>
        </w:tc>
        <w:tc>
          <w:tcPr>
            <w:tcW w:w="4160" w:type="dxa"/>
            <w:vAlign w:val="bottom"/>
            <w:gridSpan w:val="4"/>
            <w:shd w:val="clear" w:color="auto" w:fill="CCEEFF"/>
          </w:tcPr>
          <w:p>
            <w:pPr>
              <w:ind w:left="280"/>
              <w:spacing w:after="0"/>
              <w:rPr>
                <w:sz w:val="20"/>
                <w:szCs w:val="20"/>
                <w:color w:val="auto"/>
              </w:rPr>
            </w:pPr>
            <w:r>
              <w:rPr>
                <w:rFonts w:ascii="Arial" w:cs="Arial" w:eastAsia="Arial" w:hAnsi="Arial"/>
                <w:sz w:val="14"/>
                <w:szCs w:val="14"/>
                <w:color w:val="auto"/>
              </w:rPr>
              <w:t>Other long-term liabilities</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36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w:t>
            </w:r>
          </w:p>
        </w:tc>
        <w:tc>
          <w:tcPr>
            <w:tcW w:w="38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r>
      <w:tr>
        <w:trPr>
          <w:trHeight w:val="196"/>
        </w:trPr>
        <w:tc>
          <w:tcPr>
            <w:tcW w:w="20" w:type="dxa"/>
            <w:vAlign w:val="bottom"/>
            <w:tcBorders>
              <w:bottom w:val="single" w:sz="8" w:color="CCEEFF"/>
            </w:tcBorders>
          </w:tcPr>
          <w:p>
            <w:pPr>
              <w:spacing w:after="0"/>
              <w:rPr>
                <w:sz w:val="17"/>
                <w:szCs w:val="17"/>
                <w:color w:val="auto"/>
              </w:rPr>
            </w:pPr>
          </w:p>
        </w:tc>
        <w:tc>
          <w:tcPr>
            <w:tcW w:w="1920" w:type="dxa"/>
            <w:vAlign w:val="bottom"/>
            <w:tcBorders>
              <w:bottom w:val="single" w:sz="8" w:color="CCEEFF"/>
            </w:tcBorders>
          </w:tcPr>
          <w:p>
            <w:pPr>
              <w:spacing w:after="0"/>
              <w:rPr>
                <w:sz w:val="17"/>
                <w:szCs w:val="17"/>
                <w:color w:val="auto"/>
              </w:rPr>
            </w:pPr>
          </w:p>
        </w:tc>
        <w:tc>
          <w:tcPr>
            <w:tcW w:w="92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288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204.1</w:t>
            </w:r>
          </w:p>
        </w:tc>
        <w:tc>
          <w:tcPr>
            <w:tcW w:w="3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w:t>
            </w:r>
          </w:p>
        </w:tc>
        <w:tc>
          <w:tcPr>
            <w:tcW w:w="3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177.3</w:t>
            </w:r>
          </w:p>
        </w:tc>
        <w:tc>
          <w:tcPr>
            <w:tcW w:w="3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20.0</w:t>
            </w:r>
          </w:p>
        </w:tc>
      </w:tr>
      <w:tr>
        <w:trPr>
          <w:trHeight w:val="202"/>
        </w:trPr>
        <w:tc>
          <w:tcPr>
            <w:tcW w:w="20" w:type="dxa"/>
            <w:vAlign w:val="bottom"/>
            <w:shd w:val="clear" w:color="auto" w:fill="CCEEFF"/>
          </w:tcPr>
          <w:p>
            <w:pPr>
              <w:spacing w:after="0"/>
              <w:rPr>
                <w:sz w:val="17"/>
                <w:szCs w:val="17"/>
                <w:color w:val="auto"/>
              </w:rPr>
            </w:pPr>
          </w:p>
        </w:tc>
        <w:tc>
          <w:tcPr>
            <w:tcW w:w="19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1920" w:type="dxa"/>
            <w:vAlign w:val="bottom"/>
          </w:tcPr>
          <w:p>
            <w:pPr>
              <w:ind w:left="100"/>
              <w:spacing w:after="0"/>
              <w:rPr>
                <w:sz w:val="20"/>
                <w:szCs w:val="20"/>
                <w:color w:val="auto"/>
              </w:rPr>
            </w:pPr>
            <w:r>
              <w:rPr>
                <w:rFonts w:ascii="Arial" w:cs="Arial" w:eastAsia="Arial" w:hAnsi="Arial"/>
                <w:sz w:val="14"/>
                <w:szCs w:val="14"/>
                <w:color w:val="auto"/>
              </w:rPr>
              <w:t>Interest rate contracts</w:t>
            </w:r>
          </w:p>
        </w:tc>
        <w:tc>
          <w:tcPr>
            <w:tcW w:w="4160" w:type="dxa"/>
            <w:vAlign w:val="bottom"/>
            <w:gridSpan w:val="4"/>
          </w:tcPr>
          <w:p>
            <w:pPr>
              <w:ind w:left="2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7"/>
                <w:szCs w:val="17"/>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w:t>
            </w:r>
          </w:p>
        </w:tc>
      </w:tr>
      <w:tr>
        <w:trPr>
          <w:trHeight w:val="208"/>
        </w:trPr>
        <w:tc>
          <w:tcPr>
            <w:tcW w:w="2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4160" w:type="dxa"/>
            <w:vAlign w:val="bottom"/>
            <w:gridSpan w:val="4"/>
            <w:shd w:val="clear" w:color="auto" w:fill="CCEEFF"/>
          </w:tcPr>
          <w:p>
            <w:pPr>
              <w:ind w:left="280"/>
              <w:spacing w:after="0"/>
              <w:rPr>
                <w:sz w:val="20"/>
                <w:szCs w:val="20"/>
                <w:color w:val="auto"/>
              </w:rPr>
            </w:pPr>
            <w:r>
              <w:rPr>
                <w:rFonts w:ascii="Arial" w:cs="Arial" w:eastAsia="Arial" w:hAnsi="Arial"/>
                <w:sz w:val="14"/>
                <w:szCs w:val="14"/>
                <w:color w:val="auto"/>
              </w:rPr>
              <w:t>Identifiable intangible and other non-current assets</w:t>
            </w: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r>
      <w:tr>
        <w:trPr>
          <w:trHeight w:val="197"/>
        </w:trPr>
        <w:tc>
          <w:tcPr>
            <w:tcW w:w="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4160" w:type="dxa"/>
            <w:vAlign w:val="bottom"/>
            <w:gridSpan w:val="4"/>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2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7"/>
                <w:szCs w:val="17"/>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1.2</w:t>
            </w:r>
          </w:p>
        </w:tc>
        <w:tc>
          <w:tcPr>
            <w:tcW w:w="38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w:t>
            </w:r>
          </w:p>
        </w:tc>
      </w:tr>
      <w:tr>
        <w:trPr>
          <w:trHeight w:val="203"/>
        </w:trPr>
        <w:tc>
          <w:tcPr>
            <w:tcW w:w="20" w:type="dxa"/>
            <w:vAlign w:val="bottom"/>
            <w:tcBorders>
              <w:bottom w:val="single" w:sz="8" w:color="auto"/>
            </w:tcBorders>
            <w:shd w:val="clear" w:color="auto" w:fill="CCEEFF"/>
          </w:tcPr>
          <w:p>
            <w:pPr>
              <w:spacing w:after="0"/>
              <w:rPr>
                <w:sz w:val="17"/>
                <w:szCs w:val="17"/>
                <w:color w:val="auto"/>
              </w:rPr>
            </w:pPr>
          </w:p>
        </w:tc>
        <w:tc>
          <w:tcPr>
            <w:tcW w:w="1920" w:type="dxa"/>
            <w:vAlign w:val="bottom"/>
            <w:tcBorders>
              <w:bottom w:val="single" w:sz="8" w:color="auto"/>
            </w:tcBorders>
            <w:shd w:val="clear" w:color="auto" w:fill="CCEEFF"/>
          </w:tcPr>
          <w:p>
            <w:pPr>
              <w:spacing w:after="0"/>
              <w:rPr>
                <w:sz w:val="17"/>
                <w:szCs w:val="17"/>
                <w:color w:val="auto"/>
              </w:rPr>
            </w:pPr>
          </w:p>
        </w:tc>
        <w:tc>
          <w:tcPr>
            <w:tcW w:w="4160" w:type="dxa"/>
            <w:vAlign w:val="bottom"/>
            <w:tcBorders>
              <w:bottom w:val="single" w:sz="8" w:color="auto"/>
            </w:tcBorders>
            <w:gridSpan w:val="4"/>
            <w:shd w:val="clear" w:color="auto" w:fill="CCEEFF"/>
          </w:tcPr>
          <w:p>
            <w:pPr>
              <w:ind w:left="280"/>
              <w:spacing w:after="0"/>
              <w:rPr>
                <w:sz w:val="20"/>
                <w:szCs w:val="20"/>
                <w:color w:val="auto"/>
              </w:rPr>
            </w:pPr>
            <w:r>
              <w:rPr>
                <w:rFonts w:ascii="Arial" w:cs="Arial" w:eastAsia="Arial" w:hAnsi="Arial"/>
                <w:sz w:val="14"/>
                <w:szCs w:val="14"/>
                <w:color w:val="auto"/>
              </w:rPr>
              <w:t>Other long-term liabilities</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6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38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r>
      <w:tr>
        <w:trPr>
          <w:trHeight w:val="196"/>
        </w:trPr>
        <w:tc>
          <w:tcPr>
            <w:tcW w:w="610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rPr>
              <w:t>Total derivatives designated as hedging instruments</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204.1</w:t>
            </w: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w:t>
            </w:r>
          </w:p>
        </w:tc>
        <w:tc>
          <w:tcPr>
            <w:tcW w:w="3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182.2</w:t>
            </w: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20.0</w:t>
            </w:r>
          </w:p>
        </w:tc>
      </w:tr>
      <w:tr>
        <w:trPr>
          <w:trHeight w:val="202"/>
        </w:trPr>
        <w:tc>
          <w:tcPr>
            <w:tcW w:w="20" w:type="dxa"/>
            <w:vAlign w:val="bottom"/>
            <w:shd w:val="clear" w:color="auto" w:fill="CCEEFF"/>
          </w:tcPr>
          <w:p>
            <w:pPr>
              <w:spacing w:after="0"/>
              <w:rPr>
                <w:sz w:val="17"/>
                <w:szCs w:val="17"/>
                <w:color w:val="auto"/>
              </w:rPr>
            </w:pPr>
          </w:p>
        </w:tc>
        <w:tc>
          <w:tcPr>
            <w:tcW w:w="19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162"/>
        </w:trPr>
        <w:tc>
          <w:tcPr>
            <w:tcW w:w="6100" w:type="dxa"/>
            <w:vAlign w:val="bottom"/>
            <w:gridSpan w:val="6"/>
          </w:tcPr>
          <w:p>
            <w:pPr>
              <w:ind w:left="20"/>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20"/>
        </w:trPr>
        <w:tc>
          <w:tcPr>
            <w:tcW w:w="20" w:type="dxa"/>
            <w:vAlign w:val="bottom"/>
          </w:tcPr>
          <w:p>
            <w:pPr>
              <w:spacing w:after="0" w:line="20" w:lineRule="exact"/>
              <w:rPr>
                <w:sz w:val="1"/>
                <w:szCs w:val="1"/>
                <w:color w:val="auto"/>
              </w:rPr>
            </w:pPr>
          </w:p>
        </w:tc>
        <w:tc>
          <w:tcPr>
            <w:tcW w:w="192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r>
      <w:tr>
        <w:trPr>
          <w:trHeight w:val="203"/>
        </w:trPr>
        <w:tc>
          <w:tcPr>
            <w:tcW w:w="20" w:type="dxa"/>
            <w:vAlign w:val="bottom"/>
            <w:shd w:val="clear" w:color="auto" w:fill="CCEEFF"/>
          </w:tcPr>
          <w:p>
            <w:pPr>
              <w:spacing w:after="0"/>
              <w:rPr>
                <w:sz w:val="17"/>
                <w:szCs w:val="17"/>
                <w:color w:val="auto"/>
              </w:rPr>
            </w:pPr>
          </w:p>
        </w:tc>
        <w:tc>
          <w:tcPr>
            <w:tcW w:w="19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Commodity contracts</w:t>
            </w:r>
          </w:p>
        </w:tc>
        <w:tc>
          <w:tcPr>
            <w:tcW w:w="4160" w:type="dxa"/>
            <w:vAlign w:val="bottom"/>
            <w:gridSpan w:val="4"/>
            <w:shd w:val="clear" w:color="auto" w:fill="CCEEFF"/>
          </w:tcPr>
          <w:p>
            <w:pPr>
              <w:ind w:left="2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217.8</w:t>
            </w:r>
          </w:p>
        </w:tc>
        <w:tc>
          <w:tcPr>
            <w:tcW w:w="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65.7</w:t>
            </w:r>
          </w:p>
        </w:tc>
        <w:tc>
          <w:tcPr>
            <w:tcW w:w="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64.5</w:t>
            </w:r>
          </w:p>
        </w:tc>
        <w:tc>
          <w:tcPr>
            <w:tcW w:w="3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7.2</w:t>
            </w:r>
          </w:p>
        </w:tc>
      </w:tr>
      <w:tr>
        <w:trPr>
          <w:trHeight w:val="197"/>
        </w:trPr>
        <w:tc>
          <w:tcPr>
            <w:tcW w:w="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4160" w:type="dxa"/>
            <w:vAlign w:val="bottom"/>
            <w:gridSpan w:val="4"/>
          </w:tcPr>
          <w:p>
            <w:pPr>
              <w:ind w:left="280"/>
              <w:spacing w:after="0"/>
              <w:rPr>
                <w:sz w:val="20"/>
                <w:szCs w:val="20"/>
                <w:color w:val="auto"/>
              </w:rPr>
            </w:pPr>
            <w:r>
              <w:rPr>
                <w:rFonts w:ascii="Arial" w:cs="Arial" w:eastAsia="Arial" w:hAnsi="Arial"/>
                <w:sz w:val="14"/>
                <w:szCs w:val="14"/>
                <w:color w:val="auto"/>
              </w:rPr>
              <w:t>Identifiable intangible and other non-current assets</w:t>
            </w:r>
          </w:p>
        </w:tc>
        <w:tc>
          <w:tcPr>
            <w:tcW w:w="2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45.1</w:t>
            </w:r>
          </w:p>
        </w:tc>
        <w:tc>
          <w:tcPr>
            <w:tcW w:w="360" w:type="dxa"/>
            <w:vAlign w:val="bottom"/>
          </w:tcPr>
          <w:p>
            <w:pPr>
              <w:spacing w:after="0"/>
              <w:rPr>
                <w:sz w:val="17"/>
                <w:szCs w:val="17"/>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23.0</w:t>
            </w:r>
          </w:p>
        </w:tc>
        <w:tc>
          <w:tcPr>
            <w:tcW w:w="3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12.3</w:t>
            </w:r>
          </w:p>
        </w:tc>
        <w:tc>
          <w:tcPr>
            <w:tcW w:w="38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4.8</w:t>
            </w:r>
          </w:p>
        </w:tc>
      </w:tr>
      <w:tr>
        <w:trPr>
          <w:trHeight w:val="208"/>
        </w:trPr>
        <w:tc>
          <w:tcPr>
            <w:tcW w:w="2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4160" w:type="dxa"/>
            <w:vAlign w:val="bottom"/>
            <w:gridSpan w:val="4"/>
            <w:shd w:val="clear" w:color="auto" w:fill="CCEEFF"/>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206.5</w:t>
            </w:r>
          </w:p>
        </w:tc>
        <w:tc>
          <w:tcPr>
            <w:tcW w:w="36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161.0</w:t>
            </w: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328.5</w:t>
            </w:r>
          </w:p>
        </w:tc>
        <w:tc>
          <w:tcPr>
            <w:tcW w:w="38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203.4</w:t>
            </w:r>
          </w:p>
        </w:tc>
      </w:tr>
      <w:tr>
        <w:trPr>
          <w:trHeight w:val="197"/>
        </w:trPr>
        <w:tc>
          <w:tcPr>
            <w:tcW w:w="20" w:type="dxa"/>
            <w:vAlign w:val="bottom"/>
            <w:tcBorders>
              <w:bottom w:val="single" w:sz="8" w:color="CCEEFF"/>
            </w:tcBorders>
          </w:tcPr>
          <w:p>
            <w:pPr>
              <w:spacing w:after="0"/>
              <w:rPr>
                <w:sz w:val="17"/>
                <w:szCs w:val="17"/>
                <w:color w:val="auto"/>
              </w:rPr>
            </w:pPr>
          </w:p>
        </w:tc>
        <w:tc>
          <w:tcPr>
            <w:tcW w:w="1920" w:type="dxa"/>
            <w:vAlign w:val="bottom"/>
            <w:tcBorders>
              <w:bottom w:val="single" w:sz="8" w:color="CCEEFF"/>
            </w:tcBorders>
          </w:tcPr>
          <w:p>
            <w:pPr>
              <w:spacing w:after="0"/>
              <w:rPr>
                <w:sz w:val="17"/>
                <w:szCs w:val="17"/>
                <w:color w:val="auto"/>
              </w:rPr>
            </w:pPr>
          </w:p>
        </w:tc>
        <w:tc>
          <w:tcPr>
            <w:tcW w:w="4160" w:type="dxa"/>
            <w:vAlign w:val="bottom"/>
            <w:tcBorders>
              <w:bottom w:val="single" w:sz="8" w:color="CCEEFF"/>
            </w:tcBorders>
            <w:gridSpan w:val="4"/>
          </w:tcPr>
          <w:p>
            <w:pPr>
              <w:ind w:left="280"/>
              <w:spacing w:after="0"/>
              <w:rPr>
                <w:sz w:val="20"/>
                <w:szCs w:val="20"/>
                <w:color w:val="auto"/>
              </w:rPr>
            </w:pPr>
            <w:r>
              <w:rPr>
                <w:rFonts w:ascii="Arial" w:cs="Arial" w:eastAsia="Arial" w:hAnsi="Arial"/>
                <w:sz w:val="14"/>
                <w:szCs w:val="14"/>
                <w:color w:val="auto"/>
              </w:rPr>
              <w:t>Other long-term liabilities</w:t>
            </w: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18.9</w:t>
            </w:r>
          </w:p>
        </w:tc>
        <w:tc>
          <w:tcPr>
            <w:tcW w:w="3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w:t>
            </w:r>
          </w:p>
        </w:tc>
        <w:tc>
          <w:tcPr>
            <w:tcW w:w="3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40.6</w:t>
            </w:r>
          </w:p>
        </w:tc>
        <w:tc>
          <w:tcPr>
            <w:tcW w:w="3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19.7</w:t>
            </w:r>
          </w:p>
        </w:tc>
      </w:tr>
      <w:tr>
        <w:trPr>
          <w:trHeight w:val="196"/>
        </w:trPr>
        <w:tc>
          <w:tcPr>
            <w:tcW w:w="20" w:type="dxa"/>
            <w:vAlign w:val="bottom"/>
            <w:shd w:val="clear" w:color="auto" w:fill="CCEEFF"/>
          </w:tcPr>
          <w:p>
            <w:pPr>
              <w:spacing w:after="0"/>
              <w:rPr>
                <w:sz w:val="17"/>
                <w:szCs w:val="17"/>
                <w:color w:val="auto"/>
              </w:rPr>
            </w:pPr>
          </w:p>
        </w:tc>
        <w:tc>
          <w:tcPr>
            <w:tcW w:w="19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488.3</w:t>
            </w:r>
          </w:p>
        </w:tc>
        <w:tc>
          <w:tcPr>
            <w:tcW w:w="36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257.3</w:t>
            </w:r>
          </w:p>
        </w:tc>
        <w:tc>
          <w:tcPr>
            <w:tcW w:w="34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445.9</w:t>
            </w:r>
          </w:p>
        </w:tc>
        <w:tc>
          <w:tcPr>
            <w:tcW w:w="38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235.0</w:t>
            </w:r>
          </w:p>
        </w:tc>
      </w:tr>
      <w:tr>
        <w:trPr>
          <w:trHeight w:val="202"/>
        </w:trPr>
        <w:tc>
          <w:tcPr>
            <w:tcW w:w="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3"/>
        </w:trPr>
        <w:tc>
          <w:tcPr>
            <w:tcW w:w="20" w:type="dxa"/>
            <w:vAlign w:val="bottom"/>
            <w:shd w:val="clear" w:color="auto" w:fill="CCEEFF"/>
          </w:tcPr>
          <w:p>
            <w:pPr>
              <w:spacing w:after="0"/>
              <w:rPr>
                <w:sz w:val="17"/>
                <w:szCs w:val="17"/>
                <w:color w:val="auto"/>
              </w:rPr>
            </w:pPr>
          </w:p>
        </w:tc>
        <w:tc>
          <w:tcPr>
            <w:tcW w:w="19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Foreign currency contracts</w:t>
            </w:r>
          </w:p>
        </w:tc>
        <w:tc>
          <w:tcPr>
            <w:tcW w:w="4160" w:type="dxa"/>
            <w:vAlign w:val="bottom"/>
            <w:gridSpan w:val="4"/>
            <w:shd w:val="clear" w:color="auto" w:fill="CCEEFF"/>
          </w:tcPr>
          <w:p>
            <w:pPr>
              <w:ind w:left="2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36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w:t>
            </w:r>
          </w:p>
        </w:tc>
        <w:tc>
          <w:tcPr>
            <w:tcW w:w="34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w:t>
            </w:r>
          </w:p>
        </w:tc>
        <w:tc>
          <w:tcPr>
            <w:tcW w:w="380" w:type="dxa"/>
            <w:vAlign w:val="bottom"/>
            <w:shd w:val="clear" w:color="auto" w:fill="CCEEFF"/>
          </w:tcPr>
          <w:p>
            <w:pPr>
              <w:spacing w:after="0"/>
              <w:rPr>
                <w:sz w:val="17"/>
                <w:szCs w:val="17"/>
                <w:color w:val="auto"/>
              </w:rPr>
            </w:pPr>
          </w:p>
        </w:tc>
        <w:tc>
          <w:tcPr>
            <w:tcW w:w="10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0.2</w:t>
            </w:r>
          </w:p>
        </w:tc>
      </w:tr>
      <w:tr>
        <w:trPr>
          <w:trHeight w:val="197"/>
        </w:trPr>
        <w:tc>
          <w:tcPr>
            <w:tcW w:w="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4160" w:type="dxa"/>
            <w:vAlign w:val="bottom"/>
            <w:gridSpan w:val="4"/>
          </w:tcPr>
          <w:p>
            <w:pPr>
              <w:ind w:left="280"/>
              <w:spacing w:after="0"/>
              <w:rPr>
                <w:sz w:val="20"/>
                <w:szCs w:val="20"/>
                <w:color w:val="auto"/>
              </w:rPr>
            </w:pPr>
            <w:r>
              <w:rPr>
                <w:rFonts w:ascii="Arial" w:cs="Arial" w:eastAsia="Arial" w:hAnsi="Arial"/>
                <w:sz w:val="14"/>
                <w:szCs w:val="14"/>
                <w:color w:val="auto"/>
              </w:rPr>
              <w:t>Identifiable intangible and other non-current assets</w:t>
            </w:r>
          </w:p>
        </w:tc>
        <w:tc>
          <w:tcPr>
            <w:tcW w:w="2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7"/>
                <w:szCs w:val="17"/>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17"/>
                <w:szCs w:val="17"/>
                <w:color w:val="auto"/>
              </w:rPr>
            </w:pP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w:t>
            </w:r>
          </w:p>
        </w:tc>
      </w:tr>
      <w:tr>
        <w:trPr>
          <w:trHeight w:val="203"/>
        </w:trPr>
        <w:tc>
          <w:tcPr>
            <w:tcW w:w="20" w:type="dxa"/>
            <w:vAlign w:val="bottom"/>
            <w:shd w:val="clear" w:color="auto" w:fill="CCEEFF"/>
          </w:tcPr>
          <w:p>
            <w:pPr>
              <w:spacing w:after="0"/>
              <w:rPr>
                <w:sz w:val="17"/>
                <w:szCs w:val="17"/>
                <w:color w:val="auto"/>
              </w:rPr>
            </w:pPr>
          </w:p>
        </w:tc>
        <w:tc>
          <w:tcPr>
            <w:tcW w:w="1920" w:type="dxa"/>
            <w:vAlign w:val="bottom"/>
            <w:shd w:val="clear" w:color="auto" w:fill="CCEEFF"/>
          </w:tcPr>
          <w:p>
            <w:pPr>
              <w:spacing w:after="0"/>
              <w:rPr>
                <w:sz w:val="17"/>
                <w:szCs w:val="17"/>
                <w:color w:val="auto"/>
              </w:rPr>
            </w:pPr>
          </w:p>
        </w:tc>
        <w:tc>
          <w:tcPr>
            <w:tcW w:w="4160" w:type="dxa"/>
            <w:vAlign w:val="bottom"/>
            <w:gridSpan w:val="4"/>
            <w:shd w:val="clear" w:color="auto" w:fill="CCEEFF"/>
          </w:tcPr>
          <w:p>
            <w:pPr>
              <w:ind w:left="280"/>
              <w:spacing w:after="0"/>
              <w:rPr>
                <w:sz w:val="20"/>
                <w:szCs w:val="20"/>
                <w:color w:val="auto"/>
              </w:rPr>
            </w:pPr>
            <w:r>
              <w:rPr>
                <w:rFonts w:ascii="Arial" w:cs="Arial" w:eastAsia="Arial" w:hAnsi="Arial"/>
                <w:sz w:val="14"/>
                <w:szCs w:val="14"/>
                <w:color w:val="auto"/>
              </w:rPr>
              <w:t>Accrued expenses and other current liabilities</w:t>
            </w:r>
          </w:p>
        </w:tc>
        <w:tc>
          <w:tcPr>
            <w:tcW w:w="2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36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0.9</w:t>
            </w:r>
          </w:p>
        </w:tc>
        <w:tc>
          <w:tcPr>
            <w:tcW w:w="34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w:t>
            </w:r>
          </w:p>
        </w:tc>
        <w:tc>
          <w:tcPr>
            <w:tcW w:w="38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11.4</w:t>
            </w:r>
          </w:p>
        </w:tc>
      </w:tr>
      <w:tr>
        <w:trPr>
          <w:trHeight w:val="196"/>
        </w:trPr>
        <w:tc>
          <w:tcPr>
            <w:tcW w:w="20" w:type="dxa"/>
            <w:vAlign w:val="bottom"/>
            <w:tcBorders>
              <w:bottom w:val="single" w:sz="8" w:color="auto"/>
            </w:tcBorders>
          </w:tcPr>
          <w:p>
            <w:pPr>
              <w:spacing w:after="0"/>
              <w:rPr>
                <w:sz w:val="17"/>
                <w:szCs w:val="17"/>
                <w:color w:val="auto"/>
              </w:rPr>
            </w:pPr>
          </w:p>
        </w:tc>
        <w:tc>
          <w:tcPr>
            <w:tcW w:w="19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8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3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w:t>
            </w:r>
          </w:p>
        </w:tc>
        <w:tc>
          <w:tcPr>
            <w:tcW w:w="3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10.9</w:t>
            </w:r>
          </w:p>
        </w:tc>
        <w:tc>
          <w:tcPr>
            <w:tcW w:w="3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11.6</w:t>
            </w:r>
          </w:p>
        </w:tc>
      </w:tr>
      <w:tr>
        <w:trPr>
          <w:trHeight w:val="196"/>
        </w:trPr>
        <w:tc>
          <w:tcPr>
            <w:tcW w:w="6100" w:type="dxa"/>
            <w:vAlign w:val="bottom"/>
            <w:tcBorders>
              <w:bottom w:val="single" w:sz="8" w:color="auto"/>
            </w:tcBorders>
            <w:gridSpan w:val="6"/>
            <w:shd w:val="clear" w:color="auto" w:fill="CCEEFF"/>
          </w:tcPr>
          <w:p>
            <w:pPr>
              <w:ind w:left="20"/>
              <w:spacing w:after="0"/>
              <w:rPr>
                <w:sz w:val="20"/>
                <w:szCs w:val="20"/>
                <w:color w:val="auto"/>
              </w:rPr>
            </w:pPr>
            <w:r>
              <w:rPr>
                <w:rFonts w:ascii="Arial" w:cs="Arial" w:eastAsia="Arial" w:hAnsi="Arial"/>
                <w:sz w:val="14"/>
                <w:szCs w:val="14"/>
                <w:b w:val="1"/>
                <w:bCs w:val="1"/>
                <w:color w:val="auto"/>
              </w:rPr>
              <w:t>Total derivatives not designated as hedging instruments</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490.7</w:t>
            </w: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259.4</w:t>
            </w:r>
          </w:p>
        </w:tc>
        <w:tc>
          <w:tcPr>
            <w:tcW w:w="3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456.9</w:t>
            </w: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246.6</w:t>
            </w:r>
          </w:p>
        </w:tc>
      </w:tr>
      <w:tr>
        <w:trPr>
          <w:trHeight w:val="202"/>
        </w:trPr>
        <w:tc>
          <w:tcPr>
            <w:tcW w:w="20" w:type="dxa"/>
            <w:vAlign w:val="bottom"/>
            <w:tcBorders>
              <w:bottom w:val="single" w:sz="8" w:color="auto"/>
            </w:tcBorders>
          </w:tcPr>
          <w:p>
            <w:pPr>
              <w:spacing w:after="0"/>
              <w:rPr>
                <w:sz w:val="17"/>
                <w:szCs w:val="17"/>
                <w:color w:val="auto"/>
              </w:rPr>
            </w:pPr>
          </w:p>
        </w:tc>
        <w:tc>
          <w:tcPr>
            <w:tcW w:w="19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8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r>
      <w:tr>
        <w:trPr>
          <w:trHeight w:val="215"/>
        </w:trPr>
        <w:tc>
          <w:tcPr>
            <w:tcW w:w="1940" w:type="dxa"/>
            <w:vAlign w:val="bottom"/>
            <w:tcBorders>
              <w:bottom w:val="single" w:sz="8" w:color="auto"/>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Total derivatives</w:t>
            </w:r>
          </w:p>
        </w:tc>
        <w:tc>
          <w:tcPr>
            <w:tcW w:w="920" w:type="dxa"/>
            <w:vAlign w:val="bottom"/>
            <w:tcBorders>
              <w:bottom w:val="single" w:sz="8" w:color="auto"/>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28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694.8</w:t>
            </w: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261.1</w:t>
            </w:r>
          </w:p>
        </w:tc>
        <w:tc>
          <w:tcPr>
            <w:tcW w:w="3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639.1</w:t>
            </w: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266.6</w:t>
            </w:r>
          </w:p>
        </w:tc>
      </w:tr>
      <w:tr>
        <w:trPr>
          <w:trHeight w:val="20"/>
        </w:trPr>
        <w:tc>
          <w:tcPr>
            <w:tcW w:w="2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28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For information regarding our derivative instruments measured at fair value after netting and collateral, see Note 7. Fair Value Measurements.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4" w:name="page15"/>
    <w:bookmarkEnd w:id="14"/>
    <w:p>
      <w:pPr>
        <w:ind w:right="20" w:firstLine="324"/>
        <w:spacing w:after="0" w:line="276" w:lineRule="auto"/>
        <w:rPr>
          <w:sz w:val="20"/>
          <w:szCs w:val="20"/>
          <w:color w:val="auto"/>
        </w:rPr>
      </w:pPr>
      <w:r>
        <w:rPr>
          <w:rFonts w:ascii="Arial" w:cs="Arial" w:eastAsia="Arial" w:hAnsi="Arial"/>
          <w:sz w:val="18"/>
          <w:szCs w:val="18"/>
          <w:color w:val="auto"/>
        </w:rPr>
        <w:t>The following table summarizes the gross notional values of our commodity and foreign currency exchange derivative contracts used for risk management purposes that were outstanding as of June 30, 2020 (in millions):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40" w:type="dxa"/>
            <w:vAlign w:val="bottom"/>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tcPr>
          <w:p>
            <w:pPr>
              <w:jc w:val="right"/>
              <w:ind w:right="1288"/>
              <w:spacing w:after="0"/>
              <w:rPr>
                <w:sz w:val="20"/>
                <w:szCs w:val="20"/>
                <w:color w:val="auto"/>
              </w:rPr>
            </w:pPr>
            <w:r>
              <w:rPr>
                <w:rFonts w:ascii="Arial" w:cs="Arial" w:eastAsia="Arial" w:hAnsi="Arial"/>
                <w:sz w:val="14"/>
                <w:szCs w:val="14"/>
                <w:b w:val="1"/>
                <w:bCs w:val="1"/>
                <w:color w:val="auto"/>
              </w:rPr>
              <w:t>As of June 30,</w:t>
            </w:r>
          </w:p>
        </w:tc>
      </w:tr>
      <w:tr>
        <w:trPr>
          <w:trHeight w:val="197"/>
        </w:trPr>
        <w:tc>
          <w:tcPr>
            <w:tcW w:w="76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333333"/>
              </w:rPr>
              <w:t>Derivative Instruments</w:t>
            </w:r>
          </w:p>
        </w:tc>
        <w:tc>
          <w:tcPr>
            <w:tcW w:w="1200" w:type="dxa"/>
            <w:vAlign w:val="bottom"/>
            <w:tcBorders>
              <w:bottom w:val="single" w:sz="8" w:color="auto"/>
            </w:tcBorders>
          </w:tcPr>
          <w:p>
            <w:pPr>
              <w:jc w:val="center"/>
              <w:ind w:left="488"/>
              <w:spacing w:after="0"/>
              <w:rPr>
                <w:sz w:val="20"/>
                <w:szCs w:val="20"/>
                <w:color w:val="auto"/>
              </w:rPr>
            </w:pPr>
            <w:r>
              <w:rPr>
                <w:rFonts w:ascii="Arial" w:cs="Arial" w:eastAsia="Arial" w:hAnsi="Arial"/>
                <w:sz w:val="14"/>
                <w:szCs w:val="14"/>
                <w:b w:val="1"/>
                <w:bCs w:val="1"/>
                <w:color w:val="333333"/>
                <w:w w:val="91"/>
              </w:rPr>
              <w:t>Units</w:t>
            </w:r>
          </w:p>
        </w:tc>
        <w:tc>
          <w:tcPr>
            <w:tcW w:w="240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b w:val="1"/>
                <w:bCs w:val="1"/>
                <w:color w:val="auto"/>
              </w:rPr>
              <w:t>2020</w:t>
            </w:r>
          </w:p>
        </w:tc>
      </w:tr>
      <w:tr>
        <w:trPr>
          <w:trHeight w:val="202"/>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Commodity contracts</w:t>
            </w:r>
          </w:p>
        </w:tc>
        <w:tc>
          <w:tcPr>
            <w:tcW w:w="1200" w:type="dxa"/>
            <w:vAlign w:val="bottom"/>
            <w:shd w:val="clear" w:color="auto" w:fill="CCEEFF"/>
          </w:tcPr>
          <w:p>
            <w:pPr>
              <w:spacing w:after="0"/>
              <w:rPr>
                <w:sz w:val="17"/>
                <w:szCs w:val="17"/>
                <w:color w:val="auto"/>
              </w:rPr>
            </w:pPr>
          </w:p>
        </w:tc>
        <w:tc>
          <w:tcPr>
            <w:tcW w:w="2400" w:type="dxa"/>
            <w:vAlign w:val="bottom"/>
            <w:shd w:val="clear" w:color="auto" w:fill="CCEEFF"/>
          </w:tcPr>
          <w:p>
            <w:pPr>
              <w:spacing w:after="0"/>
              <w:rPr>
                <w:sz w:val="17"/>
                <w:szCs w:val="17"/>
                <w:color w:val="auto"/>
              </w:rPr>
            </w:pPr>
          </w:p>
        </w:tc>
      </w:tr>
      <w:tr>
        <w:trPr>
          <w:trHeight w:val="196"/>
        </w:trPr>
        <w:tc>
          <w:tcPr>
            <w:tcW w:w="7640" w:type="dxa"/>
            <w:vAlign w:val="bottom"/>
          </w:tcPr>
          <w:p>
            <w:pPr>
              <w:ind w:left="20"/>
              <w:spacing w:after="0"/>
              <w:rPr>
                <w:sz w:val="20"/>
                <w:szCs w:val="20"/>
                <w:color w:val="auto"/>
              </w:rPr>
            </w:pPr>
            <w:r>
              <w:rPr>
                <w:rFonts w:ascii="Arial" w:cs="Arial" w:eastAsia="Arial" w:hAnsi="Arial"/>
                <w:sz w:val="14"/>
                <w:szCs w:val="14"/>
                <w:color w:val="auto"/>
              </w:rPr>
              <w:t>Long</w:t>
            </w:r>
          </w:p>
        </w:tc>
        <w:tc>
          <w:tcPr>
            <w:tcW w:w="1200" w:type="dxa"/>
            <w:vAlign w:val="bottom"/>
          </w:tcPr>
          <w:p>
            <w:pPr>
              <w:jc w:val="center"/>
              <w:ind w:left="488"/>
              <w:spacing w:after="0"/>
              <w:rPr>
                <w:sz w:val="20"/>
                <w:szCs w:val="20"/>
                <w:color w:val="auto"/>
              </w:rPr>
            </w:pPr>
            <w:r>
              <w:rPr>
                <w:rFonts w:ascii="Arial" w:cs="Arial" w:eastAsia="Arial" w:hAnsi="Arial"/>
                <w:sz w:val="14"/>
                <w:szCs w:val="14"/>
                <w:color w:val="auto"/>
              </w:rPr>
              <w:t>BBL</w:t>
            </w:r>
          </w:p>
        </w:tc>
        <w:tc>
          <w:tcPr>
            <w:tcW w:w="2400" w:type="dxa"/>
            <w:vAlign w:val="bottom"/>
          </w:tcPr>
          <w:p>
            <w:pPr>
              <w:jc w:val="right"/>
              <w:ind w:right="68"/>
              <w:spacing w:after="0"/>
              <w:rPr>
                <w:sz w:val="20"/>
                <w:szCs w:val="20"/>
                <w:color w:val="auto"/>
              </w:rPr>
            </w:pPr>
            <w:r>
              <w:rPr>
                <w:rFonts w:ascii="Arial" w:cs="Arial" w:eastAsia="Arial" w:hAnsi="Arial"/>
                <w:sz w:val="14"/>
                <w:szCs w:val="14"/>
                <w:color w:val="auto"/>
              </w:rPr>
              <w:t>65.0</w:t>
            </w:r>
          </w:p>
        </w:tc>
      </w:tr>
      <w:tr>
        <w:trPr>
          <w:trHeight w:val="203"/>
        </w:trPr>
        <w:tc>
          <w:tcPr>
            <w:tcW w:w="76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Short</w:t>
            </w:r>
          </w:p>
        </w:tc>
        <w:tc>
          <w:tcPr>
            <w:tcW w:w="1200" w:type="dxa"/>
            <w:vAlign w:val="bottom"/>
            <w:tcBorders>
              <w:bottom w:val="single" w:sz="8" w:color="auto"/>
            </w:tcBorders>
            <w:shd w:val="clear" w:color="auto" w:fill="CCEEFF"/>
          </w:tcPr>
          <w:p>
            <w:pPr>
              <w:jc w:val="center"/>
              <w:ind w:left="488"/>
              <w:spacing w:after="0"/>
              <w:rPr>
                <w:sz w:val="20"/>
                <w:szCs w:val="20"/>
                <w:color w:val="auto"/>
              </w:rPr>
            </w:pPr>
            <w:r>
              <w:rPr>
                <w:rFonts w:ascii="Arial" w:cs="Arial" w:eastAsia="Arial" w:hAnsi="Arial"/>
                <w:sz w:val="14"/>
                <w:szCs w:val="14"/>
                <w:color w:val="auto"/>
              </w:rPr>
              <w:t>BBL</w:t>
            </w:r>
          </w:p>
        </w:tc>
        <w:tc>
          <w:tcPr>
            <w:tcW w:w="24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(49.2)</w:t>
            </w:r>
          </w:p>
        </w:tc>
      </w:tr>
      <w:tr>
        <w:trPr>
          <w:trHeight w:val="202"/>
        </w:trPr>
        <w:tc>
          <w:tcPr>
            <w:tcW w:w="76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400" w:type="dxa"/>
            <w:vAlign w:val="bottom"/>
          </w:tcPr>
          <w:p>
            <w:pPr>
              <w:spacing w:after="0"/>
              <w:rPr>
                <w:sz w:val="17"/>
                <w:szCs w:val="17"/>
                <w:color w:val="auto"/>
              </w:rPr>
            </w:pPr>
          </w:p>
        </w:tc>
      </w:tr>
      <w:tr>
        <w:trPr>
          <w:trHeight w:val="203"/>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Foreign currency exchange contracts</w:t>
            </w:r>
          </w:p>
        </w:tc>
        <w:tc>
          <w:tcPr>
            <w:tcW w:w="1200" w:type="dxa"/>
            <w:vAlign w:val="bottom"/>
            <w:shd w:val="clear" w:color="auto" w:fill="CCEEFF"/>
          </w:tcPr>
          <w:p>
            <w:pPr>
              <w:spacing w:after="0"/>
              <w:rPr>
                <w:sz w:val="17"/>
                <w:szCs w:val="17"/>
                <w:color w:val="auto"/>
              </w:rPr>
            </w:pPr>
          </w:p>
        </w:tc>
        <w:tc>
          <w:tcPr>
            <w:tcW w:w="2400" w:type="dxa"/>
            <w:vAlign w:val="bottom"/>
            <w:shd w:val="clear" w:color="auto" w:fill="CCEEFF"/>
          </w:tcPr>
          <w:p>
            <w:pPr>
              <w:spacing w:after="0"/>
              <w:rPr>
                <w:sz w:val="17"/>
                <w:szCs w:val="17"/>
                <w:color w:val="auto"/>
              </w:rPr>
            </w:pPr>
          </w:p>
        </w:tc>
      </w:tr>
      <w:tr>
        <w:trPr>
          <w:trHeight w:val="197"/>
        </w:trPr>
        <w:tc>
          <w:tcPr>
            <w:tcW w:w="7640" w:type="dxa"/>
            <w:vAlign w:val="bottom"/>
          </w:tcPr>
          <w:p>
            <w:pPr>
              <w:ind w:left="20"/>
              <w:spacing w:after="0"/>
              <w:rPr>
                <w:sz w:val="20"/>
                <w:szCs w:val="20"/>
                <w:color w:val="auto"/>
              </w:rPr>
            </w:pPr>
            <w:r>
              <w:rPr>
                <w:rFonts w:ascii="Arial" w:cs="Arial" w:eastAsia="Arial" w:hAnsi="Arial"/>
                <w:sz w:val="14"/>
                <w:szCs w:val="14"/>
                <w:color w:val="auto"/>
              </w:rPr>
              <w:t>Sell U.S. dollar, buy other currencies</w:t>
            </w:r>
          </w:p>
        </w:tc>
        <w:tc>
          <w:tcPr>
            <w:tcW w:w="1200" w:type="dxa"/>
            <w:vAlign w:val="bottom"/>
          </w:tcPr>
          <w:p>
            <w:pPr>
              <w:jc w:val="center"/>
              <w:ind w:left="488"/>
              <w:spacing w:after="0"/>
              <w:rPr>
                <w:sz w:val="20"/>
                <w:szCs w:val="20"/>
                <w:color w:val="auto"/>
              </w:rPr>
            </w:pPr>
            <w:r>
              <w:rPr>
                <w:rFonts w:ascii="Arial" w:cs="Arial" w:eastAsia="Arial" w:hAnsi="Arial"/>
                <w:sz w:val="14"/>
                <w:szCs w:val="14"/>
                <w:color w:val="auto"/>
                <w:w w:val="94"/>
              </w:rPr>
              <w:t>USD</w:t>
            </w:r>
          </w:p>
        </w:tc>
        <w:tc>
          <w:tcPr>
            <w:tcW w:w="2400" w:type="dxa"/>
            <w:vAlign w:val="bottom"/>
          </w:tcPr>
          <w:p>
            <w:pPr>
              <w:jc w:val="right"/>
              <w:ind w:right="28"/>
              <w:spacing w:after="0"/>
              <w:rPr>
                <w:sz w:val="20"/>
                <w:szCs w:val="20"/>
                <w:color w:val="auto"/>
              </w:rPr>
            </w:pPr>
            <w:r>
              <w:rPr>
                <w:rFonts w:ascii="Arial" w:cs="Arial" w:eastAsia="Arial" w:hAnsi="Arial"/>
                <w:sz w:val="14"/>
                <w:szCs w:val="14"/>
                <w:color w:val="auto"/>
              </w:rPr>
              <w:t>(70.3)</w:t>
            </w:r>
          </w:p>
        </w:tc>
      </w:tr>
      <w:tr>
        <w:trPr>
          <w:trHeight w:val="228"/>
        </w:trPr>
        <w:tc>
          <w:tcPr>
            <w:tcW w:w="76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Buy U.S. dollar, sell other currencies</w:t>
            </w:r>
          </w:p>
        </w:tc>
        <w:tc>
          <w:tcPr>
            <w:tcW w:w="1200" w:type="dxa"/>
            <w:vAlign w:val="bottom"/>
            <w:tcBorders>
              <w:bottom w:val="single" w:sz="8" w:color="auto"/>
            </w:tcBorders>
            <w:shd w:val="clear" w:color="auto" w:fill="CCEEFF"/>
          </w:tcPr>
          <w:p>
            <w:pPr>
              <w:jc w:val="center"/>
              <w:ind w:left="488"/>
              <w:spacing w:after="0"/>
              <w:rPr>
                <w:sz w:val="20"/>
                <w:szCs w:val="20"/>
                <w:color w:val="auto"/>
              </w:rPr>
            </w:pPr>
            <w:r>
              <w:rPr>
                <w:rFonts w:ascii="Arial" w:cs="Arial" w:eastAsia="Arial" w:hAnsi="Arial"/>
                <w:sz w:val="14"/>
                <w:szCs w:val="14"/>
                <w:color w:val="auto"/>
                <w:w w:val="94"/>
              </w:rPr>
              <w:t>USD</w:t>
            </w:r>
          </w:p>
        </w:tc>
        <w:tc>
          <w:tcPr>
            <w:tcW w:w="24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422.6</w:t>
            </w:r>
          </w:p>
        </w:tc>
      </w:tr>
      <w:tr>
        <w:trPr>
          <w:trHeight w:val="20"/>
        </w:trPr>
        <w:tc>
          <w:tcPr>
            <w:tcW w:w="76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As of June 30, 2020, and December 31, 2019, the following amounts were recorded on our Consolidated Balance Sheets related to cumulative basis adjustments for fair value hedges (in millions):</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Line item in the Consolidated Balance Sheets in which the</w:t>
            </w:r>
          </w:p>
        </w:tc>
        <w:tc>
          <w:tcPr>
            <w:tcW w:w="3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500" w:type="dxa"/>
            <w:vAlign w:val="bottom"/>
            <w:gridSpan w:val="3"/>
          </w:tcPr>
          <w:p>
            <w:pPr>
              <w:jc w:val="center"/>
              <w:ind w:right="28"/>
              <w:spacing w:after="0"/>
              <w:rPr>
                <w:sz w:val="20"/>
                <w:szCs w:val="20"/>
                <w:color w:val="auto"/>
              </w:rPr>
            </w:pPr>
            <w:r>
              <w:rPr>
                <w:rFonts w:ascii="Arial" w:cs="Arial" w:eastAsia="Arial" w:hAnsi="Arial"/>
                <w:sz w:val="14"/>
                <w:szCs w:val="14"/>
                <w:b w:val="1"/>
                <w:bCs w:val="1"/>
                <w:color w:val="auto"/>
                <w:w w:val="94"/>
              </w:rPr>
              <w:t>Cumulative Amount of Fair Value Hedging Adjustment</w:t>
            </w:r>
          </w:p>
        </w:tc>
        <w:tc>
          <w:tcPr>
            <w:tcW w:w="0" w:type="dxa"/>
            <w:vAlign w:val="bottom"/>
          </w:tcPr>
          <w:p>
            <w:pPr>
              <w:spacing w:after="0"/>
              <w:rPr>
                <w:sz w:val="1"/>
                <w:szCs w:val="1"/>
                <w:color w:val="auto"/>
              </w:rPr>
            </w:pPr>
          </w:p>
        </w:tc>
      </w:tr>
      <w:tr>
        <w:trPr>
          <w:trHeight w:val="149"/>
        </w:trPr>
        <w:tc>
          <w:tcPr>
            <w:tcW w:w="3820" w:type="dxa"/>
            <w:vAlign w:val="bottom"/>
            <w:vMerge w:val="continue"/>
          </w:tcPr>
          <w:p>
            <w:pPr>
              <w:spacing w:after="0"/>
              <w:rPr>
                <w:sz w:val="12"/>
                <w:szCs w:val="12"/>
                <w:color w:val="auto"/>
              </w:rPr>
            </w:pPr>
          </w:p>
        </w:tc>
        <w:tc>
          <w:tcPr>
            <w:tcW w:w="320" w:type="dxa"/>
            <w:vAlign w:val="bottom"/>
          </w:tcPr>
          <w:p>
            <w:pPr>
              <w:spacing w:after="0"/>
              <w:rPr>
                <w:sz w:val="12"/>
                <w:szCs w:val="12"/>
                <w:color w:val="auto"/>
              </w:rPr>
            </w:pPr>
          </w:p>
        </w:tc>
        <w:tc>
          <w:tcPr>
            <w:tcW w:w="3360" w:type="dxa"/>
            <w:vAlign w:val="bottom"/>
            <w:gridSpan w:val="3"/>
            <w:vMerge w:val="restart"/>
          </w:tcPr>
          <w:p>
            <w:pPr>
              <w:jc w:val="center"/>
              <w:ind w:right="148"/>
              <w:spacing w:after="0"/>
              <w:rPr>
                <w:sz w:val="20"/>
                <w:szCs w:val="20"/>
                <w:color w:val="auto"/>
              </w:rPr>
            </w:pPr>
            <w:r>
              <w:rPr>
                <w:rFonts w:ascii="Arial" w:cs="Arial" w:eastAsia="Arial" w:hAnsi="Arial"/>
                <w:sz w:val="14"/>
                <w:szCs w:val="14"/>
                <w:b w:val="1"/>
                <w:bCs w:val="1"/>
                <w:color w:val="auto"/>
                <w:w w:val="93"/>
              </w:rPr>
              <w:t>Carrying Amount of Hedged Assets/(Liabilities)</w:t>
            </w:r>
          </w:p>
        </w:tc>
        <w:tc>
          <w:tcPr>
            <w:tcW w:w="220" w:type="dxa"/>
            <w:vAlign w:val="bottom"/>
          </w:tcPr>
          <w:p>
            <w:pPr>
              <w:spacing w:after="0"/>
              <w:rPr>
                <w:sz w:val="12"/>
                <w:szCs w:val="12"/>
                <w:color w:val="auto"/>
              </w:rPr>
            </w:pPr>
          </w:p>
        </w:tc>
        <w:tc>
          <w:tcPr>
            <w:tcW w:w="3500" w:type="dxa"/>
            <w:vAlign w:val="bottom"/>
            <w:gridSpan w:val="3"/>
          </w:tcPr>
          <w:p>
            <w:pPr>
              <w:jc w:val="center"/>
              <w:ind w:right="28"/>
              <w:spacing w:after="0" w:line="149" w:lineRule="exact"/>
              <w:rPr>
                <w:sz w:val="20"/>
                <w:szCs w:val="20"/>
                <w:color w:val="auto"/>
              </w:rPr>
            </w:pPr>
            <w:r>
              <w:rPr>
                <w:rFonts w:ascii="Arial" w:cs="Arial" w:eastAsia="Arial" w:hAnsi="Arial"/>
                <w:sz w:val="14"/>
                <w:szCs w:val="14"/>
                <w:b w:val="1"/>
                <w:bCs w:val="1"/>
                <w:color w:val="auto"/>
                <w:w w:val="94"/>
              </w:rPr>
              <w:t>Included in the Carrying Amount of the Hedged</w:t>
            </w:r>
          </w:p>
        </w:tc>
        <w:tc>
          <w:tcPr>
            <w:tcW w:w="0" w:type="dxa"/>
            <w:vAlign w:val="bottom"/>
          </w:tcPr>
          <w:p>
            <w:pPr>
              <w:spacing w:after="0"/>
              <w:rPr>
                <w:sz w:val="1"/>
                <w:szCs w:val="1"/>
                <w:color w:val="auto"/>
              </w:rPr>
            </w:pPr>
          </w:p>
        </w:tc>
      </w:tr>
      <w:tr>
        <w:trPr>
          <w:trHeight w:val="192"/>
        </w:trPr>
        <w:tc>
          <w:tcPr>
            <w:tcW w:w="3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hedged item is included</w:t>
            </w:r>
          </w:p>
        </w:tc>
        <w:tc>
          <w:tcPr>
            <w:tcW w:w="320" w:type="dxa"/>
            <w:vAlign w:val="bottom"/>
            <w:tcBorders>
              <w:bottom w:val="single" w:sz="8" w:color="auto"/>
            </w:tcBorders>
          </w:tcPr>
          <w:p>
            <w:pPr>
              <w:spacing w:after="0"/>
              <w:rPr>
                <w:sz w:val="16"/>
                <w:szCs w:val="16"/>
                <w:color w:val="auto"/>
              </w:rPr>
            </w:pPr>
          </w:p>
        </w:tc>
        <w:tc>
          <w:tcPr>
            <w:tcW w:w="3360" w:type="dxa"/>
            <w:vAlign w:val="bottom"/>
            <w:tcBorders>
              <w:bottom w:val="single" w:sz="8" w:color="auto"/>
            </w:tcBorders>
            <w:gridSpan w:val="3"/>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3500" w:type="dxa"/>
            <w:vAlign w:val="bottom"/>
            <w:tcBorders>
              <w:bottom w:val="single" w:sz="8" w:color="auto"/>
            </w:tcBorders>
            <w:gridSpan w:val="3"/>
          </w:tcPr>
          <w:p>
            <w:pPr>
              <w:jc w:val="center"/>
              <w:ind w:right="28"/>
              <w:spacing w:after="0"/>
              <w:rPr>
                <w:sz w:val="20"/>
                <w:szCs w:val="20"/>
                <w:color w:val="auto"/>
              </w:rPr>
            </w:pPr>
            <w:r>
              <w:rPr>
                <w:rFonts w:ascii="Arial" w:cs="Arial" w:eastAsia="Arial" w:hAnsi="Arial"/>
                <w:sz w:val="14"/>
                <w:szCs w:val="14"/>
                <w:b w:val="1"/>
                <w:bCs w:val="1"/>
                <w:color w:val="auto"/>
                <w:w w:val="93"/>
              </w:rPr>
              <w:t>Asset/(Liabilities)</w:t>
            </w:r>
          </w:p>
        </w:tc>
        <w:tc>
          <w:tcPr>
            <w:tcW w:w="0" w:type="dxa"/>
            <w:vAlign w:val="bottom"/>
          </w:tcPr>
          <w:p>
            <w:pPr>
              <w:spacing w:after="0"/>
              <w:rPr>
                <w:sz w:val="1"/>
                <w:szCs w:val="1"/>
                <w:color w:val="auto"/>
              </w:rPr>
            </w:pPr>
          </w:p>
        </w:tc>
      </w:tr>
      <w:tr>
        <w:trPr>
          <w:trHeight w:val="196"/>
        </w:trPr>
        <w:tc>
          <w:tcPr>
            <w:tcW w:w="38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As of</w:t>
            </w:r>
          </w:p>
        </w:tc>
        <w:tc>
          <w:tcPr>
            <w:tcW w:w="154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As of</w:t>
            </w:r>
          </w:p>
        </w:tc>
        <w:tc>
          <w:tcPr>
            <w:tcW w:w="15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June 30, 2020</w:t>
            </w:r>
          </w:p>
        </w:tc>
        <w:tc>
          <w:tcPr>
            <w:tcW w:w="420" w:type="dxa"/>
            <w:vAlign w:val="bottom"/>
            <w:tcBorders>
              <w:bottom w:val="single" w:sz="8" w:color="auto"/>
            </w:tcBorders>
          </w:tcPr>
          <w:p>
            <w:pPr>
              <w:spacing w:after="0"/>
              <w:rPr>
                <w:sz w:val="17"/>
                <w:szCs w:val="17"/>
                <w:color w:val="auto"/>
              </w:rPr>
            </w:pPr>
          </w:p>
        </w:tc>
        <w:tc>
          <w:tcPr>
            <w:tcW w:w="15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w w:val="98"/>
              </w:rPr>
              <w:t>December 31, 2019</w:t>
            </w:r>
          </w:p>
        </w:tc>
        <w:tc>
          <w:tcPr>
            <w:tcW w:w="22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June 30, 2020</w:t>
            </w:r>
          </w:p>
        </w:tc>
        <w:tc>
          <w:tcPr>
            <w:tcW w:w="420" w:type="dxa"/>
            <w:vAlign w:val="bottom"/>
            <w:tcBorders>
              <w:bottom w:val="single" w:sz="8" w:color="auto"/>
            </w:tcBorders>
          </w:tcPr>
          <w:p>
            <w:pPr>
              <w:spacing w:after="0"/>
              <w:rPr>
                <w:sz w:val="17"/>
                <w:szCs w:val="17"/>
                <w:color w:val="auto"/>
              </w:rPr>
            </w:pPr>
          </w:p>
        </w:tc>
        <w:tc>
          <w:tcPr>
            <w:tcW w:w="156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w w:val="98"/>
              </w:rPr>
              <w:t>December 31, 2019</w:t>
            </w:r>
          </w:p>
        </w:tc>
        <w:tc>
          <w:tcPr>
            <w:tcW w:w="0" w:type="dxa"/>
            <w:vAlign w:val="bottom"/>
          </w:tcPr>
          <w:p>
            <w:pPr>
              <w:spacing w:after="0"/>
              <w:rPr>
                <w:sz w:val="1"/>
                <w:szCs w:val="1"/>
                <w:color w:val="auto"/>
              </w:rPr>
            </w:pPr>
          </w:p>
        </w:tc>
      </w:tr>
      <w:tr>
        <w:trPr>
          <w:trHeight w:val="221"/>
        </w:trPr>
        <w:tc>
          <w:tcPr>
            <w:tcW w:w="38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Inventory</w:t>
            </w: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32.1</w:t>
            </w:r>
          </w:p>
        </w:tc>
        <w:tc>
          <w:tcPr>
            <w:tcW w:w="4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5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30.7</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4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5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5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5" w:name="page16"/>
    <w:bookmarkEnd w:id="15"/>
    <w:p>
      <w:pPr>
        <w:ind w:firstLine="324"/>
        <w:spacing w:after="0" w:line="277" w:lineRule="auto"/>
        <w:rPr>
          <w:sz w:val="20"/>
          <w:szCs w:val="20"/>
          <w:color w:val="auto"/>
        </w:rPr>
      </w:pPr>
      <w:r>
        <w:rPr>
          <w:rFonts w:ascii="Arial" w:cs="Arial" w:eastAsia="Arial" w:hAnsi="Arial"/>
          <w:sz w:val="18"/>
          <w:szCs w:val="18"/>
          <w:color w:val="auto"/>
        </w:rPr>
        <w:t>The following table presents the effect of fair value and cash flow hedges on income and expense line items in our Consolidated Statements of Income and Comprehensive Income (in millions):</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20"/>
        <w:spacing w:after="0" w:line="253" w:lineRule="auto"/>
        <w:rPr>
          <w:sz w:val="20"/>
          <w:szCs w:val="20"/>
          <w:color w:val="auto"/>
        </w:rPr>
      </w:pPr>
      <w:r>
        <w:rPr>
          <w:rFonts w:ascii="Arial" w:cs="Arial" w:eastAsia="Arial" w:hAnsi="Arial"/>
          <w:sz w:val="14"/>
          <w:szCs w:val="14"/>
          <w:color w:val="auto"/>
        </w:rPr>
        <w:t>Total amounts of income and expense line items in which the effects of fair value or cash flow hedged are recorded</w:t>
      </w:r>
    </w:p>
    <w:p>
      <w:pPr>
        <w:spacing w:after="0" w:line="12" w:lineRule="exact"/>
        <w:rPr>
          <w:sz w:val="20"/>
          <w:szCs w:val="20"/>
          <w:color w:val="auto"/>
        </w:rPr>
      </w:pPr>
    </w:p>
    <w:p>
      <w:pPr>
        <w:ind w:left="220"/>
        <w:spacing w:after="0"/>
        <w:rPr>
          <w:sz w:val="20"/>
          <w:szCs w:val="20"/>
          <w:color w:val="auto"/>
        </w:rPr>
      </w:pPr>
      <w:r>
        <w:rPr>
          <w:rFonts w:ascii="Arial" w:cs="Arial" w:eastAsia="Arial" w:hAnsi="Arial"/>
          <w:sz w:val="14"/>
          <w:szCs w:val="14"/>
          <w:color w:val="auto"/>
        </w:rPr>
        <w:t>Gains or Loss on fair value hedge relationships:</w:t>
      </w:r>
    </w:p>
    <w:p>
      <w:pPr>
        <w:spacing w:after="0" w:line="42" w:lineRule="exact"/>
        <w:rPr>
          <w:sz w:val="20"/>
          <w:szCs w:val="20"/>
          <w:color w:val="auto"/>
        </w:rPr>
      </w:pPr>
    </w:p>
    <w:p>
      <w:pPr>
        <w:ind w:left="320"/>
        <w:spacing w:after="0"/>
        <w:rPr>
          <w:sz w:val="20"/>
          <w:szCs w:val="20"/>
          <w:color w:val="auto"/>
        </w:rPr>
      </w:pPr>
      <w:r>
        <w:rPr>
          <w:rFonts w:ascii="Arial" w:cs="Arial" w:eastAsia="Arial" w:hAnsi="Arial"/>
          <w:sz w:val="14"/>
          <w:szCs w:val="14"/>
          <w:color w:val="auto"/>
        </w:rPr>
        <w:t>Commodity contracts:</w:t>
      </w:r>
    </w:p>
    <w:p>
      <w:pPr>
        <w:spacing w:after="0" w:line="42" w:lineRule="exact"/>
        <w:rPr>
          <w:sz w:val="20"/>
          <w:szCs w:val="20"/>
          <w:color w:val="auto"/>
        </w:rPr>
      </w:pPr>
    </w:p>
    <w:p>
      <w:pPr>
        <w:ind w:left="2760"/>
        <w:spacing w:after="0"/>
        <w:rPr>
          <w:sz w:val="20"/>
          <w:szCs w:val="20"/>
          <w:color w:val="auto"/>
        </w:rPr>
      </w:pPr>
      <w:r>
        <w:rPr>
          <w:rFonts w:ascii="Arial" w:cs="Arial" w:eastAsia="Arial" w:hAnsi="Arial"/>
          <w:sz w:val="14"/>
          <w:szCs w:val="14"/>
          <w:color w:val="auto"/>
        </w:rPr>
        <w:t>Hedged Item</w:t>
      </w:r>
    </w:p>
    <w:p>
      <w:pPr>
        <w:spacing w:after="0" w:line="42" w:lineRule="exact"/>
        <w:rPr>
          <w:sz w:val="20"/>
          <w:szCs w:val="20"/>
          <w:color w:val="auto"/>
        </w:rPr>
      </w:pPr>
    </w:p>
    <w:p>
      <w:pPr>
        <w:ind w:left="2760"/>
        <w:spacing w:after="0"/>
        <w:rPr>
          <w:sz w:val="20"/>
          <w:szCs w:val="20"/>
          <w:color w:val="auto"/>
        </w:rPr>
      </w:pPr>
      <w:r>
        <w:rPr>
          <w:rFonts w:ascii="Arial" w:cs="Arial" w:eastAsia="Arial" w:hAnsi="Arial"/>
          <w:sz w:val="13"/>
          <w:szCs w:val="13"/>
          <w:color w:val="auto"/>
        </w:rPr>
        <w:t>Derivatives designated as hedging</w:t>
      </w:r>
    </w:p>
    <w:p>
      <w:pPr>
        <w:spacing w:after="0" w:line="11" w:lineRule="exact"/>
        <w:rPr>
          <w:sz w:val="20"/>
          <w:szCs w:val="20"/>
          <w:color w:val="auto"/>
        </w:rPr>
      </w:pPr>
    </w:p>
    <w:p>
      <w:pPr>
        <w:ind w:left="2760"/>
        <w:spacing w:after="0"/>
        <w:rPr>
          <w:sz w:val="20"/>
          <w:szCs w:val="20"/>
          <w:color w:val="auto"/>
        </w:rPr>
      </w:pPr>
      <w:r>
        <w:rPr>
          <w:rFonts w:ascii="Arial" w:cs="Arial" w:eastAsia="Arial" w:hAnsi="Arial"/>
          <w:sz w:val="14"/>
          <w:szCs w:val="14"/>
          <w:color w:val="auto"/>
        </w:rPr>
        <w:t>instruments</w:t>
      </w:r>
    </w:p>
    <w:p>
      <w:pPr>
        <w:spacing w:after="0" w:line="30" w:lineRule="exact"/>
        <w:rPr>
          <w:sz w:val="20"/>
          <w:szCs w:val="20"/>
          <w:color w:val="auto"/>
        </w:rPr>
      </w:pPr>
    </w:p>
    <w:p>
      <w:pPr>
        <w:ind w:left="220"/>
        <w:spacing w:after="0"/>
        <w:rPr>
          <w:sz w:val="20"/>
          <w:szCs w:val="20"/>
          <w:color w:val="auto"/>
        </w:rPr>
      </w:pPr>
      <w:r>
        <w:rPr>
          <w:rFonts w:ascii="Arial" w:cs="Arial" w:eastAsia="Arial" w:hAnsi="Arial"/>
          <w:sz w:val="14"/>
          <w:szCs w:val="14"/>
          <w:color w:val="auto"/>
        </w:rPr>
        <w:t>Gains or Loss on cash flow hedge relationships:</w:t>
      </w:r>
    </w:p>
    <w:p>
      <w:pPr>
        <w:spacing w:after="0" w:line="42" w:lineRule="exact"/>
        <w:rPr>
          <w:sz w:val="20"/>
          <w:szCs w:val="20"/>
          <w:color w:val="auto"/>
        </w:rPr>
      </w:pPr>
    </w:p>
    <w:p>
      <w:pPr>
        <w:ind w:left="320"/>
        <w:spacing w:after="0"/>
        <w:rPr>
          <w:sz w:val="20"/>
          <w:szCs w:val="20"/>
          <w:color w:val="auto"/>
        </w:rPr>
      </w:pPr>
      <w:r>
        <w:rPr>
          <w:rFonts w:ascii="Arial" w:cs="Arial" w:eastAsia="Arial" w:hAnsi="Arial"/>
          <w:sz w:val="14"/>
          <w:szCs w:val="14"/>
          <w:color w:val="auto"/>
        </w:rPr>
        <w:t>Commodity contracts:</w:t>
      </w:r>
    </w:p>
    <w:p>
      <w:pPr>
        <w:spacing w:after="0" w:line="42" w:lineRule="exact"/>
        <w:rPr>
          <w:sz w:val="20"/>
          <w:szCs w:val="20"/>
          <w:color w:val="auto"/>
        </w:rPr>
      </w:pPr>
    </w:p>
    <w:p>
      <w:pPr>
        <w:ind w:left="2760"/>
        <w:spacing w:after="0"/>
        <w:rPr>
          <w:sz w:val="20"/>
          <w:szCs w:val="20"/>
          <w:color w:val="auto"/>
        </w:rPr>
      </w:pPr>
      <w:r>
        <w:rPr>
          <w:rFonts w:ascii="Arial" w:cs="Arial" w:eastAsia="Arial" w:hAnsi="Arial"/>
          <w:sz w:val="13"/>
          <w:szCs w:val="13"/>
          <w:color w:val="auto"/>
        </w:rPr>
        <w:t>Amount of Gain (Loss) Reclassified</w:t>
      </w:r>
    </w:p>
    <w:p>
      <w:pPr>
        <w:spacing w:after="0" w:line="11" w:lineRule="exact"/>
        <w:rPr>
          <w:sz w:val="20"/>
          <w:szCs w:val="20"/>
          <w:color w:val="auto"/>
        </w:rPr>
      </w:pPr>
    </w:p>
    <w:p>
      <w:pPr>
        <w:ind w:left="2760"/>
        <w:spacing w:after="0"/>
        <w:rPr>
          <w:sz w:val="20"/>
          <w:szCs w:val="20"/>
          <w:color w:val="auto"/>
        </w:rPr>
      </w:pPr>
      <w:r>
        <w:rPr>
          <w:rFonts w:ascii="Arial" w:cs="Arial" w:eastAsia="Arial" w:hAnsi="Arial"/>
          <w:sz w:val="14"/>
          <w:szCs w:val="14"/>
          <w:color w:val="auto"/>
        </w:rPr>
        <w:t>from AOCI into Income</w:t>
      </w:r>
    </w:p>
    <w:p>
      <w:pPr>
        <w:spacing w:after="0" w:line="30" w:lineRule="exact"/>
        <w:rPr>
          <w:sz w:val="20"/>
          <w:szCs w:val="20"/>
          <w:color w:val="auto"/>
        </w:rPr>
      </w:pPr>
    </w:p>
    <w:p>
      <w:pPr>
        <w:ind w:left="320"/>
        <w:spacing w:after="0"/>
        <w:rPr>
          <w:sz w:val="20"/>
          <w:szCs w:val="20"/>
          <w:color w:val="auto"/>
        </w:rPr>
      </w:pPr>
      <w:r>
        <w:rPr>
          <w:rFonts w:ascii="Arial" w:cs="Arial" w:eastAsia="Arial" w:hAnsi="Arial"/>
          <w:sz w:val="14"/>
          <w:szCs w:val="14"/>
          <w:color w:val="auto"/>
        </w:rPr>
        <w:t>Interest rate contracts:</w:t>
      </w:r>
    </w:p>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jc w:val="center"/>
        <w:ind w:left="120" w:right="60"/>
        <w:spacing w:after="0" w:line="258" w:lineRule="auto"/>
        <w:rPr>
          <w:sz w:val="20"/>
          <w:szCs w:val="20"/>
          <w:color w:val="auto"/>
        </w:rPr>
      </w:pPr>
      <w:r>
        <w:rPr>
          <w:rFonts w:ascii="Arial" w:cs="Arial" w:eastAsia="Arial" w:hAnsi="Arial"/>
          <w:sz w:val="14"/>
          <w:szCs w:val="14"/>
          <w:b w:val="1"/>
          <w:bCs w:val="1"/>
          <w:color w:val="auto"/>
        </w:rPr>
        <w:t>Location and Amount of Gain and (Loss) Recognized in Income on Fair Value and Cash Flow Hedging Relationships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635</wp:posOffset>
            </wp:positionV>
            <wp:extent cx="378904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78904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6"/>
        </w:trPr>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980" w:type="dxa"/>
            <w:vAlign w:val="bottom"/>
            <w:gridSpan w:val="3"/>
          </w:tcPr>
          <w:p>
            <w:pPr>
              <w:jc w:val="right"/>
              <w:ind w:right="8"/>
              <w:spacing w:after="0"/>
              <w:rPr>
                <w:sz w:val="20"/>
                <w:szCs w:val="20"/>
                <w:color w:val="auto"/>
              </w:rPr>
            </w:pPr>
            <w:r>
              <w:rPr>
                <w:rFonts w:ascii="Arial" w:cs="Arial" w:eastAsia="Arial" w:hAnsi="Arial"/>
                <w:sz w:val="14"/>
                <w:szCs w:val="14"/>
                <w:b w:val="1"/>
                <w:bCs w:val="1"/>
                <w:color w:val="auto"/>
                <w:w w:val="99"/>
              </w:rPr>
              <w:t>For the Three Months Ended</w:t>
            </w: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June 30, 2020</w:t>
            </w:r>
          </w:p>
        </w:tc>
        <w:tc>
          <w:tcPr>
            <w:tcW w:w="2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0"/>
              </w:rPr>
              <w:t>June 30, 2019</w:t>
            </w:r>
          </w:p>
        </w:tc>
        <w:tc>
          <w:tcPr>
            <w:tcW w:w="1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2"/>
        </w:trPr>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jc w:val="center"/>
              <w:ind w:right="88"/>
              <w:spacing w:after="0" w:line="153" w:lineRule="exact"/>
              <w:rPr>
                <w:sz w:val="20"/>
                <w:szCs w:val="20"/>
                <w:color w:val="auto"/>
              </w:rPr>
            </w:pPr>
            <w:r>
              <w:rPr>
                <w:rFonts w:ascii="Arial" w:cs="Arial" w:eastAsia="Arial" w:hAnsi="Arial"/>
                <w:sz w:val="14"/>
                <w:szCs w:val="14"/>
                <w:b w:val="1"/>
                <w:bCs w:val="1"/>
                <w:color w:val="auto"/>
                <w:w w:val="94"/>
              </w:rPr>
              <w:t>Interest</w:t>
            </w:r>
          </w:p>
        </w:tc>
        <w:tc>
          <w:tcPr>
            <w:tcW w:w="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jc w:val="center"/>
              <w:ind w:right="48"/>
              <w:spacing w:after="0" w:line="153" w:lineRule="exact"/>
              <w:rPr>
                <w:sz w:val="20"/>
                <w:szCs w:val="20"/>
                <w:color w:val="auto"/>
              </w:rPr>
            </w:pPr>
            <w:r>
              <w:rPr>
                <w:rFonts w:ascii="Arial" w:cs="Arial" w:eastAsia="Arial" w:hAnsi="Arial"/>
                <w:sz w:val="14"/>
                <w:szCs w:val="14"/>
                <w:b w:val="1"/>
                <w:bCs w:val="1"/>
                <w:color w:val="auto"/>
                <w:w w:val="94"/>
              </w:rPr>
              <w:t>Interest</w:t>
            </w:r>
          </w:p>
        </w:tc>
        <w:tc>
          <w:tcPr>
            <w:tcW w:w="0" w:type="dxa"/>
            <w:vAlign w:val="bottom"/>
          </w:tcPr>
          <w:p>
            <w:pPr>
              <w:spacing w:after="0"/>
              <w:rPr>
                <w:sz w:val="1"/>
                <w:szCs w:val="1"/>
                <w:color w:val="auto"/>
              </w:rPr>
            </w:pPr>
          </w:p>
        </w:tc>
      </w:tr>
      <w:tr>
        <w:trPr>
          <w:trHeight w:val="148"/>
        </w:trPr>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0" w:type="dxa"/>
            <w:vAlign w:val="bottom"/>
            <w:vMerge w:val="restart"/>
          </w:tcPr>
          <w:p>
            <w:pPr>
              <w:jc w:val="center"/>
              <w:ind w:right="128"/>
              <w:spacing w:after="0"/>
              <w:rPr>
                <w:sz w:val="20"/>
                <w:szCs w:val="20"/>
                <w:color w:val="auto"/>
              </w:rPr>
            </w:pPr>
            <w:r>
              <w:rPr>
                <w:rFonts w:ascii="Arial" w:cs="Arial" w:eastAsia="Arial" w:hAnsi="Arial"/>
                <w:sz w:val="14"/>
                <w:szCs w:val="14"/>
                <w:b w:val="1"/>
                <w:bCs w:val="1"/>
                <w:color w:val="auto"/>
                <w:w w:val="91"/>
              </w:rPr>
              <w:t>Cost of</w:t>
            </w:r>
          </w:p>
        </w:tc>
        <w:tc>
          <w:tcPr>
            <w:tcW w:w="10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expense and</w:t>
            </w:r>
          </w:p>
        </w:tc>
        <w:tc>
          <w:tcPr>
            <w:tcW w:w="9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rPr>
              <w:t>Cost of</w:t>
            </w:r>
          </w:p>
        </w:tc>
        <w:tc>
          <w:tcPr>
            <w:tcW w:w="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expense and</w:t>
            </w:r>
          </w:p>
        </w:tc>
        <w:tc>
          <w:tcPr>
            <w:tcW w:w="0" w:type="dxa"/>
            <w:vAlign w:val="bottom"/>
          </w:tcPr>
          <w:p>
            <w:pPr>
              <w:spacing w:after="0"/>
              <w:rPr>
                <w:sz w:val="1"/>
                <w:szCs w:val="1"/>
                <w:color w:val="auto"/>
              </w:rPr>
            </w:pPr>
          </w:p>
        </w:tc>
      </w:tr>
      <w:tr>
        <w:trPr>
          <w:trHeight w:val="68"/>
        </w:trPr>
        <w:tc>
          <w:tcPr>
            <w:tcW w:w="140" w:type="dxa"/>
            <w:vAlign w:val="bottom"/>
          </w:tcPr>
          <w:p>
            <w:pPr>
              <w:spacing w:after="0"/>
              <w:rPr>
                <w:sz w:val="5"/>
                <w:szCs w:val="5"/>
                <w:color w:val="auto"/>
              </w:rPr>
            </w:pPr>
          </w:p>
        </w:tc>
        <w:tc>
          <w:tcPr>
            <w:tcW w:w="780" w:type="dxa"/>
            <w:vAlign w:val="bottom"/>
            <w:vMerge w:val="restart"/>
          </w:tcPr>
          <w:p>
            <w:pPr>
              <w:jc w:val="right"/>
              <w:ind w:right="128"/>
              <w:spacing w:after="0" w:line="149" w:lineRule="exact"/>
              <w:rPr>
                <w:sz w:val="20"/>
                <w:szCs w:val="20"/>
                <w:color w:val="auto"/>
              </w:rPr>
            </w:pPr>
            <w:r>
              <w:rPr>
                <w:rFonts w:ascii="Arial" w:cs="Arial" w:eastAsia="Arial" w:hAnsi="Arial"/>
                <w:sz w:val="14"/>
                <w:szCs w:val="14"/>
                <w:b w:val="1"/>
                <w:bCs w:val="1"/>
                <w:color w:val="auto"/>
                <w:w w:val="95"/>
              </w:rPr>
              <w:t>Revenue</w:t>
            </w:r>
          </w:p>
        </w:tc>
        <w:tc>
          <w:tcPr>
            <w:tcW w:w="26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800" w:type="dxa"/>
            <w:vAlign w:val="bottom"/>
            <w:vMerge w:val="restart"/>
          </w:tcPr>
          <w:p>
            <w:pPr>
              <w:jc w:val="center"/>
              <w:ind w:right="88"/>
              <w:spacing w:after="0" w:line="149" w:lineRule="exact"/>
              <w:rPr>
                <w:sz w:val="20"/>
                <w:szCs w:val="20"/>
                <w:color w:val="auto"/>
              </w:rPr>
            </w:pPr>
            <w:r>
              <w:rPr>
                <w:rFonts w:ascii="Arial" w:cs="Arial" w:eastAsia="Arial" w:hAnsi="Arial"/>
                <w:sz w:val="14"/>
                <w:szCs w:val="14"/>
                <w:b w:val="1"/>
                <w:bCs w:val="1"/>
                <w:color w:val="auto"/>
                <w:w w:val="91"/>
              </w:rPr>
              <w:t>other</w:t>
            </w:r>
          </w:p>
        </w:tc>
        <w:tc>
          <w:tcPr>
            <w:tcW w:w="980" w:type="dxa"/>
            <w:vAlign w:val="bottom"/>
            <w:vMerge w:val="restart"/>
          </w:tcPr>
          <w:p>
            <w:pPr>
              <w:jc w:val="right"/>
              <w:ind w:right="128"/>
              <w:spacing w:after="0" w:line="149" w:lineRule="exact"/>
              <w:rPr>
                <w:sz w:val="20"/>
                <w:szCs w:val="20"/>
                <w:color w:val="auto"/>
              </w:rPr>
            </w:pPr>
            <w:r>
              <w:rPr>
                <w:rFonts w:ascii="Arial" w:cs="Arial" w:eastAsia="Arial" w:hAnsi="Arial"/>
                <w:sz w:val="14"/>
                <w:szCs w:val="14"/>
                <w:b w:val="1"/>
                <w:bCs w:val="1"/>
                <w:color w:val="auto"/>
              </w:rPr>
              <w:t>Revenue</w:t>
            </w:r>
          </w:p>
        </w:tc>
        <w:tc>
          <w:tcPr>
            <w:tcW w:w="140" w:type="dxa"/>
            <w:vAlign w:val="bottom"/>
          </w:tcPr>
          <w:p>
            <w:pPr>
              <w:spacing w:after="0"/>
              <w:rPr>
                <w:sz w:val="5"/>
                <w:szCs w:val="5"/>
                <w:color w:val="auto"/>
              </w:rPr>
            </w:pPr>
          </w:p>
        </w:tc>
        <w:tc>
          <w:tcPr>
            <w:tcW w:w="90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800" w:type="dxa"/>
            <w:vAlign w:val="bottom"/>
            <w:vMerge w:val="restart"/>
          </w:tcPr>
          <w:p>
            <w:pPr>
              <w:jc w:val="center"/>
              <w:ind w:right="68"/>
              <w:spacing w:after="0" w:line="149" w:lineRule="exact"/>
              <w:rPr>
                <w:sz w:val="20"/>
                <w:szCs w:val="20"/>
                <w:color w:val="auto"/>
              </w:rPr>
            </w:pPr>
            <w:r>
              <w:rPr>
                <w:rFonts w:ascii="Arial" w:cs="Arial" w:eastAsia="Arial" w:hAnsi="Arial"/>
                <w:sz w:val="14"/>
                <w:szCs w:val="14"/>
                <w:b w:val="1"/>
                <w:bCs w:val="1"/>
                <w:color w:val="auto"/>
                <w:w w:val="97"/>
              </w:rPr>
              <w:t>other</w:t>
            </w:r>
          </w:p>
        </w:tc>
        <w:tc>
          <w:tcPr>
            <w:tcW w:w="0" w:type="dxa"/>
            <w:vAlign w:val="bottom"/>
          </w:tcPr>
          <w:p>
            <w:pPr>
              <w:spacing w:after="0"/>
              <w:rPr>
                <w:sz w:val="1"/>
                <w:szCs w:val="1"/>
                <w:color w:val="auto"/>
              </w:rPr>
            </w:pPr>
          </w:p>
        </w:tc>
      </w:tr>
      <w:tr>
        <w:trPr>
          <w:trHeight w:val="81"/>
        </w:trPr>
        <w:tc>
          <w:tcPr>
            <w:tcW w:w="1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800" w:type="dxa"/>
            <w:vAlign w:val="bottom"/>
            <w:vMerge w:val="restart"/>
          </w:tcPr>
          <w:p>
            <w:pPr>
              <w:jc w:val="center"/>
              <w:ind w:right="128"/>
              <w:spacing w:after="0"/>
              <w:rPr>
                <w:sz w:val="20"/>
                <w:szCs w:val="20"/>
                <w:color w:val="auto"/>
              </w:rPr>
            </w:pPr>
            <w:r>
              <w:rPr>
                <w:rFonts w:ascii="Arial" w:cs="Arial" w:eastAsia="Arial" w:hAnsi="Arial"/>
                <w:sz w:val="14"/>
                <w:szCs w:val="14"/>
                <w:b w:val="1"/>
                <w:bCs w:val="1"/>
                <w:color w:val="auto"/>
                <w:w w:val="89"/>
              </w:rPr>
              <w:t>Revenue</w:t>
            </w:r>
          </w:p>
        </w:tc>
        <w:tc>
          <w:tcPr>
            <w:tcW w:w="2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98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90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Revenue</w:t>
            </w:r>
          </w:p>
        </w:tc>
        <w:tc>
          <w:tcPr>
            <w:tcW w:w="18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2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vMerge w:val="restart"/>
          </w:tcPr>
          <w:p>
            <w:pPr>
              <w:jc w:val="center"/>
              <w:ind w:right="68"/>
              <w:spacing w:after="0" w:line="149" w:lineRule="exact"/>
              <w:rPr>
                <w:sz w:val="20"/>
                <w:szCs w:val="20"/>
                <w:color w:val="auto"/>
              </w:rPr>
            </w:pPr>
            <w:r>
              <w:rPr>
                <w:rFonts w:ascii="Arial" w:cs="Arial" w:eastAsia="Arial" w:hAnsi="Arial"/>
                <w:sz w:val="14"/>
                <w:szCs w:val="14"/>
                <w:b w:val="1"/>
                <w:bCs w:val="1"/>
                <w:color w:val="auto"/>
                <w:w w:val="93"/>
              </w:rPr>
              <w:t>financing</w:t>
            </w:r>
          </w:p>
        </w:tc>
        <w:tc>
          <w:tcPr>
            <w:tcW w:w="98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vMerge w:val="restart"/>
          </w:tcPr>
          <w:p>
            <w:pPr>
              <w:jc w:val="center"/>
              <w:ind w:right="68"/>
              <w:spacing w:after="0" w:line="149" w:lineRule="exact"/>
              <w:rPr>
                <w:sz w:val="20"/>
                <w:szCs w:val="20"/>
                <w:color w:val="auto"/>
              </w:rPr>
            </w:pPr>
            <w:r>
              <w:rPr>
                <w:rFonts w:ascii="Arial" w:cs="Arial" w:eastAsia="Arial" w:hAnsi="Arial"/>
                <w:sz w:val="14"/>
                <w:szCs w:val="14"/>
                <w:b w:val="1"/>
                <w:bCs w:val="1"/>
                <w:color w:val="auto"/>
                <w:w w:val="93"/>
              </w:rPr>
              <w:t>financing</w:t>
            </w:r>
          </w:p>
        </w:tc>
        <w:tc>
          <w:tcPr>
            <w:tcW w:w="0" w:type="dxa"/>
            <w:vAlign w:val="bottom"/>
          </w:tcPr>
          <w:p>
            <w:pPr>
              <w:spacing w:after="0"/>
              <w:rPr>
                <w:sz w:val="1"/>
                <w:szCs w:val="1"/>
                <w:color w:val="auto"/>
              </w:rPr>
            </w:pPr>
          </w:p>
        </w:tc>
      </w:tr>
      <w:tr>
        <w:trPr>
          <w:trHeight w:val="43"/>
        </w:trPr>
        <w:tc>
          <w:tcPr>
            <w:tcW w:w="140" w:type="dxa"/>
            <w:vAlign w:val="bottom"/>
          </w:tcPr>
          <w:p>
            <w:pPr>
              <w:spacing w:after="0"/>
              <w:rPr>
                <w:sz w:val="3"/>
                <w:szCs w:val="3"/>
                <w:color w:val="auto"/>
              </w:rPr>
            </w:pPr>
          </w:p>
        </w:tc>
        <w:tc>
          <w:tcPr>
            <w:tcW w:w="780" w:type="dxa"/>
            <w:vAlign w:val="bottom"/>
          </w:tcPr>
          <w:p>
            <w:pPr>
              <w:spacing w:after="0"/>
              <w:rPr>
                <w:sz w:val="3"/>
                <w:szCs w:val="3"/>
                <w:color w:val="auto"/>
              </w:rPr>
            </w:pPr>
          </w:p>
        </w:tc>
        <w:tc>
          <w:tcPr>
            <w:tcW w:w="260" w:type="dxa"/>
            <w:vAlign w:val="bottom"/>
          </w:tcPr>
          <w:p>
            <w:pPr>
              <w:spacing w:after="0"/>
              <w:rPr>
                <w:sz w:val="3"/>
                <w:szCs w:val="3"/>
                <w:color w:val="auto"/>
              </w:rPr>
            </w:pPr>
          </w:p>
        </w:tc>
        <w:tc>
          <w:tcPr>
            <w:tcW w:w="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140" w:type="dxa"/>
            <w:vAlign w:val="bottom"/>
          </w:tcPr>
          <w:p>
            <w:pPr>
              <w:spacing w:after="0"/>
              <w:rPr>
                <w:sz w:val="3"/>
                <w:szCs w:val="3"/>
                <w:color w:val="auto"/>
              </w:rPr>
            </w:pPr>
          </w:p>
        </w:tc>
        <w:tc>
          <w:tcPr>
            <w:tcW w:w="90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92"/>
        </w:trPr>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85"/>
              </w:rPr>
              <w:t>costs, net</w:t>
            </w:r>
          </w:p>
        </w:tc>
        <w:tc>
          <w:tcPr>
            <w:tcW w:w="9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5"/>
              </w:rPr>
              <w:t>costs, net</w:t>
            </w:r>
          </w:p>
        </w:tc>
        <w:tc>
          <w:tcPr>
            <w:tcW w:w="0" w:type="dxa"/>
            <w:vAlign w:val="bottom"/>
          </w:tcPr>
          <w:p>
            <w:pPr>
              <w:spacing w:after="0"/>
              <w:rPr>
                <w:sz w:val="1"/>
                <w:szCs w:val="1"/>
                <w:color w:val="auto"/>
              </w:rPr>
            </w:pPr>
          </w:p>
        </w:tc>
      </w:tr>
      <w:tr>
        <w:trPr>
          <w:trHeight w:val="258"/>
        </w:trPr>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68"/>
              <w:spacing w:after="0"/>
              <w:rPr>
                <w:sz w:val="20"/>
                <w:szCs w:val="20"/>
                <w:color w:val="auto"/>
              </w:rPr>
            </w:pPr>
            <w:r>
              <w:rPr>
                <w:rFonts w:ascii="Arial" w:cs="Arial" w:eastAsia="Arial" w:hAnsi="Arial"/>
                <w:sz w:val="14"/>
                <w:szCs w:val="14"/>
                <w:color w:val="auto"/>
              </w:rPr>
              <w:t>3,158.3</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2,944.5</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10.7</w:t>
            </w:r>
          </w:p>
        </w:tc>
        <w:tc>
          <w:tcPr>
            <w:tcW w:w="980" w:type="dxa"/>
            <w:vAlign w:val="bottom"/>
          </w:tcPr>
          <w:p>
            <w:pPr>
              <w:jc w:val="right"/>
              <w:ind w:right="128"/>
              <w:spacing w:after="0"/>
              <w:rPr>
                <w:sz w:val="20"/>
                <w:szCs w:val="20"/>
                <w:color w:val="auto"/>
              </w:rPr>
            </w:pPr>
            <w:r>
              <w:rPr>
                <w:rFonts w:ascii="Arial" w:cs="Arial" w:eastAsia="Arial" w:hAnsi="Arial"/>
                <w:sz w:val="14"/>
                <w:szCs w:val="14"/>
                <w:color w:val="auto"/>
              </w:rPr>
              <w:t>$   9,459.4</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148"/>
              <w:spacing w:after="0"/>
              <w:rPr>
                <w:sz w:val="20"/>
                <w:szCs w:val="20"/>
                <w:color w:val="auto"/>
              </w:rPr>
            </w:pPr>
            <w:r>
              <w:rPr>
                <w:rFonts w:ascii="Arial" w:cs="Arial" w:eastAsia="Arial" w:hAnsi="Arial"/>
                <w:sz w:val="14"/>
                <w:szCs w:val="14"/>
                <w:color w:val="auto"/>
              </w:rPr>
              <w:t>9,190.8</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21.7</w:t>
            </w:r>
          </w:p>
        </w:tc>
        <w:tc>
          <w:tcPr>
            <w:tcW w:w="0" w:type="dxa"/>
            <w:vAlign w:val="bottom"/>
          </w:tcPr>
          <w:p>
            <w:pPr>
              <w:spacing w:after="0"/>
              <w:rPr>
                <w:sz w:val="1"/>
                <w:szCs w:val="1"/>
                <w:color w:val="auto"/>
              </w:rPr>
            </w:pPr>
          </w:p>
        </w:tc>
      </w:tr>
      <w:tr>
        <w:trPr>
          <w:trHeight w:val="675"/>
        </w:trPr>
        <w:tc>
          <w:tcPr>
            <w:tcW w:w="140" w:type="dxa"/>
            <w:vAlign w:val="bottom"/>
          </w:tcPr>
          <w:p>
            <w:pPr>
              <w:spacing w:after="0"/>
              <w:rPr>
                <w:sz w:val="24"/>
                <w:szCs w:val="24"/>
                <w:color w:val="auto"/>
              </w:rPr>
            </w:pPr>
          </w:p>
        </w:tc>
        <w:tc>
          <w:tcPr>
            <w:tcW w:w="7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4"/>
                <w:szCs w:val="24"/>
                <w:color w:val="auto"/>
              </w:rPr>
            </w:pP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8.9</w:t>
            </w:r>
          </w:p>
        </w:tc>
        <w:tc>
          <w:tcPr>
            <w:tcW w:w="200" w:type="dxa"/>
            <w:vAlign w:val="bottom"/>
          </w:tcPr>
          <w:p>
            <w:pPr>
              <w:spacing w:after="0"/>
              <w:rPr>
                <w:sz w:val="24"/>
                <w:szCs w:val="24"/>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(0.9)</w:t>
            </w:r>
          </w:p>
        </w:tc>
        <w:tc>
          <w:tcPr>
            <w:tcW w:w="180" w:type="dxa"/>
            <w:vAlign w:val="bottom"/>
          </w:tcPr>
          <w:p>
            <w:pPr>
              <w:spacing w:after="0"/>
              <w:rPr>
                <w:sz w:val="24"/>
                <w:szCs w:val="24"/>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140" w:type="dxa"/>
            <w:vAlign w:val="bottom"/>
          </w:tcPr>
          <w:p>
            <w:pPr>
              <w:spacing w:after="0"/>
              <w:rPr>
                <w:sz w:val="23"/>
                <w:szCs w:val="23"/>
                <w:color w:val="auto"/>
              </w:rPr>
            </w:pPr>
          </w:p>
        </w:tc>
        <w:tc>
          <w:tcPr>
            <w:tcW w:w="7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3"/>
                <w:szCs w:val="23"/>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(4.6)</w:t>
            </w:r>
          </w:p>
        </w:tc>
        <w:tc>
          <w:tcPr>
            <w:tcW w:w="200" w:type="dxa"/>
            <w:vAlign w:val="bottom"/>
          </w:tcPr>
          <w:p>
            <w:pPr>
              <w:spacing w:after="0"/>
              <w:rPr>
                <w:sz w:val="23"/>
                <w:szCs w:val="23"/>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900" w:type="dxa"/>
            <w:vAlign w:val="bottom"/>
          </w:tcPr>
          <w:p>
            <w:pPr>
              <w:jc w:val="right"/>
              <w:ind w:right="108"/>
              <w:spacing w:after="0"/>
              <w:rPr>
                <w:sz w:val="20"/>
                <w:szCs w:val="20"/>
                <w:color w:val="auto"/>
              </w:rPr>
            </w:pPr>
            <w:r>
              <w:rPr>
                <w:rFonts w:ascii="Arial" w:cs="Arial" w:eastAsia="Arial" w:hAnsi="Arial"/>
                <w:sz w:val="14"/>
                <w:szCs w:val="14"/>
                <w:color w:val="auto"/>
              </w:rPr>
              <w:t>(0.6)</w:t>
            </w:r>
          </w:p>
        </w:tc>
        <w:tc>
          <w:tcPr>
            <w:tcW w:w="180" w:type="dxa"/>
            <w:vAlign w:val="bottom"/>
          </w:tcPr>
          <w:p>
            <w:pPr>
              <w:spacing w:after="0"/>
              <w:rPr>
                <w:sz w:val="23"/>
                <w:szCs w:val="23"/>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756"/>
        </w:trPr>
        <w:tc>
          <w:tcPr>
            <w:tcW w:w="140" w:type="dxa"/>
            <w:vAlign w:val="bottom"/>
          </w:tcPr>
          <w:p>
            <w:pPr>
              <w:spacing w:after="0"/>
              <w:rPr>
                <w:sz w:val="24"/>
                <w:szCs w:val="24"/>
                <w:color w:val="auto"/>
              </w:rPr>
            </w:pPr>
          </w:p>
        </w:tc>
        <w:tc>
          <w:tcPr>
            <w:tcW w:w="780" w:type="dxa"/>
            <w:vAlign w:val="bottom"/>
          </w:tcPr>
          <w:p>
            <w:pPr>
              <w:jc w:val="right"/>
              <w:ind w:right="68"/>
              <w:spacing w:after="0"/>
              <w:rPr>
                <w:sz w:val="20"/>
                <w:szCs w:val="20"/>
                <w:color w:val="auto"/>
              </w:rPr>
            </w:pPr>
            <w:r>
              <w:rPr>
                <w:rFonts w:ascii="Arial" w:cs="Arial" w:eastAsia="Arial" w:hAnsi="Arial"/>
                <w:sz w:val="14"/>
                <w:szCs w:val="14"/>
                <w:color w:val="auto"/>
              </w:rPr>
              <w:t>27.0</w:t>
            </w:r>
          </w:p>
        </w:tc>
        <w:tc>
          <w:tcPr>
            <w:tcW w:w="260" w:type="dxa"/>
            <w:vAlign w:val="bottom"/>
          </w:tcPr>
          <w:p>
            <w:pPr>
              <w:spacing w:after="0"/>
              <w:rPr>
                <w:sz w:val="24"/>
                <w:szCs w:val="24"/>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(56.2)</w:t>
            </w:r>
          </w:p>
        </w:tc>
        <w:tc>
          <w:tcPr>
            <w:tcW w:w="200" w:type="dxa"/>
            <w:vAlign w:val="bottom"/>
          </w:tcPr>
          <w:p>
            <w:pPr>
              <w:spacing w:after="0"/>
              <w:rPr>
                <w:sz w:val="24"/>
                <w:szCs w:val="24"/>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88"/>
              <w:spacing w:after="0"/>
              <w:rPr>
                <w:sz w:val="20"/>
                <w:szCs w:val="20"/>
                <w:color w:val="auto"/>
              </w:rPr>
            </w:pPr>
            <w:r>
              <w:rPr>
                <w:rFonts w:ascii="Arial" w:cs="Arial" w:eastAsia="Arial" w:hAnsi="Arial"/>
                <w:sz w:val="14"/>
                <w:szCs w:val="14"/>
                <w:color w:val="auto"/>
              </w:rPr>
              <w:t>(2.5)</w:t>
            </w:r>
          </w:p>
        </w:tc>
        <w:tc>
          <w:tcPr>
            <w:tcW w:w="140" w:type="dxa"/>
            <w:vAlign w:val="bottom"/>
          </w:tcPr>
          <w:p>
            <w:pPr>
              <w:spacing w:after="0"/>
              <w:rPr>
                <w:sz w:val="24"/>
                <w:szCs w:val="24"/>
                <w:color w:val="auto"/>
              </w:rPr>
            </w:pPr>
          </w:p>
        </w:tc>
        <w:tc>
          <w:tcPr>
            <w:tcW w:w="900" w:type="dxa"/>
            <w:vAlign w:val="bottom"/>
          </w:tcPr>
          <w:p>
            <w:pPr>
              <w:jc w:val="right"/>
              <w:ind w:right="148"/>
              <w:spacing w:after="0"/>
              <w:rPr>
                <w:sz w:val="20"/>
                <w:szCs w:val="20"/>
                <w:color w:val="auto"/>
              </w:rPr>
            </w:pPr>
            <w:r>
              <w:rPr>
                <w:rFonts w:ascii="Arial" w:cs="Arial" w:eastAsia="Arial" w:hAnsi="Arial"/>
                <w:sz w:val="14"/>
                <w:szCs w:val="14"/>
                <w:color w:val="auto"/>
              </w:rPr>
              <w:t>25.8</w:t>
            </w:r>
          </w:p>
        </w:tc>
        <w:tc>
          <w:tcPr>
            <w:tcW w:w="180" w:type="dxa"/>
            <w:vAlign w:val="bottom"/>
          </w:tcPr>
          <w:p>
            <w:pPr>
              <w:spacing w:after="0"/>
              <w:rPr>
                <w:sz w:val="24"/>
                <w:szCs w:val="24"/>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-3296285</wp:posOffset>
            </wp:positionH>
            <wp:positionV relativeFrom="paragraph">
              <wp:posOffset>-1765935</wp:posOffset>
            </wp:positionV>
            <wp:extent cx="7089140" cy="514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089140" cy="514350"/>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-1028700</wp:posOffset>
            </wp:positionV>
            <wp:extent cx="7089140" cy="128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089140" cy="128905"/>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-771525</wp:posOffset>
            </wp:positionV>
            <wp:extent cx="7089140" cy="128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089140" cy="128905"/>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-420370</wp:posOffset>
            </wp:positionV>
            <wp:extent cx="7089140" cy="128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089140" cy="128905"/>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-163195</wp:posOffset>
            </wp:positionV>
            <wp:extent cx="7089140" cy="2228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089140" cy="222885"/>
                    </a:xfrm>
                    <a:prstGeom prst="rect">
                      <a:avLst/>
                    </a:prstGeom>
                    <a:noFill/>
                  </pic:spPr>
                </pic:pic>
              </a:graphicData>
            </a:graphic>
          </wp:anchor>
        </w:drawing>
      </w:r>
    </w:p>
    <w:p>
      <w:pPr>
        <w:spacing w:after="0" w:line="291" w:lineRule="exact"/>
        <w:rPr>
          <w:sz w:val="20"/>
          <w:szCs w:val="20"/>
          <w:color w:val="auto"/>
        </w:rPr>
      </w:pPr>
    </w:p>
    <w:p>
      <w:pPr>
        <w:sectPr>
          <w:pgSz w:w="11900" w:h="16838" w:orient="portrait"/>
          <w:cols w:equalWidth="0" w:num="2">
            <w:col w:w="4860" w:space="340"/>
            <w:col w:w="6040"/>
          </w:cols>
          <w:pgMar w:left="320" w:top="895" w:right="339" w:bottom="1440" w:gutter="0" w:footer="0" w:header="0"/>
          <w:type w:val="continuous"/>
        </w:sectPr>
      </w:pPr>
    </w:p>
    <w:tbl>
      <w:tblPr>
        <w:tblLayout w:type="fixed"/>
        <w:tblInd w:w="0" w:type="dxa"/>
        <w:tblCellMar>
          <w:top w:w="0" w:type="dxa"/>
          <w:left w:w="0" w:type="dxa"/>
          <w:bottom w:w="0" w:type="dxa"/>
          <w:right w:w="0" w:type="dxa"/>
        </w:tblCellMar>
      </w:tblPr>
      <w:tr>
        <w:trPr>
          <w:trHeight w:val="161"/>
        </w:trPr>
        <w:tc>
          <w:tcPr>
            <w:tcW w:w="5040" w:type="dxa"/>
            <w:vAlign w:val="bottom"/>
            <w:shd w:val="clear" w:color="auto" w:fill="CCEEFF"/>
          </w:tcPr>
          <w:p>
            <w:pPr>
              <w:ind w:left="2760"/>
              <w:spacing w:after="0"/>
              <w:rPr>
                <w:sz w:val="20"/>
                <w:szCs w:val="20"/>
                <w:color w:val="auto"/>
              </w:rPr>
            </w:pPr>
            <w:r>
              <w:rPr>
                <w:rFonts w:ascii="Arial" w:cs="Arial" w:eastAsia="Arial" w:hAnsi="Arial"/>
                <w:sz w:val="14"/>
                <w:szCs w:val="14"/>
                <w:color w:val="auto"/>
              </w:rPr>
              <w:t>Amount of Gain (Loss) Reclassified</w:t>
            </w:r>
          </w:p>
        </w:tc>
        <w:tc>
          <w:tcPr>
            <w:tcW w:w="380" w:type="dxa"/>
            <w:vAlign w:val="bottom"/>
            <w:shd w:val="clear" w:color="auto" w:fill="CCEEFF"/>
          </w:tcPr>
          <w:p>
            <w:pPr>
              <w:spacing w:after="0"/>
              <w:rPr>
                <w:sz w:val="14"/>
                <w:szCs w:val="14"/>
                <w:color w:val="auto"/>
              </w:rPr>
            </w:pPr>
          </w:p>
        </w:tc>
        <w:tc>
          <w:tcPr>
            <w:tcW w:w="7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4"/>
                <w:szCs w:val="14"/>
                <w:color w:val="auto"/>
              </w:rPr>
            </w:pPr>
          </w:p>
        </w:tc>
        <w:tc>
          <w:tcPr>
            <w:tcW w:w="68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spacing w:after="0"/>
              <w:rPr>
                <w:sz w:val="14"/>
                <w:szCs w:val="14"/>
                <w:color w:val="auto"/>
              </w:rPr>
            </w:pPr>
          </w:p>
        </w:tc>
        <w:tc>
          <w:tcPr>
            <w:tcW w:w="6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4"/>
                <w:szCs w:val="14"/>
                <w:color w:val="auto"/>
              </w:rPr>
            </w:pPr>
          </w:p>
        </w:tc>
        <w:tc>
          <w:tcPr>
            <w:tcW w:w="7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spacing w:after="0"/>
              <w:rPr>
                <w:sz w:val="14"/>
                <w:szCs w:val="14"/>
                <w:color w:val="auto"/>
              </w:rPr>
            </w:pPr>
          </w:p>
        </w:tc>
        <w:tc>
          <w:tcPr>
            <w:tcW w:w="62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5040" w:type="dxa"/>
            <w:vAlign w:val="bottom"/>
            <w:vMerge w:val="restart"/>
            <w:shd w:val="clear" w:color="auto" w:fill="CCEEFF"/>
          </w:tcPr>
          <w:p>
            <w:pPr>
              <w:ind w:left="2760"/>
              <w:spacing w:after="0"/>
              <w:rPr>
                <w:sz w:val="20"/>
                <w:szCs w:val="20"/>
                <w:color w:val="auto"/>
              </w:rPr>
            </w:pPr>
            <w:r>
              <w:rPr>
                <w:rFonts w:ascii="Arial" w:cs="Arial" w:eastAsia="Arial" w:hAnsi="Arial"/>
                <w:sz w:val="14"/>
                <w:szCs w:val="14"/>
                <w:color w:val="auto"/>
              </w:rPr>
              <w:t>from AOCI into Income</w:t>
            </w:r>
          </w:p>
        </w:tc>
        <w:tc>
          <w:tcPr>
            <w:tcW w:w="380" w:type="dxa"/>
            <w:vAlign w:val="bottom"/>
            <w:shd w:val="clear" w:color="auto" w:fill="CCEEFF"/>
          </w:tcPr>
          <w:p>
            <w:pPr>
              <w:spacing w:after="0"/>
              <w:rPr>
                <w:sz w:val="8"/>
                <w:szCs w:val="8"/>
                <w:color w:val="auto"/>
              </w:rPr>
            </w:pPr>
          </w:p>
        </w:tc>
        <w:tc>
          <w:tcPr>
            <w:tcW w:w="700" w:type="dxa"/>
            <w:vAlign w:val="bottom"/>
            <w:vMerge w:val="continue"/>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680" w:type="dxa"/>
            <w:vAlign w:val="bottom"/>
            <w:vMerge w:val="continue"/>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600" w:type="dxa"/>
            <w:vAlign w:val="bottom"/>
            <w:vMerge w:val="continue"/>
            <w:shd w:val="clear" w:color="auto" w:fill="CCEEFF"/>
          </w:tcPr>
          <w:p>
            <w:pPr>
              <w:spacing w:after="0"/>
              <w:rPr>
                <w:sz w:val="8"/>
                <w:szCs w:val="8"/>
                <w:color w:val="auto"/>
              </w:rPr>
            </w:pPr>
          </w:p>
        </w:tc>
        <w:tc>
          <w:tcPr>
            <w:tcW w:w="940" w:type="dxa"/>
            <w:vAlign w:val="bottom"/>
            <w:vMerge w:val="continue"/>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700" w:type="dxa"/>
            <w:vAlign w:val="bottom"/>
            <w:vMerge w:val="continue"/>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62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5040" w:type="dxa"/>
            <w:vAlign w:val="bottom"/>
            <w:tcBorders>
              <w:bottom w:val="single" w:sz="8" w:color="auto"/>
            </w:tcBorders>
            <w:vMerge w:val="continue"/>
            <w:shd w:val="clear" w:color="auto" w:fill="CCEEFF"/>
          </w:tcPr>
          <w:p>
            <w:pPr>
              <w:spacing w:after="0"/>
              <w:rPr>
                <w:sz w:val="7"/>
                <w:szCs w:val="7"/>
                <w:color w:val="auto"/>
              </w:rPr>
            </w:pPr>
          </w:p>
        </w:tc>
        <w:tc>
          <w:tcPr>
            <w:tcW w:w="380" w:type="dxa"/>
            <w:vAlign w:val="bottom"/>
            <w:tcBorders>
              <w:bottom w:val="single" w:sz="8" w:color="auto"/>
            </w:tcBorders>
            <w:shd w:val="clear" w:color="auto" w:fill="CCEEFF"/>
          </w:tcPr>
          <w:p>
            <w:pPr>
              <w:spacing w:after="0"/>
              <w:rPr>
                <w:sz w:val="7"/>
                <w:szCs w:val="7"/>
                <w:color w:val="auto"/>
              </w:rPr>
            </w:pPr>
          </w:p>
        </w:tc>
        <w:tc>
          <w:tcPr>
            <w:tcW w:w="700" w:type="dxa"/>
            <w:vAlign w:val="bottom"/>
            <w:tcBorders>
              <w:bottom w:val="single" w:sz="8" w:color="auto"/>
            </w:tcBorders>
            <w:shd w:val="clear" w:color="auto" w:fill="CCEEFF"/>
          </w:tcPr>
          <w:p>
            <w:pPr>
              <w:spacing w:after="0"/>
              <w:rPr>
                <w:sz w:val="7"/>
                <w:szCs w:val="7"/>
                <w:color w:val="auto"/>
              </w:rPr>
            </w:pPr>
          </w:p>
        </w:tc>
        <w:tc>
          <w:tcPr>
            <w:tcW w:w="320" w:type="dxa"/>
            <w:vAlign w:val="bottom"/>
            <w:tcBorders>
              <w:bottom w:val="single" w:sz="8" w:color="auto"/>
            </w:tcBorders>
            <w:shd w:val="clear" w:color="auto" w:fill="CCEEFF"/>
          </w:tcPr>
          <w:p>
            <w:pPr>
              <w:spacing w:after="0"/>
              <w:rPr>
                <w:sz w:val="7"/>
                <w:szCs w:val="7"/>
                <w:color w:val="auto"/>
              </w:rPr>
            </w:pPr>
          </w:p>
        </w:tc>
        <w:tc>
          <w:tcPr>
            <w:tcW w:w="680" w:type="dxa"/>
            <w:vAlign w:val="bottom"/>
            <w:tcBorders>
              <w:bottom w:val="single" w:sz="8" w:color="auto"/>
            </w:tcBorders>
            <w:shd w:val="clear" w:color="auto" w:fill="CCEEFF"/>
          </w:tcPr>
          <w:p>
            <w:pPr>
              <w:spacing w:after="0"/>
              <w:rPr>
                <w:sz w:val="7"/>
                <w:szCs w:val="7"/>
                <w:color w:val="auto"/>
              </w:rPr>
            </w:pPr>
          </w:p>
        </w:tc>
        <w:tc>
          <w:tcPr>
            <w:tcW w:w="440" w:type="dxa"/>
            <w:vAlign w:val="bottom"/>
            <w:tcBorders>
              <w:bottom w:val="single" w:sz="8" w:color="auto"/>
            </w:tcBorders>
            <w:shd w:val="clear" w:color="auto" w:fill="CCEEFF"/>
          </w:tcPr>
          <w:p>
            <w:pPr>
              <w:spacing w:after="0"/>
              <w:rPr>
                <w:sz w:val="7"/>
                <w:szCs w:val="7"/>
                <w:color w:val="auto"/>
              </w:rPr>
            </w:pPr>
          </w:p>
        </w:tc>
        <w:tc>
          <w:tcPr>
            <w:tcW w:w="600" w:type="dxa"/>
            <w:vAlign w:val="bottom"/>
            <w:tcBorders>
              <w:bottom w:val="single" w:sz="8" w:color="auto"/>
            </w:tcBorders>
            <w:shd w:val="clear" w:color="auto" w:fill="CCEEFF"/>
          </w:tcPr>
          <w:p>
            <w:pPr>
              <w:spacing w:after="0"/>
              <w:rPr>
                <w:sz w:val="7"/>
                <w:szCs w:val="7"/>
                <w:color w:val="auto"/>
              </w:rPr>
            </w:pPr>
          </w:p>
        </w:tc>
        <w:tc>
          <w:tcPr>
            <w:tcW w:w="940" w:type="dxa"/>
            <w:vAlign w:val="bottom"/>
            <w:tcBorders>
              <w:bottom w:val="single" w:sz="8" w:color="auto"/>
            </w:tcBorders>
            <w:shd w:val="clear" w:color="auto" w:fill="CCEEFF"/>
          </w:tcPr>
          <w:p>
            <w:pPr>
              <w:spacing w:after="0"/>
              <w:rPr>
                <w:sz w:val="7"/>
                <w:szCs w:val="7"/>
                <w:color w:val="auto"/>
              </w:rPr>
            </w:pPr>
          </w:p>
        </w:tc>
        <w:tc>
          <w:tcPr>
            <w:tcW w:w="320" w:type="dxa"/>
            <w:vAlign w:val="bottom"/>
            <w:tcBorders>
              <w:bottom w:val="single" w:sz="8" w:color="auto"/>
            </w:tcBorders>
            <w:shd w:val="clear" w:color="auto" w:fill="CCEEFF"/>
          </w:tcPr>
          <w:p>
            <w:pPr>
              <w:spacing w:after="0"/>
              <w:rPr>
                <w:sz w:val="7"/>
                <w:szCs w:val="7"/>
                <w:color w:val="auto"/>
              </w:rPr>
            </w:pPr>
          </w:p>
        </w:tc>
        <w:tc>
          <w:tcPr>
            <w:tcW w:w="700" w:type="dxa"/>
            <w:vAlign w:val="bottom"/>
            <w:tcBorders>
              <w:bottom w:val="single" w:sz="8" w:color="auto"/>
            </w:tcBorders>
            <w:shd w:val="clear" w:color="auto" w:fill="CCEEFF"/>
          </w:tcPr>
          <w:p>
            <w:pPr>
              <w:spacing w:after="0"/>
              <w:rPr>
                <w:sz w:val="7"/>
                <w:szCs w:val="7"/>
                <w:color w:val="auto"/>
              </w:rPr>
            </w:pPr>
          </w:p>
        </w:tc>
        <w:tc>
          <w:tcPr>
            <w:tcW w:w="440" w:type="dxa"/>
            <w:vAlign w:val="bottom"/>
            <w:tcBorders>
              <w:bottom w:val="single" w:sz="8" w:color="auto"/>
            </w:tcBorders>
            <w:shd w:val="clear" w:color="auto" w:fill="CCEEFF"/>
          </w:tcPr>
          <w:p>
            <w:pPr>
              <w:spacing w:after="0"/>
              <w:rPr>
                <w:sz w:val="7"/>
                <w:szCs w:val="7"/>
                <w:color w:val="auto"/>
              </w:rPr>
            </w:pPr>
          </w:p>
        </w:tc>
        <w:tc>
          <w:tcPr>
            <w:tcW w:w="620" w:type="dxa"/>
            <w:vAlign w:val="bottom"/>
            <w:tcBorders>
              <w:bottom w:val="single" w:sz="8" w:color="auto"/>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50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amount of income and expense line items excluding the impact of hedges</w:t>
            </w:r>
          </w:p>
        </w:tc>
        <w:tc>
          <w:tcPr>
            <w:tcW w:w="3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3,131.4</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2,892.6</w:t>
            </w:r>
          </w:p>
        </w:tc>
        <w:tc>
          <w:tcPr>
            <w:tcW w:w="4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10.7</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   9,461.9</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9,215.1</w:t>
            </w:r>
          </w:p>
        </w:tc>
        <w:tc>
          <w:tcPr>
            <w:tcW w:w="4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21.7</w:t>
            </w:r>
          </w:p>
        </w:tc>
        <w:tc>
          <w:tcPr>
            <w:tcW w:w="0" w:type="dxa"/>
            <w:vAlign w:val="bottom"/>
          </w:tcPr>
          <w:p>
            <w:pPr>
              <w:spacing w:after="0"/>
              <w:rPr>
                <w:sz w:val="1"/>
                <w:szCs w:val="1"/>
                <w:color w:val="auto"/>
              </w:rPr>
            </w:pPr>
          </w:p>
        </w:tc>
      </w:tr>
      <w:tr>
        <w:trPr>
          <w:trHeight w:val="27"/>
        </w:trPr>
        <w:tc>
          <w:tcPr>
            <w:tcW w:w="50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3305175</wp:posOffset>
            </wp:positionH>
            <wp:positionV relativeFrom="paragraph">
              <wp:posOffset>120015</wp:posOffset>
            </wp:positionV>
            <wp:extent cx="378904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789045" cy="825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20"/>
        <w:spacing w:after="0" w:line="253" w:lineRule="auto"/>
        <w:rPr>
          <w:sz w:val="20"/>
          <w:szCs w:val="20"/>
          <w:color w:val="auto"/>
        </w:rPr>
      </w:pPr>
      <w:r>
        <w:rPr>
          <w:rFonts w:ascii="Arial" w:cs="Arial" w:eastAsia="Arial" w:hAnsi="Arial"/>
          <w:sz w:val="14"/>
          <w:szCs w:val="14"/>
          <w:color w:val="auto"/>
        </w:rPr>
        <w:t>Total amounts of income and expense line items in which the effects of fair value or cash flow hedged are recorded</w:t>
      </w:r>
    </w:p>
    <w:p>
      <w:pPr>
        <w:spacing w:after="0" w:line="12" w:lineRule="exact"/>
        <w:rPr>
          <w:sz w:val="20"/>
          <w:szCs w:val="20"/>
          <w:color w:val="auto"/>
        </w:rPr>
      </w:pPr>
    </w:p>
    <w:p>
      <w:pPr>
        <w:ind w:left="220"/>
        <w:spacing w:after="0"/>
        <w:rPr>
          <w:sz w:val="20"/>
          <w:szCs w:val="20"/>
          <w:color w:val="auto"/>
        </w:rPr>
      </w:pPr>
      <w:r>
        <w:rPr>
          <w:rFonts w:ascii="Arial" w:cs="Arial" w:eastAsia="Arial" w:hAnsi="Arial"/>
          <w:sz w:val="14"/>
          <w:szCs w:val="14"/>
          <w:color w:val="auto"/>
        </w:rPr>
        <w:t>Gains or Loss on fair value hedge relationships:</w:t>
      </w:r>
    </w:p>
    <w:p>
      <w:pPr>
        <w:spacing w:after="0" w:line="42" w:lineRule="exact"/>
        <w:rPr>
          <w:sz w:val="20"/>
          <w:szCs w:val="20"/>
          <w:color w:val="auto"/>
        </w:rPr>
      </w:pPr>
    </w:p>
    <w:p>
      <w:pPr>
        <w:ind w:left="320"/>
        <w:spacing w:after="0"/>
        <w:rPr>
          <w:sz w:val="20"/>
          <w:szCs w:val="20"/>
          <w:color w:val="auto"/>
        </w:rPr>
      </w:pPr>
      <w:r>
        <w:rPr>
          <w:rFonts w:ascii="Arial" w:cs="Arial" w:eastAsia="Arial" w:hAnsi="Arial"/>
          <w:sz w:val="14"/>
          <w:szCs w:val="14"/>
          <w:color w:val="auto"/>
        </w:rPr>
        <w:t>Commodity contracts:</w:t>
      </w:r>
    </w:p>
    <w:p>
      <w:pPr>
        <w:spacing w:after="0" w:line="42" w:lineRule="exact"/>
        <w:rPr>
          <w:sz w:val="20"/>
          <w:szCs w:val="20"/>
          <w:color w:val="auto"/>
        </w:rPr>
      </w:pPr>
    </w:p>
    <w:p>
      <w:pPr>
        <w:ind w:left="2760"/>
        <w:spacing w:after="0"/>
        <w:rPr>
          <w:sz w:val="20"/>
          <w:szCs w:val="20"/>
          <w:color w:val="auto"/>
        </w:rPr>
      </w:pPr>
      <w:r>
        <w:rPr>
          <w:rFonts w:ascii="Arial" w:cs="Arial" w:eastAsia="Arial" w:hAnsi="Arial"/>
          <w:sz w:val="14"/>
          <w:szCs w:val="14"/>
          <w:color w:val="auto"/>
        </w:rPr>
        <w:t>Hedged Item</w:t>
      </w:r>
    </w:p>
    <w:p>
      <w:pPr>
        <w:spacing w:after="0" w:line="42" w:lineRule="exact"/>
        <w:rPr>
          <w:sz w:val="20"/>
          <w:szCs w:val="20"/>
          <w:color w:val="auto"/>
        </w:rPr>
      </w:pPr>
    </w:p>
    <w:p>
      <w:pPr>
        <w:ind w:left="2760"/>
        <w:spacing w:after="0"/>
        <w:rPr>
          <w:sz w:val="20"/>
          <w:szCs w:val="20"/>
          <w:color w:val="auto"/>
        </w:rPr>
      </w:pPr>
      <w:r>
        <w:rPr>
          <w:rFonts w:ascii="Arial" w:cs="Arial" w:eastAsia="Arial" w:hAnsi="Arial"/>
          <w:sz w:val="13"/>
          <w:szCs w:val="13"/>
          <w:color w:val="auto"/>
        </w:rPr>
        <w:t>Derivatives designated as hedging</w:t>
      </w:r>
    </w:p>
    <w:p>
      <w:pPr>
        <w:spacing w:after="0" w:line="11" w:lineRule="exact"/>
        <w:rPr>
          <w:sz w:val="20"/>
          <w:szCs w:val="20"/>
          <w:color w:val="auto"/>
        </w:rPr>
      </w:pPr>
    </w:p>
    <w:p>
      <w:pPr>
        <w:ind w:left="2760"/>
        <w:spacing w:after="0"/>
        <w:rPr>
          <w:sz w:val="20"/>
          <w:szCs w:val="20"/>
          <w:color w:val="auto"/>
        </w:rPr>
      </w:pPr>
      <w:r>
        <w:rPr>
          <w:rFonts w:ascii="Arial" w:cs="Arial" w:eastAsia="Arial" w:hAnsi="Arial"/>
          <w:sz w:val="14"/>
          <w:szCs w:val="14"/>
          <w:color w:val="auto"/>
        </w:rPr>
        <w:t>instruments</w:t>
      </w:r>
    </w:p>
    <w:p>
      <w:pPr>
        <w:spacing w:after="0" w:line="30" w:lineRule="exact"/>
        <w:rPr>
          <w:sz w:val="20"/>
          <w:szCs w:val="20"/>
          <w:color w:val="auto"/>
        </w:rPr>
      </w:pPr>
    </w:p>
    <w:p>
      <w:pPr>
        <w:ind w:left="220"/>
        <w:spacing w:after="0"/>
        <w:rPr>
          <w:sz w:val="20"/>
          <w:szCs w:val="20"/>
          <w:color w:val="auto"/>
        </w:rPr>
      </w:pPr>
      <w:r>
        <w:rPr>
          <w:rFonts w:ascii="Arial" w:cs="Arial" w:eastAsia="Arial" w:hAnsi="Arial"/>
          <w:sz w:val="14"/>
          <w:szCs w:val="14"/>
          <w:color w:val="auto"/>
        </w:rPr>
        <w:t>Gains or Loss on cash flow hedge relationships:</w:t>
      </w:r>
    </w:p>
    <w:p>
      <w:pPr>
        <w:spacing w:after="0" w:line="42" w:lineRule="exact"/>
        <w:rPr>
          <w:sz w:val="20"/>
          <w:szCs w:val="20"/>
          <w:color w:val="auto"/>
        </w:rPr>
      </w:pPr>
    </w:p>
    <w:p>
      <w:pPr>
        <w:ind w:left="320"/>
        <w:spacing w:after="0"/>
        <w:rPr>
          <w:sz w:val="20"/>
          <w:szCs w:val="20"/>
          <w:color w:val="auto"/>
        </w:rPr>
      </w:pPr>
      <w:r>
        <w:rPr>
          <w:rFonts w:ascii="Arial" w:cs="Arial" w:eastAsia="Arial" w:hAnsi="Arial"/>
          <w:sz w:val="14"/>
          <w:szCs w:val="14"/>
          <w:color w:val="auto"/>
        </w:rPr>
        <w:t>Commodity contracts:</w:t>
      </w:r>
    </w:p>
    <w:p>
      <w:pPr>
        <w:spacing w:after="0" w:line="42" w:lineRule="exact"/>
        <w:rPr>
          <w:sz w:val="20"/>
          <w:szCs w:val="20"/>
          <w:color w:val="auto"/>
        </w:rPr>
      </w:pPr>
    </w:p>
    <w:p>
      <w:pPr>
        <w:ind w:left="2760"/>
        <w:spacing w:after="0"/>
        <w:rPr>
          <w:sz w:val="20"/>
          <w:szCs w:val="20"/>
          <w:color w:val="auto"/>
        </w:rPr>
      </w:pPr>
      <w:r>
        <w:rPr>
          <w:rFonts w:ascii="Arial" w:cs="Arial" w:eastAsia="Arial" w:hAnsi="Arial"/>
          <w:sz w:val="13"/>
          <w:szCs w:val="13"/>
          <w:color w:val="auto"/>
        </w:rPr>
        <w:t>Amount of Gain (Loss) Reclassified</w:t>
      </w:r>
    </w:p>
    <w:p>
      <w:pPr>
        <w:spacing w:after="0" w:line="11" w:lineRule="exact"/>
        <w:rPr>
          <w:sz w:val="20"/>
          <w:szCs w:val="20"/>
          <w:color w:val="auto"/>
        </w:rPr>
      </w:pPr>
    </w:p>
    <w:p>
      <w:pPr>
        <w:ind w:left="2760"/>
        <w:spacing w:after="0"/>
        <w:rPr>
          <w:sz w:val="20"/>
          <w:szCs w:val="20"/>
          <w:color w:val="auto"/>
        </w:rPr>
      </w:pPr>
      <w:r>
        <w:rPr>
          <w:rFonts w:ascii="Arial" w:cs="Arial" w:eastAsia="Arial" w:hAnsi="Arial"/>
          <w:sz w:val="14"/>
          <w:szCs w:val="14"/>
          <w:color w:val="auto"/>
        </w:rPr>
        <w:t>from AOCI into Income</w:t>
      </w:r>
    </w:p>
    <w:p>
      <w:pPr>
        <w:spacing w:after="0" w:line="30" w:lineRule="exact"/>
        <w:rPr>
          <w:sz w:val="20"/>
          <w:szCs w:val="20"/>
          <w:color w:val="auto"/>
        </w:rPr>
      </w:pPr>
    </w:p>
    <w:p>
      <w:pPr>
        <w:ind w:left="320"/>
        <w:spacing w:after="0"/>
        <w:rPr>
          <w:sz w:val="20"/>
          <w:szCs w:val="20"/>
          <w:color w:val="auto"/>
        </w:rPr>
      </w:pPr>
      <w:r>
        <w:rPr>
          <w:rFonts w:ascii="Arial" w:cs="Arial" w:eastAsia="Arial" w:hAnsi="Arial"/>
          <w:sz w:val="14"/>
          <w:szCs w:val="14"/>
          <w:color w:val="auto"/>
        </w:rPr>
        <w:t>Interest rate contracts:</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jc w:val="center"/>
        <w:ind w:left="120" w:right="60"/>
        <w:spacing w:after="0" w:line="258" w:lineRule="auto"/>
        <w:rPr>
          <w:sz w:val="20"/>
          <w:szCs w:val="20"/>
          <w:color w:val="auto"/>
        </w:rPr>
      </w:pPr>
      <w:r>
        <w:rPr>
          <w:rFonts w:ascii="Arial" w:cs="Arial" w:eastAsia="Arial" w:hAnsi="Arial"/>
          <w:sz w:val="14"/>
          <w:szCs w:val="14"/>
          <w:b w:val="1"/>
          <w:bCs w:val="1"/>
          <w:color w:val="auto"/>
        </w:rPr>
        <w:t>Location and Amount of Gain and (Loss) Recognized in Income on Fair Value and Cash Flow Hedging Relationships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635</wp:posOffset>
            </wp:positionV>
            <wp:extent cx="378904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789045" cy="825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6"/>
        </w:trPr>
        <w:tc>
          <w:tcPr>
            <w:tcW w:w="9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60" w:type="dxa"/>
            <w:vAlign w:val="bottom"/>
            <w:gridSpan w:val="2"/>
          </w:tcPr>
          <w:p>
            <w:pPr>
              <w:jc w:val="right"/>
              <w:ind w:right="48"/>
              <w:spacing w:after="0"/>
              <w:rPr>
                <w:sz w:val="20"/>
                <w:szCs w:val="20"/>
                <w:color w:val="auto"/>
              </w:rPr>
            </w:pPr>
            <w:r>
              <w:rPr>
                <w:rFonts w:ascii="Arial" w:cs="Arial" w:eastAsia="Arial" w:hAnsi="Arial"/>
                <w:sz w:val="14"/>
                <w:szCs w:val="14"/>
                <w:b w:val="1"/>
                <w:bCs w:val="1"/>
                <w:color w:val="auto"/>
                <w:w w:val="93"/>
              </w:rPr>
              <w:t>For the Six Months Ended</w:t>
            </w:r>
          </w:p>
        </w:tc>
        <w:tc>
          <w:tcPr>
            <w:tcW w:w="10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9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June 30, 2020</w:t>
            </w:r>
          </w:p>
        </w:tc>
        <w:tc>
          <w:tcPr>
            <w:tcW w:w="1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June 30, 2019</w:t>
            </w:r>
          </w:p>
        </w:tc>
        <w:tc>
          <w:tcPr>
            <w:tcW w:w="1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2"/>
        </w:trPr>
        <w:tc>
          <w:tcPr>
            <w:tcW w:w="9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jc w:val="center"/>
              <w:ind w:right="68"/>
              <w:spacing w:after="0" w:line="153" w:lineRule="exact"/>
              <w:rPr>
                <w:sz w:val="20"/>
                <w:szCs w:val="20"/>
                <w:color w:val="auto"/>
              </w:rPr>
            </w:pPr>
            <w:r>
              <w:rPr>
                <w:rFonts w:ascii="Arial" w:cs="Arial" w:eastAsia="Arial" w:hAnsi="Arial"/>
                <w:sz w:val="14"/>
                <w:szCs w:val="14"/>
                <w:b w:val="1"/>
                <w:bCs w:val="1"/>
                <w:color w:val="auto"/>
                <w:w w:val="94"/>
              </w:rPr>
              <w:t>Interest</w:t>
            </w:r>
          </w:p>
        </w:tc>
        <w:tc>
          <w:tcPr>
            <w:tcW w:w="9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jc w:val="center"/>
              <w:ind w:right="48"/>
              <w:spacing w:after="0" w:line="153" w:lineRule="exact"/>
              <w:rPr>
                <w:sz w:val="20"/>
                <w:szCs w:val="20"/>
                <w:color w:val="auto"/>
              </w:rPr>
            </w:pPr>
            <w:r>
              <w:rPr>
                <w:rFonts w:ascii="Arial" w:cs="Arial" w:eastAsia="Arial" w:hAnsi="Arial"/>
                <w:sz w:val="14"/>
                <w:szCs w:val="14"/>
                <w:b w:val="1"/>
                <w:bCs w:val="1"/>
                <w:color w:val="auto"/>
                <w:w w:val="94"/>
              </w:rPr>
              <w:t>Interest</w:t>
            </w:r>
          </w:p>
        </w:tc>
        <w:tc>
          <w:tcPr>
            <w:tcW w:w="0" w:type="dxa"/>
            <w:vAlign w:val="bottom"/>
          </w:tcPr>
          <w:p>
            <w:pPr>
              <w:spacing w:after="0"/>
              <w:rPr>
                <w:sz w:val="1"/>
                <w:szCs w:val="1"/>
                <w:color w:val="auto"/>
              </w:rPr>
            </w:pPr>
          </w:p>
        </w:tc>
      </w:tr>
      <w:tr>
        <w:trPr>
          <w:trHeight w:val="148"/>
        </w:trPr>
        <w:tc>
          <w:tcPr>
            <w:tcW w:w="920" w:type="dxa"/>
            <w:vAlign w:val="bottom"/>
          </w:tcPr>
          <w:p>
            <w:pPr>
              <w:spacing w:after="0"/>
              <w:rPr>
                <w:sz w:val="12"/>
                <w:szCs w:val="12"/>
                <w:color w:val="auto"/>
              </w:rPr>
            </w:pPr>
          </w:p>
        </w:tc>
        <w:tc>
          <w:tcPr>
            <w:tcW w:w="1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Cost of</w:t>
            </w:r>
          </w:p>
        </w:tc>
        <w:tc>
          <w:tcPr>
            <w:tcW w:w="10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expense and</w:t>
            </w:r>
          </w:p>
        </w:tc>
        <w:tc>
          <w:tcPr>
            <w:tcW w:w="940" w:type="dxa"/>
            <w:vAlign w:val="bottom"/>
          </w:tcPr>
          <w:p>
            <w:pPr>
              <w:spacing w:after="0"/>
              <w:rPr>
                <w:sz w:val="12"/>
                <w:szCs w:val="12"/>
                <w:color w:val="auto"/>
              </w:rPr>
            </w:pPr>
          </w:p>
        </w:tc>
        <w:tc>
          <w:tcPr>
            <w:tcW w:w="108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rPr>
              <w:t>Cost of</w:t>
            </w:r>
          </w:p>
        </w:tc>
        <w:tc>
          <w:tcPr>
            <w:tcW w:w="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expense and</w:t>
            </w:r>
          </w:p>
        </w:tc>
        <w:tc>
          <w:tcPr>
            <w:tcW w:w="0" w:type="dxa"/>
            <w:vAlign w:val="bottom"/>
          </w:tcPr>
          <w:p>
            <w:pPr>
              <w:spacing w:after="0"/>
              <w:rPr>
                <w:sz w:val="1"/>
                <w:szCs w:val="1"/>
                <w:color w:val="auto"/>
              </w:rPr>
            </w:pPr>
          </w:p>
        </w:tc>
      </w:tr>
      <w:tr>
        <w:trPr>
          <w:trHeight w:val="68"/>
        </w:trPr>
        <w:tc>
          <w:tcPr>
            <w:tcW w:w="920" w:type="dxa"/>
            <w:vAlign w:val="bottom"/>
            <w:vMerge w:val="restart"/>
          </w:tcPr>
          <w:p>
            <w:pPr>
              <w:jc w:val="right"/>
              <w:ind w:right="128"/>
              <w:spacing w:after="0" w:line="149" w:lineRule="exact"/>
              <w:rPr>
                <w:sz w:val="20"/>
                <w:szCs w:val="20"/>
                <w:color w:val="auto"/>
              </w:rPr>
            </w:pPr>
            <w:r>
              <w:rPr>
                <w:rFonts w:ascii="Arial" w:cs="Arial" w:eastAsia="Arial" w:hAnsi="Arial"/>
                <w:sz w:val="14"/>
                <w:szCs w:val="14"/>
                <w:b w:val="1"/>
                <w:bCs w:val="1"/>
                <w:color w:val="auto"/>
              </w:rPr>
              <w:t>Revenue</w:t>
            </w:r>
          </w:p>
        </w:tc>
        <w:tc>
          <w:tcPr>
            <w:tcW w:w="106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vMerge w:val="restart"/>
          </w:tcPr>
          <w:p>
            <w:pPr>
              <w:jc w:val="center"/>
              <w:ind w:right="68"/>
              <w:spacing w:after="0" w:line="149" w:lineRule="exact"/>
              <w:rPr>
                <w:sz w:val="20"/>
                <w:szCs w:val="20"/>
                <w:color w:val="auto"/>
              </w:rPr>
            </w:pPr>
            <w:r>
              <w:rPr>
                <w:rFonts w:ascii="Arial" w:cs="Arial" w:eastAsia="Arial" w:hAnsi="Arial"/>
                <w:sz w:val="14"/>
                <w:szCs w:val="14"/>
                <w:b w:val="1"/>
                <w:bCs w:val="1"/>
                <w:color w:val="auto"/>
                <w:w w:val="91"/>
              </w:rPr>
              <w:t>other</w:t>
            </w:r>
          </w:p>
        </w:tc>
        <w:tc>
          <w:tcPr>
            <w:tcW w:w="940" w:type="dxa"/>
            <w:vAlign w:val="bottom"/>
            <w:vMerge w:val="restart"/>
          </w:tcPr>
          <w:p>
            <w:pPr>
              <w:jc w:val="right"/>
              <w:ind w:right="88"/>
              <w:spacing w:after="0" w:line="149" w:lineRule="exact"/>
              <w:rPr>
                <w:sz w:val="20"/>
                <w:szCs w:val="20"/>
                <w:color w:val="auto"/>
              </w:rPr>
            </w:pPr>
            <w:r>
              <w:rPr>
                <w:rFonts w:ascii="Arial" w:cs="Arial" w:eastAsia="Arial" w:hAnsi="Arial"/>
                <w:sz w:val="14"/>
                <w:szCs w:val="14"/>
                <w:b w:val="1"/>
                <w:bCs w:val="1"/>
                <w:color w:val="auto"/>
              </w:rPr>
              <w:t>Revenue</w:t>
            </w:r>
          </w:p>
        </w:tc>
        <w:tc>
          <w:tcPr>
            <w:tcW w:w="108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800" w:type="dxa"/>
            <w:vAlign w:val="bottom"/>
            <w:vMerge w:val="restart"/>
          </w:tcPr>
          <w:p>
            <w:pPr>
              <w:jc w:val="center"/>
              <w:ind w:right="68"/>
              <w:spacing w:after="0" w:line="149" w:lineRule="exact"/>
              <w:rPr>
                <w:sz w:val="20"/>
                <w:szCs w:val="20"/>
                <w:color w:val="auto"/>
              </w:rPr>
            </w:pPr>
            <w:r>
              <w:rPr>
                <w:rFonts w:ascii="Arial" w:cs="Arial" w:eastAsia="Arial" w:hAnsi="Arial"/>
                <w:sz w:val="14"/>
                <w:szCs w:val="14"/>
                <w:b w:val="1"/>
                <w:bCs w:val="1"/>
                <w:color w:val="auto"/>
                <w:w w:val="97"/>
              </w:rPr>
              <w:t>other</w:t>
            </w:r>
          </w:p>
        </w:tc>
        <w:tc>
          <w:tcPr>
            <w:tcW w:w="0" w:type="dxa"/>
            <w:vAlign w:val="bottom"/>
          </w:tcPr>
          <w:p>
            <w:pPr>
              <w:spacing w:after="0"/>
              <w:rPr>
                <w:sz w:val="1"/>
                <w:szCs w:val="1"/>
                <w:color w:val="auto"/>
              </w:rPr>
            </w:pPr>
          </w:p>
        </w:tc>
      </w:tr>
      <w:tr>
        <w:trPr>
          <w:trHeight w:val="81"/>
        </w:trPr>
        <w:tc>
          <w:tcPr>
            <w:tcW w:w="920" w:type="dxa"/>
            <w:vAlign w:val="bottom"/>
            <w:vMerge w:val="continue"/>
          </w:tcPr>
          <w:p>
            <w:pPr>
              <w:spacing w:after="0"/>
              <w:rPr>
                <w:sz w:val="7"/>
                <w:szCs w:val="7"/>
                <w:color w:val="auto"/>
              </w:rPr>
            </w:pPr>
          </w:p>
        </w:tc>
        <w:tc>
          <w:tcPr>
            <w:tcW w:w="10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Revenue</w:t>
            </w:r>
          </w:p>
        </w:tc>
        <w:tc>
          <w:tcPr>
            <w:tcW w:w="1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108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Revenue</w:t>
            </w:r>
          </w:p>
        </w:tc>
        <w:tc>
          <w:tcPr>
            <w:tcW w:w="18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05"/>
        </w:trPr>
        <w:tc>
          <w:tcPr>
            <w:tcW w:w="920" w:type="dxa"/>
            <w:vAlign w:val="bottom"/>
          </w:tcPr>
          <w:p>
            <w:pPr>
              <w:spacing w:after="0"/>
              <w:rPr>
                <w:sz w:val="9"/>
                <w:szCs w:val="9"/>
                <w:color w:val="auto"/>
              </w:rPr>
            </w:pPr>
          </w:p>
        </w:tc>
        <w:tc>
          <w:tcPr>
            <w:tcW w:w="106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vMerge w:val="restart"/>
          </w:tcPr>
          <w:p>
            <w:pPr>
              <w:jc w:val="center"/>
              <w:ind w:right="48"/>
              <w:spacing w:after="0" w:line="149" w:lineRule="exact"/>
              <w:rPr>
                <w:sz w:val="20"/>
                <w:szCs w:val="20"/>
                <w:color w:val="auto"/>
              </w:rPr>
            </w:pPr>
            <w:r>
              <w:rPr>
                <w:rFonts w:ascii="Arial" w:cs="Arial" w:eastAsia="Arial" w:hAnsi="Arial"/>
                <w:sz w:val="14"/>
                <w:szCs w:val="14"/>
                <w:b w:val="1"/>
                <w:bCs w:val="1"/>
                <w:color w:val="auto"/>
                <w:w w:val="93"/>
              </w:rPr>
              <w:t>financing</w:t>
            </w:r>
          </w:p>
        </w:tc>
        <w:tc>
          <w:tcPr>
            <w:tcW w:w="940" w:type="dxa"/>
            <w:vAlign w:val="bottom"/>
          </w:tcPr>
          <w:p>
            <w:pPr>
              <w:spacing w:after="0"/>
              <w:rPr>
                <w:sz w:val="9"/>
                <w:szCs w:val="9"/>
                <w:color w:val="auto"/>
              </w:rPr>
            </w:pPr>
          </w:p>
        </w:tc>
        <w:tc>
          <w:tcPr>
            <w:tcW w:w="108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vMerge w:val="restart"/>
          </w:tcPr>
          <w:p>
            <w:pPr>
              <w:jc w:val="center"/>
              <w:ind w:right="68"/>
              <w:spacing w:after="0" w:line="149" w:lineRule="exact"/>
              <w:rPr>
                <w:sz w:val="20"/>
                <w:szCs w:val="20"/>
                <w:color w:val="auto"/>
              </w:rPr>
            </w:pPr>
            <w:r>
              <w:rPr>
                <w:rFonts w:ascii="Arial" w:cs="Arial" w:eastAsia="Arial" w:hAnsi="Arial"/>
                <w:sz w:val="14"/>
                <w:szCs w:val="14"/>
                <w:b w:val="1"/>
                <w:bCs w:val="1"/>
                <w:color w:val="auto"/>
                <w:w w:val="93"/>
              </w:rPr>
              <w:t>financing</w:t>
            </w:r>
          </w:p>
        </w:tc>
        <w:tc>
          <w:tcPr>
            <w:tcW w:w="0" w:type="dxa"/>
            <w:vAlign w:val="bottom"/>
          </w:tcPr>
          <w:p>
            <w:pPr>
              <w:spacing w:after="0"/>
              <w:rPr>
                <w:sz w:val="1"/>
                <w:szCs w:val="1"/>
                <w:color w:val="auto"/>
              </w:rPr>
            </w:pPr>
          </w:p>
        </w:tc>
      </w:tr>
      <w:tr>
        <w:trPr>
          <w:trHeight w:val="43"/>
        </w:trPr>
        <w:tc>
          <w:tcPr>
            <w:tcW w:w="9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92"/>
        </w:trPr>
        <w:tc>
          <w:tcPr>
            <w:tcW w:w="9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85"/>
              </w:rPr>
              <w:t>costs, net</w:t>
            </w:r>
          </w:p>
        </w:tc>
        <w:tc>
          <w:tcPr>
            <w:tcW w:w="9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5"/>
              </w:rPr>
              <w:t>costs, net</w:t>
            </w:r>
          </w:p>
        </w:tc>
        <w:tc>
          <w:tcPr>
            <w:tcW w:w="0" w:type="dxa"/>
            <w:vAlign w:val="bottom"/>
          </w:tcPr>
          <w:p>
            <w:pPr>
              <w:spacing w:after="0"/>
              <w:rPr>
                <w:sz w:val="1"/>
                <w:szCs w:val="1"/>
                <w:color w:val="auto"/>
              </w:rPr>
            </w:pPr>
          </w:p>
        </w:tc>
      </w:tr>
      <w:tr>
        <w:trPr>
          <w:trHeight w:val="258"/>
        </w:trPr>
        <w:tc>
          <w:tcPr>
            <w:tcW w:w="920" w:type="dxa"/>
            <w:vAlign w:val="bottom"/>
          </w:tcPr>
          <w:p>
            <w:pPr>
              <w:jc w:val="right"/>
              <w:ind w:right="68"/>
              <w:spacing w:after="0"/>
              <w:rPr>
                <w:sz w:val="20"/>
                <w:szCs w:val="20"/>
                <w:color w:val="auto"/>
              </w:rPr>
            </w:pPr>
            <w:r>
              <w:rPr>
                <w:rFonts w:ascii="Arial" w:cs="Arial" w:eastAsia="Arial" w:hAnsi="Arial"/>
                <w:sz w:val="14"/>
                <w:szCs w:val="14"/>
                <w:color w:val="auto"/>
              </w:rPr>
              <w:t>$   11,173.5</w:t>
            </w:r>
          </w:p>
        </w:tc>
        <w:tc>
          <w:tcPr>
            <w:tcW w:w="1060" w:type="dxa"/>
            <w:vAlign w:val="bottom"/>
          </w:tcPr>
          <w:p>
            <w:pPr>
              <w:jc w:val="right"/>
              <w:ind w:right="108"/>
              <w:spacing w:after="0"/>
              <w:rPr>
                <w:sz w:val="20"/>
                <w:szCs w:val="20"/>
                <w:color w:val="auto"/>
              </w:rPr>
            </w:pPr>
            <w:r>
              <w:rPr>
                <w:rFonts w:ascii="Arial" w:cs="Arial" w:eastAsia="Arial" w:hAnsi="Arial"/>
                <w:sz w:val="14"/>
                <w:szCs w:val="14"/>
                <w:color w:val="auto"/>
              </w:rPr>
              <w:t>$   10,700.9</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26.9</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  18,138.2</w:t>
            </w: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   17,618.5</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42.2</w:t>
            </w:r>
          </w:p>
        </w:tc>
        <w:tc>
          <w:tcPr>
            <w:tcW w:w="0" w:type="dxa"/>
            <w:vAlign w:val="bottom"/>
          </w:tcPr>
          <w:p>
            <w:pPr>
              <w:spacing w:after="0"/>
              <w:rPr>
                <w:sz w:val="1"/>
                <w:szCs w:val="1"/>
                <w:color w:val="auto"/>
              </w:rPr>
            </w:pPr>
          </w:p>
        </w:tc>
      </w:tr>
      <w:tr>
        <w:trPr>
          <w:trHeight w:val="675"/>
        </w:trPr>
        <w:tc>
          <w:tcPr>
            <w:tcW w:w="9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(14.3)</w:t>
            </w:r>
          </w:p>
        </w:tc>
        <w:tc>
          <w:tcPr>
            <w:tcW w:w="180" w:type="dxa"/>
            <w:vAlign w:val="bottom"/>
          </w:tcPr>
          <w:p>
            <w:pPr>
              <w:spacing w:after="0"/>
              <w:rPr>
                <w:sz w:val="24"/>
                <w:szCs w:val="24"/>
                <w:color w:val="auto"/>
              </w:rPr>
            </w:pP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15.4</w:t>
            </w:r>
          </w:p>
        </w:tc>
        <w:tc>
          <w:tcPr>
            <w:tcW w:w="180" w:type="dxa"/>
            <w:vAlign w:val="bottom"/>
          </w:tcPr>
          <w:p>
            <w:pPr>
              <w:spacing w:after="0"/>
              <w:rPr>
                <w:sz w:val="24"/>
                <w:szCs w:val="24"/>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92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08"/>
              <w:spacing w:after="0"/>
              <w:rPr>
                <w:sz w:val="20"/>
                <w:szCs w:val="20"/>
                <w:color w:val="auto"/>
              </w:rPr>
            </w:pPr>
            <w:r>
              <w:rPr>
                <w:rFonts w:ascii="Arial" w:cs="Arial" w:eastAsia="Arial" w:hAnsi="Arial"/>
                <w:sz w:val="14"/>
                <w:szCs w:val="14"/>
                <w:color w:val="auto"/>
              </w:rPr>
              <w:t>13.8</w:t>
            </w:r>
          </w:p>
        </w:tc>
        <w:tc>
          <w:tcPr>
            <w:tcW w:w="180" w:type="dxa"/>
            <w:vAlign w:val="bottom"/>
          </w:tcPr>
          <w:p>
            <w:pPr>
              <w:spacing w:after="0"/>
              <w:rPr>
                <w:sz w:val="23"/>
                <w:szCs w:val="23"/>
                <w:color w:val="auto"/>
              </w:rPr>
            </w:pP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(14.1)</w:t>
            </w:r>
          </w:p>
        </w:tc>
        <w:tc>
          <w:tcPr>
            <w:tcW w:w="180" w:type="dxa"/>
            <w:vAlign w:val="bottom"/>
          </w:tcPr>
          <w:p>
            <w:pPr>
              <w:spacing w:after="0"/>
              <w:rPr>
                <w:sz w:val="23"/>
                <w:szCs w:val="23"/>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756"/>
        </w:trPr>
        <w:tc>
          <w:tcPr>
            <w:tcW w:w="920" w:type="dxa"/>
            <w:vAlign w:val="bottom"/>
          </w:tcPr>
          <w:p>
            <w:pPr>
              <w:jc w:val="right"/>
              <w:ind w:right="68"/>
              <w:spacing w:after="0"/>
              <w:rPr>
                <w:sz w:val="20"/>
                <w:szCs w:val="20"/>
                <w:color w:val="auto"/>
              </w:rPr>
            </w:pPr>
            <w:r>
              <w:rPr>
                <w:rFonts w:ascii="Arial" w:cs="Arial" w:eastAsia="Arial" w:hAnsi="Arial"/>
                <w:sz w:val="14"/>
                <w:szCs w:val="14"/>
                <w:color w:val="auto"/>
              </w:rPr>
              <w:t>41.0</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(57.3)</w:t>
            </w:r>
          </w:p>
        </w:tc>
        <w:tc>
          <w:tcPr>
            <w:tcW w:w="180" w:type="dxa"/>
            <w:vAlign w:val="bottom"/>
          </w:tcPr>
          <w:p>
            <w:pPr>
              <w:spacing w:after="0"/>
              <w:rPr>
                <w:sz w:val="24"/>
                <w:szCs w:val="24"/>
                <w:color w:val="auto"/>
              </w:rPr>
            </w:pPr>
          </w:p>
        </w:tc>
        <w:tc>
          <w:tcPr>
            <w:tcW w:w="82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(6.3)</w:t>
            </w:r>
          </w:p>
        </w:tc>
        <w:tc>
          <w:tcPr>
            <w:tcW w:w="1080" w:type="dxa"/>
            <w:vAlign w:val="bottom"/>
          </w:tcPr>
          <w:p>
            <w:pPr>
              <w:jc w:val="right"/>
              <w:ind w:right="148"/>
              <w:spacing w:after="0"/>
              <w:rPr>
                <w:sz w:val="20"/>
                <w:szCs w:val="20"/>
                <w:color w:val="auto"/>
              </w:rPr>
            </w:pPr>
            <w:r>
              <w:rPr>
                <w:rFonts w:ascii="Arial" w:cs="Arial" w:eastAsia="Arial" w:hAnsi="Arial"/>
                <w:sz w:val="14"/>
                <w:szCs w:val="14"/>
                <w:color w:val="auto"/>
              </w:rPr>
              <w:t>17.4</w:t>
            </w:r>
          </w:p>
        </w:tc>
        <w:tc>
          <w:tcPr>
            <w:tcW w:w="180" w:type="dxa"/>
            <w:vAlign w:val="bottom"/>
          </w:tcPr>
          <w:p>
            <w:pPr>
              <w:spacing w:after="0"/>
              <w:rPr>
                <w:sz w:val="24"/>
                <w:szCs w:val="24"/>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-3296285</wp:posOffset>
            </wp:positionH>
            <wp:positionV relativeFrom="paragraph">
              <wp:posOffset>-1765935</wp:posOffset>
            </wp:positionV>
            <wp:extent cx="7089140" cy="514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089140" cy="514350"/>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-1028700</wp:posOffset>
            </wp:positionV>
            <wp:extent cx="7089140" cy="128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089140" cy="128905"/>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-771525</wp:posOffset>
            </wp:positionV>
            <wp:extent cx="7089140" cy="128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089140" cy="128905"/>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-420370</wp:posOffset>
            </wp:positionV>
            <wp:extent cx="7089140" cy="128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089140" cy="128905"/>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-163195</wp:posOffset>
            </wp:positionV>
            <wp:extent cx="7089140" cy="2228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089140" cy="222885"/>
                    </a:xfrm>
                    <a:prstGeom prst="rect">
                      <a:avLst/>
                    </a:prstGeom>
                    <a:noFill/>
                  </pic:spPr>
                </pic:pic>
              </a:graphicData>
            </a:graphic>
          </wp:anchor>
        </w:drawing>
      </w:r>
    </w:p>
    <w:p>
      <w:pPr>
        <w:spacing w:after="0" w:line="291" w:lineRule="exact"/>
        <w:rPr>
          <w:sz w:val="20"/>
          <w:szCs w:val="20"/>
          <w:color w:val="auto"/>
        </w:rPr>
      </w:pPr>
    </w:p>
    <w:p>
      <w:pPr>
        <w:sectPr>
          <w:pgSz w:w="11900" w:h="16838" w:orient="portrait"/>
          <w:cols w:equalWidth="0" w:num="2">
            <w:col w:w="4860" w:space="340"/>
            <w:col w:w="6040"/>
          </w:cols>
          <w:pgMar w:left="320" w:top="895" w:right="339" w:bottom="1440" w:gutter="0" w:footer="0" w:header="0"/>
          <w:type w:val="continuous"/>
        </w:sectPr>
      </w:pPr>
    </w:p>
    <w:tbl>
      <w:tblPr>
        <w:tblLayout w:type="fixed"/>
        <w:tblInd w:w="0" w:type="dxa"/>
        <w:tblCellMar>
          <w:top w:w="0" w:type="dxa"/>
          <w:left w:w="0" w:type="dxa"/>
          <w:bottom w:w="0" w:type="dxa"/>
          <w:right w:w="0" w:type="dxa"/>
        </w:tblCellMar>
      </w:tblPr>
      <w:tr>
        <w:trPr>
          <w:trHeight w:val="161"/>
        </w:trPr>
        <w:tc>
          <w:tcPr>
            <w:tcW w:w="5040" w:type="dxa"/>
            <w:vAlign w:val="bottom"/>
            <w:shd w:val="clear" w:color="auto" w:fill="CCEEFF"/>
          </w:tcPr>
          <w:p>
            <w:pPr>
              <w:ind w:left="2760"/>
              <w:spacing w:after="0"/>
              <w:rPr>
                <w:sz w:val="20"/>
                <w:szCs w:val="20"/>
                <w:color w:val="auto"/>
              </w:rPr>
            </w:pPr>
            <w:r>
              <w:rPr>
                <w:rFonts w:ascii="Arial" w:cs="Arial" w:eastAsia="Arial" w:hAnsi="Arial"/>
                <w:sz w:val="14"/>
                <w:szCs w:val="14"/>
                <w:color w:val="auto"/>
              </w:rPr>
              <w:t>Amount of Gain (Loss) Reclassified</w:t>
            </w:r>
          </w:p>
        </w:tc>
        <w:tc>
          <w:tcPr>
            <w:tcW w:w="10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spacing w:after="0"/>
              <w:rPr>
                <w:sz w:val="14"/>
                <w:szCs w:val="14"/>
                <w:color w:val="auto"/>
              </w:rPr>
            </w:pPr>
          </w:p>
        </w:tc>
        <w:tc>
          <w:tcPr>
            <w:tcW w:w="6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spacing w:after="0"/>
              <w:rPr>
                <w:sz w:val="14"/>
                <w:szCs w:val="14"/>
                <w:color w:val="auto"/>
              </w:rPr>
            </w:pPr>
          </w:p>
        </w:tc>
        <w:tc>
          <w:tcPr>
            <w:tcW w:w="62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5040" w:type="dxa"/>
            <w:vAlign w:val="bottom"/>
            <w:vMerge w:val="restart"/>
            <w:shd w:val="clear" w:color="auto" w:fill="CCEEFF"/>
          </w:tcPr>
          <w:p>
            <w:pPr>
              <w:ind w:left="2760"/>
              <w:spacing w:after="0"/>
              <w:rPr>
                <w:sz w:val="20"/>
                <w:szCs w:val="20"/>
                <w:color w:val="auto"/>
              </w:rPr>
            </w:pPr>
            <w:r>
              <w:rPr>
                <w:rFonts w:ascii="Arial" w:cs="Arial" w:eastAsia="Arial" w:hAnsi="Arial"/>
                <w:sz w:val="14"/>
                <w:szCs w:val="14"/>
                <w:color w:val="auto"/>
              </w:rPr>
              <w:t>from AOCI into Income</w:t>
            </w:r>
          </w:p>
        </w:tc>
        <w:tc>
          <w:tcPr>
            <w:tcW w:w="1080" w:type="dxa"/>
            <w:vAlign w:val="bottom"/>
            <w:vMerge w:val="continue"/>
            <w:shd w:val="clear" w:color="auto" w:fill="CCEEFF"/>
          </w:tcPr>
          <w:p>
            <w:pPr>
              <w:spacing w:after="0"/>
              <w:rPr>
                <w:sz w:val="8"/>
                <w:szCs w:val="8"/>
                <w:color w:val="auto"/>
              </w:rPr>
            </w:pPr>
          </w:p>
        </w:tc>
        <w:tc>
          <w:tcPr>
            <w:tcW w:w="1000" w:type="dxa"/>
            <w:vAlign w:val="bottom"/>
            <w:vMerge w:val="continue"/>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600" w:type="dxa"/>
            <w:vAlign w:val="bottom"/>
            <w:vMerge w:val="continue"/>
            <w:shd w:val="clear" w:color="auto" w:fill="CCEEFF"/>
          </w:tcPr>
          <w:p>
            <w:pPr>
              <w:spacing w:after="0"/>
              <w:rPr>
                <w:sz w:val="8"/>
                <w:szCs w:val="8"/>
                <w:color w:val="auto"/>
              </w:rPr>
            </w:pPr>
          </w:p>
        </w:tc>
        <w:tc>
          <w:tcPr>
            <w:tcW w:w="940" w:type="dxa"/>
            <w:vAlign w:val="bottom"/>
            <w:vMerge w:val="continue"/>
            <w:shd w:val="clear" w:color="auto" w:fill="CCEEFF"/>
          </w:tcPr>
          <w:p>
            <w:pPr>
              <w:spacing w:after="0"/>
              <w:rPr>
                <w:sz w:val="8"/>
                <w:szCs w:val="8"/>
                <w:color w:val="auto"/>
              </w:rPr>
            </w:pPr>
          </w:p>
        </w:tc>
        <w:tc>
          <w:tcPr>
            <w:tcW w:w="1020" w:type="dxa"/>
            <w:vAlign w:val="bottom"/>
            <w:vMerge w:val="continue"/>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62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5040" w:type="dxa"/>
            <w:vAlign w:val="bottom"/>
            <w:tcBorders>
              <w:bottom w:val="single" w:sz="8" w:color="auto"/>
            </w:tcBorders>
            <w:vMerge w:val="continue"/>
            <w:shd w:val="clear" w:color="auto" w:fill="CCEEFF"/>
          </w:tcPr>
          <w:p>
            <w:pPr>
              <w:spacing w:after="0"/>
              <w:rPr>
                <w:sz w:val="7"/>
                <w:szCs w:val="7"/>
                <w:color w:val="auto"/>
              </w:rPr>
            </w:pPr>
          </w:p>
        </w:tc>
        <w:tc>
          <w:tcPr>
            <w:tcW w:w="1080" w:type="dxa"/>
            <w:vAlign w:val="bottom"/>
            <w:tcBorders>
              <w:bottom w:val="single" w:sz="8" w:color="auto"/>
            </w:tcBorders>
            <w:shd w:val="clear" w:color="auto" w:fill="CCEEFF"/>
          </w:tcPr>
          <w:p>
            <w:pPr>
              <w:spacing w:after="0"/>
              <w:rPr>
                <w:sz w:val="7"/>
                <w:szCs w:val="7"/>
                <w:color w:val="auto"/>
              </w:rPr>
            </w:pPr>
          </w:p>
        </w:tc>
        <w:tc>
          <w:tcPr>
            <w:tcW w:w="1000" w:type="dxa"/>
            <w:vAlign w:val="bottom"/>
            <w:tcBorders>
              <w:bottom w:val="single" w:sz="8" w:color="auto"/>
            </w:tcBorders>
            <w:shd w:val="clear" w:color="auto" w:fill="CCEEFF"/>
          </w:tcPr>
          <w:p>
            <w:pPr>
              <w:spacing w:after="0"/>
              <w:rPr>
                <w:sz w:val="7"/>
                <w:szCs w:val="7"/>
                <w:color w:val="auto"/>
              </w:rPr>
            </w:pPr>
          </w:p>
        </w:tc>
        <w:tc>
          <w:tcPr>
            <w:tcW w:w="440" w:type="dxa"/>
            <w:vAlign w:val="bottom"/>
            <w:tcBorders>
              <w:bottom w:val="single" w:sz="8" w:color="auto"/>
            </w:tcBorders>
            <w:shd w:val="clear" w:color="auto" w:fill="CCEEFF"/>
          </w:tcPr>
          <w:p>
            <w:pPr>
              <w:spacing w:after="0"/>
              <w:rPr>
                <w:sz w:val="7"/>
                <w:szCs w:val="7"/>
                <w:color w:val="auto"/>
              </w:rPr>
            </w:pPr>
          </w:p>
        </w:tc>
        <w:tc>
          <w:tcPr>
            <w:tcW w:w="600" w:type="dxa"/>
            <w:vAlign w:val="bottom"/>
            <w:tcBorders>
              <w:bottom w:val="single" w:sz="8" w:color="auto"/>
            </w:tcBorders>
            <w:shd w:val="clear" w:color="auto" w:fill="CCEEFF"/>
          </w:tcPr>
          <w:p>
            <w:pPr>
              <w:spacing w:after="0"/>
              <w:rPr>
                <w:sz w:val="7"/>
                <w:szCs w:val="7"/>
                <w:color w:val="auto"/>
              </w:rPr>
            </w:pPr>
          </w:p>
        </w:tc>
        <w:tc>
          <w:tcPr>
            <w:tcW w:w="940" w:type="dxa"/>
            <w:vAlign w:val="bottom"/>
            <w:tcBorders>
              <w:bottom w:val="single" w:sz="8" w:color="auto"/>
            </w:tcBorders>
            <w:shd w:val="clear" w:color="auto" w:fill="CCEEFF"/>
          </w:tcPr>
          <w:p>
            <w:pPr>
              <w:spacing w:after="0"/>
              <w:rPr>
                <w:sz w:val="7"/>
                <w:szCs w:val="7"/>
                <w:color w:val="auto"/>
              </w:rPr>
            </w:pPr>
          </w:p>
        </w:tc>
        <w:tc>
          <w:tcPr>
            <w:tcW w:w="1020" w:type="dxa"/>
            <w:vAlign w:val="bottom"/>
            <w:tcBorders>
              <w:bottom w:val="single" w:sz="8" w:color="auto"/>
            </w:tcBorders>
            <w:shd w:val="clear" w:color="auto" w:fill="CCEEFF"/>
          </w:tcPr>
          <w:p>
            <w:pPr>
              <w:spacing w:after="0"/>
              <w:rPr>
                <w:sz w:val="7"/>
                <w:szCs w:val="7"/>
                <w:color w:val="auto"/>
              </w:rPr>
            </w:pPr>
          </w:p>
        </w:tc>
        <w:tc>
          <w:tcPr>
            <w:tcW w:w="440" w:type="dxa"/>
            <w:vAlign w:val="bottom"/>
            <w:tcBorders>
              <w:bottom w:val="single" w:sz="8" w:color="auto"/>
            </w:tcBorders>
            <w:shd w:val="clear" w:color="auto" w:fill="CCEEFF"/>
          </w:tcPr>
          <w:p>
            <w:pPr>
              <w:spacing w:after="0"/>
              <w:rPr>
                <w:sz w:val="7"/>
                <w:szCs w:val="7"/>
                <w:color w:val="auto"/>
              </w:rPr>
            </w:pPr>
          </w:p>
        </w:tc>
        <w:tc>
          <w:tcPr>
            <w:tcW w:w="620" w:type="dxa"/>
            <w:vAlign w:val="bottom"/>
            <w:tcBorders>
              <w:bottom w:val="single" w:sz="8" w:color="auto"/>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50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amount of income and expense line items excluding the impact of hedges</w:t>
            </w: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   11,132.5</w:t>
            </w: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   10,643.1</w:t>
            </w:r>
          </w:p>
        </w:tc>
        <w:tc>
          <w:tcPr>
            <w:tcW w:w="4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26.9</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  18,144.5</w:t>
            </w: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   17,637.2</w:t>
            </w:r>
          </w:p>
        </w:tc>
        <w:tc>
          <w:tcPr>
            <w:tcW w:w="4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42.2</w:t>
            </w:r>
          </w:p>
        </w:tc>
        <w:tc>
          <w:tcPr>
            <w:tcW w:w="0" w:type="dxa"/>
            <w:vAlign w:val="bottom"/>
          </w:tcPr>
          <w:p>
            <w:pPr>
              <w:spacing w:after="0"/>
              <w:rPr>
                <w:sz w:val="1"/>
                <w:szCs w:val="1"/>
                <w:color w:val="auto"/>
              </w:rPr>
            </w:pPr>
          </w:p>
        </w:tc>
      </w:tr>
      <w:tr>
        <w:trPr>
          <w:trHeight w:val="26"/>
        </w:trPr>
        <w:tc>
          <w:tcPr>
            <w:tcW w:w="50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For the three and six months ended June 30, 2020 and 2019, there were no gains or losses recognized in earnings related to our fair value or cash flow hedges that were excluded from the assessment of hedge effectiveness.</w:t>
      </w:r>
    </w:p>
    <w:p>
      <w:pPr>
        <w:spacing w:after="0" w:line="197" w:lineRule="exact"/>
        <w:rPr>
          <w:sz w:val="20"/>
          <w:szCs w:val="20"/>
          <w:color w:val="auto"/>
        </w:rPr>
      </w:pPr>
    </w:p>
    <w:p>
      <w:pPr>
        <w:ind w:firstLine="482"/>
        <w:spacing w:after="0" w:line="308" w:lineRule="auto"/>
        <w:rPr>
          <w:sz w:val="20"/>
          <w:szCs w:val="20"/>
          <w:color w:val="auto"/>
        </w:rPr>
      </w:pPr>
      <w:r>
        <w:rPr>
          <w:rFonts w:ascii="Arial" w:cs="Arial" w:eastAsia="Arial" w:hAnsi="Arial"/>
          <w:sz w:val="17"/>
          <w:szCs w:val="17"/>
          <w:color w:val="auto"/>
        </w:rPr>
        <w:t>As of June 30, 2020, on a pre-tax basis for commodity cash flow hedges, $160.8 million and $170.8 million is scheduled to be reclassified from Accumulated other comprehensive loss as an increase to Revenue and increase to Cost of revenue, respectively, over the next twelve months.</w:t>
      </w: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16" w:name="page17"/>
    <w:bookmarkEnd w:id="16"/>
    <w:p>
      <w:pPr>
        <w:ind w:left="340"/>
        <w:spacing w:after="0"/>
        <w:rPr>
          <w:sz w:val="20"/>
          <w:szCs w:val="20"/>
          <w:color w:val="auto"/>
        </w:rPr>
      </w:pPr>
      <w:r>
        <w:rPr>
          <w:rFonts w:ascii="Arial" w:cs="Arial" w:eastAsia="Arial" w:hAnsi="Arial"/>
          <w:sz w:val="17"/>
          <w:szCs w:val="17"/>
          <w:color w:val="auto"/>
        </w:rPr>
        <w:t>The following table presents the effect and financial statement location of our derivative instruments in cash flow hedging relationships on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Accumulated other comprehensive income and Consolidated Statements of Income and Comprehensive Income (in millions):</w:t>
      </w:r>
    </w:p>
    <w:p>
      <w:pPr>
        <w:sectPr>
          <w:pgSz w:w="11900" w:h="16838" w:orient="portrait"/>
          <w:cols w:equalWidth="0" w:num="1">
            <w:col w:w="11240"/>
          </w:cols>
          <w:pgMar w:left="320" w:top="1138" w:right="339" w:bottom="1440" w:gutter="0" w:footer="0" w:header="0"/>
        </w:sect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3200" w:type="dxa"/>
            <w:vAlign w:val="bottom"/>
          </w:tcPr>
          <w:p>
            <w:pPr>
              <w:ind w:left="20"/>
              <w:spacing w:after="0"/>
              <w:rPr>
                <w:sz w:val="20"/>
                <w:szCs w:val="20"/>
                <w:color w:val="auto"/>
              </w:rPr>
            </w:pPr>
            <w:r>
              <w:rPr>
                <w:rFonts w:ascii="Arial" w:cs="Arial" w:eastAsia="Arial" w:hAnsi="Arial"/>
                <w:sz w:val="14"/>
                <w:szCs w:val="14"/>
                <w:b w:val="1"/>
                <w:bCs w:val="1"/>
                <w:color w:val="auto"/>
                <w:w w:val="92"/>
              </w:rPr>
              <w:t>Amount of Gain (Loss) Recognized in Accumulated</w:t>
            </w:r>
          </w:p>
        </w:tc>
        <w:tc>
          <w:tcPr>
            <w:tcW w:w="23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4"/>
              </w:rPr>
              <w:t>For the Three Months Ended</w:t>
            </w:r>
          </w:p>
        </w:tc>
        <w:tc>
          <w:tcPr>
            <w:tcW w:w="0" w:type="dxa"/>
            <w:vAlign w:val="bottom"/>
          </w:tcPr>
          <w:p>
            <w:pPr>
              <w:spacing w:after="0"/>
              <w:rPr>
                <w:sz w:val="1"/>
                <w:szCs w:val="1"/>
                <w:color w:val="auto"/>
              </w:rPr>
            </w:pPr>
          </w:p>
        </w:tc>
      </w:tr>
      <w:tr>
        <w:trPr>
          <w:trHeight w:val="166"/>
        </w:trPr>
        <w:tc>
          <w:tcPr>
            <w:tcW w:w="3200" w:type="dxa"/>
            <w:vAlign w:val="bottom"/>
          </w:tcPr>
          <w:p>
            <w:pPr>
              <w:ind w:left="680"/>
              <w:spacing w:after="0"/>
              <w:rPr>
                <w:sz w:val="20"/>
                <w:szCs w:val="20"/>
                <w:color w:val="auto"/>
              </w:rPr>
            </w:pPr>
            <w:r>
              <w:rPr>
                <w:rFonts w:ascii="Arial" w:cs="Arial" w:eastAsia="Arial" w:hAnsi="Arial"/>
                <w:sz w:val="14"/>
                <w:szCs w:val="14"/>
                <w:b w:val="1"/>
                <w:bCs w:val="1"/>
                <w:color w:val="auto"/>
              </w:rPr>
              <w:t>Other Comprehensive Income</w:t>
            </w:r>
          </w:p>
        </w:tc>
        <w:tc>
          <w:tcPr>
            <w:tcW w:w="820" w:type="dxa"/>
            <w:vAlign w:val="bottom"/>
          </w:tcPr>
          <w:p>
            <w:pPr>
              <w:spacing w:after="0"/>
              <w:rPr>
                <w:sz w:val="14"/>
                <w:szCs w:val="14"/>
                <w:color w:val="auto"/>
              </w:rPr>
            </w:pPr>
          </w:p>
        </w:tc>
        <w:tc>
          <w:tcPr>
            <w:tcW w:w="1540" w:type="dxa"/>
            <w:vAlign w:val="bottom"/>
            <w:vMerge w:val="restart"/>
          </w:tcPr>
          <w:p>
            <w:pPr>
              <w:jc w:val="center"/>
              <w:ind w:right="748"/>
              <w:spacing w:after="0"/>
              <w:rPr>
                <w:sz w:val="20"/>
                <w:szCs w:val="20"/>
                <w:color w:val="auto"/>
              </w:rPr>
            </w:pPr>
            <w:r>
              <w:rPr>
                <w:rFonts w:ascii="Arial" w:cs="Arial" w:eastAsia="Arial" w:hAnsi="Arial"/>
                <w:sz w:val="14"/>
                <w:szCs w:val="14"/>
                <w:b w:val="1"/>
                <w:bCs w:val="1"/>
                <w:color w:val="auto"/>
                <w:w w:val="92"/>
              </w:rPr>
              <w:t>June 30,</w:t>
            </w:r>
          </w:p>
        </w:tc>
        <w:tc>
          <w:tcPr>
            <w:tcW w:w="0" w:type="dxa"/>
            <w:vAlign w:val="bottom"/>
          </w:tcPr>
          <w:p>
            <w:pPr>
              <w:spacing w:after="0"/>
              <w:rPr>
                <w:sz w:val="1"/>
                <w:szCs w:val="1"/>
                <w:color w:val="auto"/>
              </w:rPr>
            </w:pPr>
          </w:p>
        </w:tc>
      </w:tr>
      <w:tr>
        <w:trPr>
          <w:trHeight w:val="45"/>
        </w:trPr>
        <w:tc>
          <w:tcPr>
            <w:tcW w:w="32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5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9"/>
        </w:trPr>
        <w:tc>
          <w:tcPr>
            <w:tcW w:w="32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3200" w:type="dxa"/>
            <w:vAlign w:val="bottom"/>
          </w:tcPr>
          <w:p>
            <w:pPr>
              <w:ind w:left="20"/>
              <w:spacing w:after="0"/>
              <w:rPr>
                <w:sz w:val="20"/>
                <w:szCs w:val="20"/>
                <w:color w:val="auto"/>
              </w:rPr>
            </w:pPr>
            <w:r>
              <w:rPr>
                <w:rFonts w:ascii="Arial" w:cs="Arial" w:eastAsia="Arial" w:hAnsi="Arial"/>
                <w:sz w:val="14"/>
                <w:szCs w:val="14"/>
                <w:b w:val="1"/>
                <w:bCs w:val="1"/>
                <w:color w:val="auto"/>
              </w:rPr>
              <w:t>Derivative Instruments</w:t>
            </w:r>
          </w:p>
        </w:tc>
        <w:tc>
          <w:tcPr>
            <w:tcW w:w="820" w:type="dxa"/>
            <w:vAlign w:val="bottom"/>
          </w:tcPr>
          <w:p>
            <w:pPr>
              <w:jc w:val="right"/>
              <w:ind w:right="48"/>
              <w:spacing w:after="0"/>
              <w:rPr>
                <w:sz w:val="20"/>
                <w:szCs w:val="20"/>
                <w:color w:val="auto"/>
              </w:rPr>
            </w:pPr>
            <w:r>
              <w:rPr>
                <w:rFonts w:ascii="Arial" w:cs="Arial" w:eastAsia="Arial" w:hAnsi="Arial"/>
                <w:sz w:val="14"/>
                <w:szCs w:val="14"/>
                <w:b w:val="1"/>
                <w:bCs w:val="1"/>
                <w:color w:val="auto"/>
              </w:rPr>
              <w:t>2020</w:t>
            </w:r>
          </w:p>
        </w:tc>
        <w:tc>
          <w:tcPr>
            <w:tcW w:w="1540" w:type="dxa"/>
            <w:vAlign w:val="bottom"/>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jc w:val="center"/>
              <w:spacing w:after="0"/>
              <w:rPr>
                <w:sz w:val="20"/>
                <w:szCs w:val="20"/>
                <w:color w:val="auto"/>
              </w:rPr>
            </w:pPr>
            <w:r>
              <w:rPr>
                <w:rFonts w:ascii="Arial" w:cs="Arial" w:eastAsia="Arial" w:hAnsi="Arial"/>
                <w:sz w:val="14"/>
                <w:szCs w:val="14"/>
                <w:b w:val="1"/>
                <w:bCs w:val="1"/>
                <w:color w:val="auto"/>
                <w:w w:val="92"/>
              </w:rPr>
              <w:t>Amount of Gain (Loss) Reclassified from</w:t>
            </w:r>
          </w:p>
        </w:tc>
        <w:tc>
          <w:tcPr>
            <w:tcW w:w="23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4"/>
              </w:rPr>
              <w:t>For the Three Months Ended</w:t>
            </w:r>
          </w:p>
        </w:tc>
        <w:tc>
          <w:tcPr>
            <w:tcW w:w="0" w:type="dxa"/>
            <w:vAlign w:val="bottom"/>
          </w:tcPr>
          <w:p>
            <w:pPr>
              <w:spacing w:after="0"/>
              <w:rPr>
                <w:sz w:val="1"/>
                <w:szCs w:val="1"/>
                <w:color w:val="auto"/>
              </w:rPr>
            </w:pPr>
          </w:p>
        </w:tc>
      </w:tr>
      <w:tr>
        <w:trPr>
          <w:trHeight w:val="68"/>
        </w:trPr>
        <w:tc>
          <w:tcPr>
            <w:tcW w:w="322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Accumulated Other Comprehensive Income into</w:t>
            </w:r>
          </w:p>
        </w:tc>
        <w:tc>
          <w:tcPr>
            <w:tcW w:w="80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3220" w:type="dxa"/>
            <w:vAlign w:val="bottom"/>
            <w:vMerge w:val="continue"/>
          </w:tcPr>
          <w:p>
            <w:pPr>
              <w:spacing w:after="0"/>
              <w:rPr>
                <w:sz w:val="4"/>
                <w:szCs w:val="4"/>
                <w:color w:val="auto"/>
              </w:rPr>
            </w:pPr>
          </w:p>
        </w:tc>
        <w:tc>
          <w:tcPr>
            <w:tcW w:w="800" w:type="dxa"/>
            <w:vAlign w:val="bottom"/>
          </w:tcPr>
          <w:p>
            <w:pPr>
              <w:spacing w:after="0"/>
              <w:rPr>
                <w:sz w:val="4"/>
                <w:szCs w:val="4"/>
                <w:color w:val="auto"/>
              </w:rPr>
            </w:pPr>
          </w:p>
        </w:tc>
        <w:tc>
          <w:tcPr>
            <w:tcW w:w="1520" w:type="dxa"/>
            <w:vAlign w:val="bottom"/>
            <w:vMerge w:val="restart"/>
          </w:tcPr>
          <w:p>
            <w:pPr>
              <w:jc w:val="center"/>
              <w:ind w:right="728"/>
              <w:spacing w:after="0"/>
              <w:rPr>
                <w:sz w:val="20"/>
                <w:szCs w:val="20"/>
                <w:color w:val="auto"/>
              </w:rPr>
            </w:pPr>
            <w:r>
              <w:rPr>
                <w:rFonts w:ascii="Arial" w:cs="Arial" w:eastAsia="Arial" w:hAnsi="Arial"/>
                <w:sz w:val="14"/>
                <w:szCs w:val="14"/>
                <w:b w:val="1"/>
                <w:bCs w:val="1"/>
                <w:color w:val="auto"/>
                <w:w w:val="92"/>
              </w:rPr>
              <w:t>June 30,</w:t>
            </w:r>
          </w:p>
        </w:tc>
        <w:tc>
          <w:tcPr>
            <w:tcW w:w="0" w:type="dxa"/>
            <w:vAlign w:val="bottom"/>
          </w:tcPr>
          <w:p>
            <w:pPr>
              <w:spacing w:after="0"/>
              <w:rPr>
                <w:sz w:val="1"/>
                <w:szCs w:val="1"/>
                <w:color w:val="auto"/>
              </w:rPr>
            </w:pPr>
          </w:p>
        </w:tc>
      </w:tr>
      <w:tr>
        <w:trPr>
          <w:trHeight w:val="192"/>
        </w:trPr>
        <w:tc>
          <w:tcPr>
            <w:tcW w:w="3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Income</w:t>
            </w:r>
          </w:p>
        </w:tc>
        <w:tc>
          <w:tcPr>
            <w:tcW w:w="8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220" w:type="dxa"/>
            <w:vAlign w:val="bottom"/>
          </w:tcPr>
          <w:p>
            <w:pPr>
              <w:ind w:left="20"/>
              <w:spacing w:after="0"/>
              <w:rPr>
                <w:sz w:val="20"/>
                <w:szCs w:val="20"/>
                <w:color w:val="auto"/>
              </w:rPr>
            </w:pPr>
            <w:r>
              <w:rPr>
                <w:rFonts w:ascii="Arial" w:cs="Arial" w:eastAsia="Arial" w:hAnsi="Arial"/>
                <w:sz w:val="14"/>
                <w:szCs w:val="14"/>
                <w:b w:val="1"/>
                <w:bCs w:val="1"/>
                <w:color w:val="auto"/>
              </w:rPr>
              <w:t>Location</w:t>
            </w:r>
          </w:p>
        </w:tc>
        <w:tc>
          <w:tcPr>
            <w:tcW w:w="800" w:type="dxa"/>
            <w:vAlign w:val="bottom"/>
          </w:tcPr>
          <w:p>
            <w:pPr>
              <w:jc w:val="right"/>
              <w:ind w:right="28"/>
              <w:spacing w:after="0"/>
              <w:rPr>
                <w:sz w:val="20"/>
                <w:szCs w:val="20"/>
                <w:color w:val="auto"/>
              </w:rPr>
            </w:pPr>
            <w:r>
              <w:rPr>
                <w:rFonts w:ascii="Arial" w:cs="Arial" w:eastAsia="Arial" w:hAnsi="Arial"/>
                <w:sz w:val="14"/>
                <w:szCs w:val="14"/>
                <w:b w:val="1"/>
                <w:bCs w:val="1"/>
                <w:color w:val="auto"/>
              </w:rPr>
              <w:t>2020</w:t>
            </w:r>
          </w:p>
        </w:tc>
        <w:tc>
          <w:tcPr>
            <w:tcW w:w="1520" w:type="dxa"/>
            <w:vAlign w:val="bottom"/>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2">
            <w:col w:w="5560" w:space="100"/>
            <w:col w:w="5580"/>
          </w:cols>
          <w:pgMar w:left="320" w:top="1138" w:right="339" w:bottom="1440" w:gutter="0" w:footer="0" w:header="0"/>
          <w:type w:val="continuous"/>
        </w:sectPr>
      </w:pPr>
    </w:p>
    <w:tbl>
      <w:tblPr>
        <w:tblLayout w:type="fixed"/>
        <w:tblInd w:w="0" w:type="dxa"/>
        <w:tblCellMar>
          <w:top w:w="0" w:type="dxa"/>
          <w:left w:w="0" w:type="dxa"/>
          <w:bottom w:w="0" w:type="dxa"/>
          <w:right w:w="0" w:type="dxa"/>
        </w:tblCellMar>
      </w:tblPr>
      <w:tr>
        <w:trPr>
          <w:trHeight w:val="208"/>
        </w:trPr>
        <w:tc>
          <w:tcPr>
            <w:tcW w:w="22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Commodity contracts</w:t>
            </w:r>
          </w:p>
        </w:tc>
        <w:tc>
          <w:tcPr>
            <w:tcW w:w="1300" w:type="dxa"/>
            <w:vAlign w:val="bottom"/>
            <w:tcBorders>
              <w:top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(148.5)</w:t>
            </w:r>
          </w:p>
        </w:tc>
        <w:tc>
          <w:tcPr>
            <w:tcW w:w="480" w:type="dxa"/>
            <w:vAlign w:val="bottom"/>
            <w:tcBorders>
              <w:top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42.8</w:t>
            </w:r>
          </w:p>
        </w:tc>
        <w:tc>
          <w:tcPr>
            <w:tcW w:w="100" w:type="dxa"/>
            <w:vAlign w:val="bottom"/>
          </w:tcPr>
          <w:p>
            <w:pPr>
              <w:spacing w:after="0"/>
              <w:rPr>
                <w:sz w:val="18"/>
                <w:szCs w:val="18"/>
                <w:color w:val="auto"/>
              </w:rPr>
            </w:pPr>
          </w:p>
        </w:tc>
        <w:tc>
          <w:tcPr>
            <w:tcW w:w="29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Revenue</w:t>
            </w:r>
          </w:p>
        </w:tc>
        <w:tc>
          <w:tcPr>
            <w:tcW w:w="620" w:type="dxa"/>
            <w:vAlign w:val="bottom"/>
            <w:tcBorders>
              <w:top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27.0</w:t>
            </w:r>
          </w:p>
        </w:tc>
        <w:tc>
          <w:tcPr>
            <w:tcW w:w="500" w:type="dxa"/>
            <w:vAlign w:val="bottom"/>
            <w:tcBorders>
              <w:top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w:t>
            </w:r>
          </w:p>
        </w:tc>
      </w:tr>
      <w:tr>
        <w:trPr>
          <w:trHeight w:val="197"/>
        </w:trPr>
        <w:tc>
          <w:tcPr>
            <w:tcW w:w="2240" w:type="dxa"/>
            <w:vAlign w:val="bottom"/>
          </w:tcPr>
          <w:p>
            <w:pPr>
              <w:ind w:left="20"/>
              <w:spacing w:after="0"/>
              <w:rPr>
                <w:sz w:val="20"/>
                <w:szCs w:val="20"/>
                <w:color w:val="auto"/>
              </w:rPr>
            </w:pPr>
            <w:r>
              <w:rPr>
                <w:rFonts w:ascii="Arial" w:cs="Arial" w:eastAsia="Arial" w:hAnsi="Arial"/>
                <w:sz w:val="14"/>
                <w:szCs w:val="14"/>
                <w:color w:val="auto"/>
              </w:rPr>
              <w:t>Commodity contracts</w:t>
            </w:r>
          </w:p>
        </w:tc>
        <w:tc>
          <w:tcPr>
            <w:tcW w:w="1300" w:type="dxa"/>
            <w:vAlign w:val="bottom"/>
          </w:tcPr>
          <w:p>
            <w:pPr>
              <w:spacing w:after="0"/>
              <w:rPr>
                <w:sz w:val="17"/>
                <w:szCs w:val="17"/>
                <w:color w:val="auto"/>
              </w:rPr>
            </w:pPr>
          </w:p>
        </w:tc>
        <w:tc>
          <w:tcPr>
            <w:tcW w:w="800" w:type="dxa"/>
            <w:vAlign w:val="bottom"/>
          </w:tcPr>
          <w:p>
            <w:pPr>
              <w:jc w:val="right"/>
              <w:ind w:right="88"/>
              <w:spacing w:after="0"/>
              <w:rPr>
                <w:sz w:val="20"/>
                <w:szCs w:val="20"/>
                <w:color w:val="auto"/>
              </w:rPr>
            </w:pPr>
            <w:r>
              <w:rPr>
                <w:rFonts w:ascii="Arial" w:cs="Arial" w:eastAsia="Arial" w:hAnsi="Arial"/>
                <w:sz w:val="14"/>
                <w:szCs w:val="14"/>
                <w:color w:val="auto"/>
              </w:rPr>
              <w:t>100.3</w:t>
            </w:r>
          </w:p>
        </w:tc>
        <w:tc>
          <w:tcPr>
            <w:tcW w:w="480" w:type="dxa"/>
            <w:vAlign w:val="bottom"/>
          </w:tcPr>
          <w:p>
            <w:pPr>
              <w:spacing w:after="0"/>
              <w:rPr>
                <w:sz w:val="17"/>
                <w:szCs w:val="17"/>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(22.7)</w:t>
            </w:r>
          </w:p>
        </w:tc>
        <w:tc>
          <w:tcPr>
            <w:tcW w:w="100" w:type="dxa"/>
            <w:vAlign w:val="bottom"/>
          </w:tcPr>
          <w:p>
            <w:pPr>
              <w:spacing w:after="0"/>
              <w:rPr>
                <w:sz w:val="17"/>
                <w:szCs w:val="17"/>
                <w:color w:val="auto"/>
              </w:rPr>
            </w:pPr>
          </w:p>
        </w:tc>
        <w:tc>
          <w:tcPr>
            <w:tcW w:w="2960" w:type="dxa"/>
            <w:vAlign w:val="bottom"/>
          </w:tcPr>
          <w:p>
            <w:pPr>
              <w:ind w:left="20"/>
              <w:spacing w:after="0"/>
              <w:rPr>
                <w:sz w:val="20"/>
                <w:szCs w:val="20"/>
                <w:color w:val="auto"/>
              </w:rPr>
            </w:pPr>
            <w:r>
              <w:rPr>
                <w:rFonts w:ascii="Arial" w:cs="Arial" w:eastAsia="Arial" w:hAnsi="Arial"/>
                <w:sz w:val="14"/>
                <w:szCs w:val="14"/>
                <w:color w:val="auto"/>
              </w:rPr>
              <w:t>Cost of revenue</w:t>
            </w:r>
          </w:p>
        </w:tc>
        <w:tc>
          <w:tcPr>
            <w:tcW w:w="620" w:type="dxa"/>
            <w:vAlign w:val="bottom"/>
          </w:tcPr>
          <w:p>
            <w:pPr>
              <w:spacing w:after="0"/>
              <w:rPr>
                <w:sz w:val="17"/>
                <w:szCs w:val="17"/>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(56.2)</w:t>
            </w:r>
          </w:p>
        </w:tc>
        <w:tc>
          <w:tcPr>
            <w:tcW w:w="500" w:type="dxa"/>
            <w:vAlign w:val="bottom"/>
          </w:tcPr>
          <w:p>
            <w:pPr>
              <w:spacing w:after="0"/>
              <w:rPr>
                <w:sz w:val="17"/>
                <w:szCs w:val="17"/>
                <w:color w:val="auto"/>
              </w:rPr>
            </w:pP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25.8</w:t>
            </w:r>
          </w:p>
        </w:tc>
      </w:tr>
      <w:tr>
        <w:trPr>
          <w:trHeight w:val="203"/>
        </w:trPr>
        <w:tc>
          <w:tcPr>
            <w:tcW w:w="2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rate contracts</w:t>
            </w:r>
          </w:p>
        </w:tc>
        <w:tc>
          <w:tcPr>
            <w:tcW w:w="13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(2.2)</w:t>
            </w:r>
          </w:p>
        </w:tc>
        <w:tc>
          <w:tcPr>
            <w:tcW w:w="4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2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expense and other financing costs, net</w:t>
            </w:r>
          </w:p>
        </w:tc>
        <w:tc>
          <w:tcPr>
            <w:tcW w:w="6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r>
      <w:tr>
        <w:trPr>
          <w:trHeight w:val="196"/>
        </w:trPr>
        <w:tc>
          <w:tcPr>
            <w:tcW w:w="22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Gain (Loss)</w:t>
            </w:r>
          </w:p>
        </w:tc>
        <w:tc>
          <w:tcPr>
            <w:tcW w:w="13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(50.3)</w:t>
            </w:r>
          </w:p>
        </w:tc>
        <w:tc>
          <w:tcPr>
            <w:tcW w:w="4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20.1</w:t>
            </w:r>
          </w:p>
        </w:tc>
        <w:tc>
          <w:tcPr>
            <w:tcW w:w="100" w:type="dxa"/>
            <w:vAlign w:val="bottom"/>
          </w:tcPr>
          <w:p>
            <w:pPr>
              <w:spacing w:after="0"/>
              <w:rPr>
                <w:sz w:val="17"/>
                <w:szCs w:val="17"/>
                <w:color w:val="auto"/>
              </w:rPr>
            </w:pPr>
          </w:p>
        </w:tc>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Gain (Loss)</w:t>
            </w:r>
          </w:p>
        </w:tc>
        <w:tc>
          <w:tcPr>
            <w:tcW w:w="62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(29.2)</w:t>
            </w:r>
          </w:p>
        </w:tc>
        <w:tc>
          <w:tcPr>
            <w:tcW w:w="5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23.3</w:t>
            </w:r>
          </w:p>
        </w:tc>
      </w:tr>
      <w:tr>
        <w:trPr>
          <w:trHeight w:val="27"/>
        </w:trPr>
        <w:tc>
          <w:tcPr>
            <w:tcW w:w="22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bl>
    <w:p>
      <w:pPr>
        <w:spacing w:after="0" w:line="190" w:lineRule="exact"/>
        <w:rPr>
          <w:sz w:val="20"/>
          <w:szCs w:val="20"/>
          <w:color w:val="auto"/>
        </w:rPr>
      </w:pPr>
    </w:p>
    <w:p>
      <w:pPr>
        <w:sectPr>
          <w:pgSz w:w="11900" w:h="16838" w:orient="portrait"/>
          <w:cols w:equalWidth="0" w:num="1">
            <w:col w:w="11240"/>
          </w:cols>
          <w:pgMar w:left="320" w:top="1138" w:right="339" w:bottom="1440" w:gutter="0" w:footer="0" w:header="0"/>
          <w:type w:val="continuous"/>
        </w:sectPr>
      </w:pP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3200" w:type="dxa"/>
            <w:vAlign w:val="bottom"/>
          </w:tcPr>
          <w:p>
            <w:pPr>
              <w:ind w:left="20"/>
              <w:spacing w:after="0"/>
              <w:rPr>
                <w:sz w:val="20"/>
                <w:szCs w:val="20"/>
                <w:color w:val="auto"/>
              </w:rPr>
            </w:pPr>
            <w:r>
              <w:rPr>
                <w:rFonts w:ascii="Arial" w:cs="Arial" w:eastAsia="Arial" w:hAnsi="Arial"/>
                <w:sz w:val="14"/>
                <w:szCs w:val="14"/>
                <w:b w:val="1"/>
                <w:bCs w:val="1"/>
                <w:color w:val="auto"/>
                <w:w w:val="92"/>
              </w:rPr>
              <w:t>Amount of Gain (Loss) Recognized in Accumulated</w:t>
            </w:r>
          </w:p>
        </w:tc>
        <w:tc>
          <w:tcPr>
            <w:tcW w:w="23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For the Six Months Ended</w:t>
            </w:r>
          </w:p>
        </w:tc>
        <w:tc>
          <w:tcPr>
            <w:tcW w:w="0" w:type="dxa"/>
            <w:vAlign w:val="bottom"/>
          </w:tcPr>
          <w:p>
            <w:pPr>
              <w:spacing w:after="0"/>
              <w:rPr>
                <w:sz w:val="1"/>
                <w:szCs w:val="1"/>
                <w:color w:val="auto"/>
              </w:rPr>
            </w:pPr>
          </w:p>
        </w:tc>
      </w:tr>
      <w:tr>
        <w:trPr>
          <w:trHeight w:val="166"/>
        </w:trPr>
        <w:tc>
          <w:tcPr>
            <w:tcW w:w="3200" w:type="dxa"/>
            <w:vAlign w:val="bottom"/>
          </w:tcPr>
          <w:p>
            <w:pPr>
              <w:ind w:left="680"/>
              <w:spacing w:after="0"/>
              <w:rPr>
                <w:sz w:val="20"/>
                <w:szCs w:val="20"/>
                <w:color w:val="auto"/>
              </w:rPr>
            </w:pPr>
            <w:r>
              <w:rPr>
                <w:rFonts w:ascii="Arial" w:cs="Arial" w:eastAsia="Arial" w:hAnsi="Arial"/>
                <w:sz w:val="14"/>
                <w:szCs w:val="14"/>
                <w:b w:val="1"/>
                <w:bCs w:val="1"/>
                <w:color w:val="auto"/>
              </w:rPr>
              <w:t>Other Comprehensive Income</w:t>
            </w:r>
          </w:p>
        </w:tc>
        <w:tc>
          <w:tcPr>
            <w:tcW w:w="820" w:type="dxa"/>
            <w:vAlign w:val="bottom"/>
          </w:tcPr>
          <w:p>
            <w:pPr>
              <w:spacing w:after="0"/>
              <w:rPr>
                <w:sz w:val="14"/>
                <w:szCs w:val="14"/>
                <w:color w:val="auto"/>
              </w:rPr>
            </w:pPr>
          </w:p>
        </w:tc>
        <w:tc>
          <w:tcPr>
            <w:tcW w:w="1540" w:type="dxa"/>
            <w:vAlign w:val="bottom"/>
            <w:vMerge w:val="restart"/>
          </w:tcPr>
          <w:p>
            <w:pPr>
              <w:jc w:val="center"/>
              <w:ind w:right="748"/>
              <w:spacing w:after="0"/>
              <w:rPr>
                <w:sz w:val="20"/>
                <w:szCs w:val="20"/>
                <w:color w:val="auto"/>
              </w:rPr>
            </w:pPr>
            <w:r>
              <w:rPr>
                <w:rFonts w:ascii="Arial" w:cs="Arial" w:eastAsia="Arial" w:hAnsi="Arial"/>
                <w:sz w:val="14"/>
                <w:szCs w:val="14"/>
                <w:b w:val="1"/>
                <w:bCs w:val="1"/>
                <w:color w:val="auto"/>
                <w:w w:val="92"/>
              </w:rPr>
              <w:t>June 30,</w:t>
            </w:r>
          </w:p>
        </w:tc>
        <w:tc>
          <w:tcPr>
            <w:tcW w:w="0" w:type="dxa"/>
            <w:vAlign w:val="bottom"/>
          </w:tcPr>
          <w:p>
            <w:pPr>
              <w:spacing w:after="0"/>
              <w:rPr>
                <w:sz w:val="1"/>
                <w:szCs w:val="1"/>
                <w:color w:val="auto"/>
              </w:rPr>
            </w:pPr>
          </w:p>
        </w:tc>
      </w:tr>
      <w:tr>
        <w:trPr>
          <w:trHeight w:val="45"/>
        </w:trPr>
        <w:tc>
          <w:tcPr>
            <w:tcW w:w="32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5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39"/>
        </w:trPr>
        <w:tc>
          <w:tcPr>
            <w:tcW w:w="32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3200" w:type="dxa"/>
            <w:vAlign w:val="bottom"/>
          </w:tcPr>
          <w:p>
            <w:pPr>
              <w:ind w:left="20"/>
              <w:spacing w:after="0"/>
              <w:rPr>
                <w:sz w:val="20"/>
                <w:szCs w:val="20"/>
                <w:color w:val="auto"/>
              </w:rPr>
            </w:pPr>
            <w:r>
              <w:rPr>
                <w:rFonts w:ascii="Arial" w:cs="Arial" w:eastAsia="Arial" w:hAnsi="Arial"/>
                <w:sz w:val="14"/>
                <w:szCs w:val="14"/>
                <w:b w:val="1"/>
                <w:bCs w:val="1"/>
                <w:color w:val="auto"/>
              </w:rPr>
              <w:t>Derivative Instruments</w:t>
            </w:r>
          </w:p>
        </w:tc>
        <w:tc>
          <w:tcPr>
            <w:tcW w:w="820" w:type="dxa"/>
            <w:vAlign w:val="bottom"/>
          </w:tcPr>
          <w:p>
            <w:pPr>
              <w:jc w:val="right"/>
              <w:ind w:right="48"/>
              <w:spacing w:after="0"/>
              <w:rPr>
                <w:sz w:val="20"/>
                <w:szCs w:val="20"/>
                <w:color w:val="auto"/>
              </w:rPr>
            </w:pPr>
            <w:r>
              <w:rPr>
                <w:rFonts w:ascii="Arial" w:cs="Arial" w:eastAsia="Arial" w:hAnsi="Arial"/>
                <w:sz w:val="14"/>
                <w:szCs w:val="14"/>
                <w:b w:val="1"/>
                <w:bCs w:val="1"/>
                <w:color w:val="auto"/>
              </w:rPr>
              <w:t>2020</w:t>
            </w:r>
          </w:p>
        </w:tc>
        <w:tc>
          <w:tcPr>
            <w:tcW w:w="1540" w:type="dxa"/>
            <w:vAlign w:val="bottom"/>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jc w:val="center"/>
              <w:spacing w:after="0"/>
              <w:rPr>
                <w:sz w:val="20"/>
                <w:szCs w:val="20"/>
                <w:color w:val="auto"/>
              </w:rPr>
            </w:pPr>
            <w:r>
              <w:rPr>
                <w:rFonts w:ascii="Arial" w:cs="Arial" w:eastAsia="Arial" w:hAnsi="Arial"/>
                <w:sz w:val="14"/>
                <w:szCs w:val="14"/>
                <w:b w:val="1"/>
                <w:bCs w:val="1"/>
                <w:color w:val="auto"/>
                <w:w w:val="92"/>
              </w:rPr>
              <w:t>Amount of Gain (Loss) Reclassified from</w:t>
            </w:r>
          </w:p>
        </w:tc>
        <w:tc>
          <w:tcPr>
            <w:tcW w:w="23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For the Six Months Ended</w:t>
            </w:r>
          </w:p>
        </w:tc>
        <w:tc>
          <w:tcPr>
            <w:tcW w:w="0" w:type="dxa"/>
            <w:vAlign w:val="bottom"/>
          </w:tcPr>
          <w:p>
            <w:pPr>
              <w:spacing w:after="0"/>
              <w:rPr>
                <w:sz w:val="1"/>
                <w:szCs w:val="1"/>
                <w:color w:val="auto"/>
              </w:rPr>
            </w:pPr>
          </w:p>
        </w:tc>
      </w:tr>
      <w:tr>
        <w:trPr>
          <w:trHeight w:val="68"/>
        </w:trPr>
        <w:tc>
          <w:tcPr>
            <w:tcW w:w="322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Accumulated Other Comprehensive Income into</w:t>
            </w:r>
          </w:p>
        </w:tc>
        <w:tc>
          <w:tcPr>
            <w:tcW w:w="80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3220" w:type="dxa"/>
            <w:vAlign w:val="bottom"/>
            <w:vMerge w:val="continue"/>
          </w:tcPr>
          <w:p>
            <w:pPr>
              <w:spacing w:after="0"/>
              <w:rPr>
                <w:sz w:val="4"/>
                <w:szCs w:val="4"/>
                <w:color w:val="auto"/>
              </w:rPr>
            </w:pPr>
          </w:p>
        </w:tc>
        <w:tc>
          <w:tcPr>
            <w:tcW w:w="800" w:type="dxa"/>
            <w:vAlign w:val="bottom"/>
          </w:tcPr>
          <w:p>
            <w:pPr>
              <w:spacing w:after="0"/>
              <w:rPr>
                <w:sz w:val="4"/>
                <w:szCs w:val="4"/>
                <w:color w:val="auto"/>
              </w:rPr>
            </w:pPr>
          </w:p>
        </w:tc>
        <w:tc>
          <w:tcPr>
            <w:tcW w:w="1520" w:type="dxa"/>
            <w:vAlign w:val="bottom"/>
            <w:vMerge w:val="restart"/>
          </w:tcPr>
          <w:p>
            <w:pPr>
              <w:jc w:val="center"/>
              <w:ind w:right="728"/>
              <w:spacing w:after="0"/>
              <w:rPr>
                <w:sz w:val="20"/>
                <w:szCs w:val="20"/>
                <w:color w:val="auto"/>
              </w:rPr>
            </w:pPr>
            <w:r>
              <w:rPr>
                <w:rFonts w:ascii="Arial" w:cs="Arial" w:eastAsia="Arial" w:hAnsi="Arial"/>
                <w:sz w:val="14"/>
                <w:szCs w:val="14"/>
                <w:b w:val="1"/>
                <w:bCs w:val="1"/>
                <w:color w:val="auto"/>
                <w:w w:val="92"/>
              </w:rPr>
              <w:t>June 30,</w:t>
            </w:r>
          </w:p>
        </w:tc>
        <w:tc>
          <w:tcPr>
            <w:tcW w:w="0" w:type="dxa"/>
            <w:vAlign w:val="bottom"/>
          </w:tcPr>
          <w:p>
            <w:pPr>
              <w:spacing w:after="0"/>
              <w:rPr>
                <w:sz w:val="1"/>
                <w:szCs w:val="1"/>
                <w:color w:val="auto"/>
              </w:rPr>
            </w:pPr>
          </w:p>
        </w:tc>
      </w:tr>
      <w:tr>
        <w:trPr>
          <w:trHeight w:val="192"/>
        </w:trPr>
        <w:tc>
          <w:tcPr>
            <w:tcW w:w="3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Income</w:t>
            </w:r>
          </w:p>
        </w:tc>
        <w:tc>
          <w:tcPr>
            <w:tcW w:w="8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220" w:type="dxa"/>
            <w:vAlign w:val="bottom"/>
          </w:tcPr>
          <w:p>
            <w:pPr>
              <w:ind w:left="20"/>
              <w:spacing w:after="0"/>
              <w:rPr>
                <w:sz w:val="20"/>
                <w:szCs w:val="20"/>
                <w:color w:val="auto"/>
              </w:rPr>
            </w:pPr>
            <w:r>
              <w:rPr>
                <w:rFonts w:ascii="Arial" w:cs="Arial" w:eastAsia="Arial" w:hAnsi="Arial"/>
                <w:sz w:val="14"/>
                <w:szCs w:val="14"/>
                <w:b w:val="1"/>
                <w:bCs w:val="1"/>
                <w:color w:val="auto"/>
              </w:rPr>
              <w:t>Location</w:t>
            </w:r>
          </w:p>
        </w:tc>
        <w:tc>
          <w:tcPr>
            <w:tcW w:w="800" w:type="dxa"/>
            <w:vAlign w:val="bottom"/>
          </w:tcPr>
          <w:p>
            <w:pPr>
              <w:jc w:val="right"/>
              <w:ind w:right="28"/>
              <w:spacing w:after="0"/>
              <w:rPr>
                <w:sz w:val="20"/>
                <w:szCs w:val="20"/>
                <w:color w:val="auto"/>
              </w:rPr>
            </w:pPr>
            <w:r>
              <w:rPr>
                <w:rFonts w:ascii="Arial" w:cs="Arial" w:eastAsia="Arial" w:hAnsi="Arial"/>
                <w:sz w:val="14"/>
                <w:szCs w:val="14"/>
                <w:b w:val="1"/>
                <w:bCs w:val="1"/>
                <w:color w:val="auto"/>
              </w:rPr>
              <w:t>2020</w:t>
            </w:r>
          </w:p>
        </w:tc>
        <w:tc>
          <w:tcPr>
            <w:tcW w:w="1520" w:type="dxa"/>
            <w:vAlign w:val="bottom"/>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2">
            <w:col w:w="5560" w:space="100"/>
            <w:col w:w="5580"/>
          </w:cols>
          <w:pgMar w:left="320" w:top="1138" w:right="339" w:bottom="1440" w:gutter="0" w:footer="0" w:header="0"/>
          <w:type w:val="continuous"/>
        </w:sectPr>
      </w:pPr>
    </w:p>
    <w:tbl>
      <w:tblPr>
        <w:tblLayout w:type="fixed"/>
        <w:tblInd w:w="0" w:type="dxa"/>
        <w:tblCellMar>
          <w:top w:w="0" w:type="dxa"/>
          <w:left w:w="0" w:type="dxa"/>
          <w:bottom w:w="0" w:type="dxa"/>
          <w:right w:w="0" w:type="dxa"/>
        </w:tblCellMar>
      </w:tblPr>
      <w:tr>
        <w:trPr>
          <w:trHeight w:val="208"/>
        </w:trPr>
        <w:tc>
          <w:tcPr>
            <w:tcW w:w="22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Commodity contracts</w:t>
            </w:r>
          </w:p>
        </w:tc>
        <w:tc>
          <w:tcPr>
            <w:tcW w:w="1300" w:type="dxa"/>
            <w:vAlign w:val="bottom"/>
            <w:tcBorders>
              <w:top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185.6</w:t>
            </w:r>
          </w:p>
        </w:tc>
        <w:tc>
          <w:tcPr>
            <w:tcW w:w="440" w:type="dxa"/>
            <w:vAlign w:val="bottom"/>
            <w:tcBorders>
              <w:top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(177.7)</w:t>
            </w:r>
          </w:p>
        </w:tc>
        <w:tc>
          <w:tcPr>
            <w:tcW w:w="100" w:type="dxa"/>
            <w:vAlign w:val="bottom"/>
          </w:tcPr>
          <w:p>
            <w:pPr>
              <w:spacing w:after="0"/>
              <w:rPr>
                <w:sz w:val="18"/>
                <w:szCs w:val="18"/>
                <w:color w:val="auto"/>
              </w:rPr>
            </w:pPr>
          </w:p>
        </w:tc>
        <w:tc>
          <w:tcPr>
            <w:tcW w:w="29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Revenue</w:t>
            </w:r>
          </w:p>
        </w:tc>
        <w:tc>
          <w:tcPr>
            <w:tcW w:w="620" w:type="dxa"/>
            <w:vAlign w:val="bottom"/>
            <w:tcBorders>
              <w:top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41.0</w:t>
            </w:r>
          </w:p>
        </w:tc>
        <w:tc>
          <w:tcPr>
            <w:tcW w:w="500" w:type="dxa"/>
            <w:vAlign w:val="bottom"/>
            <w:tcBorders>
              <w:top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(6.3)</w:t>
            </w:r>
          </w:p>
        </w:tc>
      </w:tr>
      <w:tr>
        <w:trPr>
          <w:trHeight w:val="197"/>
        </w:trPr>
        <w:tc>
          <w:tcPr>
            <w:tcW w:w="2240" w:type="dxa"/>
            <w:vAlign w:val="bottom"/>
          </w:tcPr>
          <w:p>
            <w:pPr>
              <w:ind w:left="20"/>
              <w:spacing w:after="0"/>
              <w:rPr>
                <w:sz w:val="20"/>
                <w:szCs w:val="20"/>
                <w:color w:val="auto"/>
              </w:rPr>
            </w:pPr>
            <w:r>
              <w:rPr>
                <w:rFonts w:ascii="Arial" w:cs="Arial" w:eastAsia="Arial" w:hAnsi="Arial"/>
                <w:sz w:val="14"/>
                <w:szCs w:val="14"/>
                <w:color w:val="auto"/>
              </w:rPr>
              <w:t>Commodity contracts</w:t>
            </w:r>
          </w:p>
        </w:tc>
        <w:tc>
          <w:tcPr>
            <w:tcW w:w="1300" w:type="dxa"/>
            <w:vAlign w:val="bottom"/>
          </w:tcPr>
          <w:p>
            <w:pPr>
              <w:spacing w:after="0"/>
              <w:rPr>
                <w:sz w:val="17"/>
                <w:szCs w:val="17"/>
                <w:color w:val="auto"/>
              </w:rPr>
            </w:pPr>
          </w:p>
        </w:tc>
        <w:tc>
          <w:tcPr>
            <w:tcW w:w="800" w:type="dxa"/>
            <w:vAlign w:val="bottom"/>
          </w:tcPr>
          <w:p>
            <w:pPr>
              <w:jc w:val="right"/>
              <w:ind w:right="68"/>
              <w:spacing w:after="0"/>
              <w:rPr>
                <w:sz w:val="20"/>
                <w:szCs w:val="20"/>
                <w:color w:val="auto"/>
              </w:rPr>
            </w:pPr>
            <w:r>
              <w:rPr>
                <w:rFonts w:ascii="Arial" w:cs="Arial" w:eastAsia="Arial" w:hAnsi="Arial"/>
                <w:sz w:val="14"/>
                <w:szCs w:val="14"/>
                <w:color w:val="auto"/>
              </w:rPr>
              <w:t>(197.4)</w:t>
            </w:r>
          </w:p>
        </w:tc>
        <w:tc>
          <w:tcPr>
            <w:tcW w:w="440" w:type="dxa"/>
            <w:vAlign w:val="bottom"/>
          </w:tcPr>
          <w:p>
            <w:pPr>
              <w:spacing w:after="0"/>
              <w:rPr>
                <w:sz w:val="17"/>
                <w:szCs w:val="17"/>
                <w:color w:val="auto"/>
              </w:rPr>
            </w:pPr>
          </w:p>
        </w:tc>
        <w:tc>
          <w:tcPr>
            <w:tcW w:w="780" w:type="dxa"/>
            <w:vAlign w:val="bottom"/>
          </w:tcPr>
          <w:p>
            <w:pPr>
              <w:jc w:val="right"/>
              <w:ind w:right="68"/>
              <w:spacing w:after="0"/>
              <w:rPr>
                <w:sz w:val="20"/>
                <w:szCs w:val="20"/>
                <w:color w:val="auto"/>
              </w:rPr>
            </w:pPr>
            <w:r>
              <w:rPr>
                <w:rFonts w:ascii="Arial" w:cs="Arial" w:eastAsia="Arial" w:hAnsi="Arial"/>
                <w:sz w:val="14"/>
                <w:szCs w:val="14"/>
                <w:color w:val="auto"/>
              </w:rPr>
              <w:t>173.7</w:t>
            </w:r>
          </w:p>
        </w:tc>
        <w:tc>
          <w:tcPr>
            <w:tcW w:w="100" w:type="dxa"/>
            <w:vAlign w:val="bottom"/>
          </w:tcPr>
          <w:p>
            <w:pPr>
              <w:spacing w:after="0"/>
              <w:rPr>
                <w:sz w:val="17"/>
                <w:szCs w:val="17"/>
                <w:color w:val="auto"/>
              </w:rPr>
            </w:pPr>
          </w:p>
        </w:tc>
        <w:tc>
          <w:tcPr>
            <w:tcW w:w="2960" w:type="dxa"/>
            <w:vAlign w:val="bottom"/>
          </w:tcPr>
          <w:p>
            <w:pPr>
              <w:ind w:left="20"/>
              <w:spacing w:after="0"/>
              <w:rPr>
                <w:sz w:val="20"/>
                <w:szCs w:val="20"/>
                <w:color w:val="auto"/>
              </w:rPr>
            </w:pPr>
            <w:r>
              <w:rPr>
                <w:rFonts w:ascii="Arial" w:cs="Arial" w:eastAsia="Arial" w:hAnsi="Arial"/>
                <w:sz w:val="14"/>
                <w:szCs w:val="14"/>
                <w:color w:val="auto"/>
              </w:rPr>
              <w:t>Cost of Revenue</w:t>
            </w:r>
          </w:p>
        </w:tc>
        <w:tc>
          <w:tcPr>
            <w:tcW w:w="620" w:type="dxa"/>
            <w:vAlign w:val="bottom"/>
          </w:tcPr>
          <w:p>
            <w:pPr>
              <w:spacing w:after="0"/>
              <w:rPr>
                <w:sz w:val="17"/>
                <w:szCs w:val="17"/>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(57.3)</w:t>
            </w:r>
          </w:p>
        </w:tc>
        <w:tc>
          <w:tcPr>
            <w:tcW w:w="500" w:type="dxa"/>
            <w:vAlign w:val="bottom"/>
          </w:tcPr>
          <w:p>
            <w:pPr>
              <w:spacing w:after="0"/>
              <w:rPr>
                <w:sz w:val="17"/>
                <w:szCs w:val="17"/>
                <w:color w:val="auto"/>
              </w:rPr>
            </w:pP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17.4</w:t>
            </w:r>
          </w:p>
        </w:tc>
      </w:tr>
      <w:tr>
        <w:trPr>
          <w:trHeight w:val="203"/>
        </w:trPr>
        <w:tc>
          <w:tcPr>
            <w:tcW w:w="2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rate contracts</w:t>
            </w:r>
          </w:p>
        </w:tc>
        <w:tc>
          <w:tcPr>
            <w:tcW w:w="13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(3.7)</w:t>
            </w:r>
          </w:p>
        </w:tc>
        <w:tc>
          <w:tcPr>
            <w:tcW w:w="44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2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expense and other financing costs, net</w:t>
            </w:r>
          </w:p>
        </w:tc>
        <w:tc>
          <w:tcPr>
            <w:tcW w:w="6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r>
      <w:tr>
        <w:trPr>
          <w:trHeight w:val="196"/>
        </w:trPr>
        <w:tc>
          <w:tcPr>
            <w:tcW w:w="22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Gain (Loss)</w:t>
            </w:r>
          </w:p>
        </w:tc>
        <w:tc>
          <w:tcPr>
            <w:tcW w:w="13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(15.5)</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7"/>
                <w:szCs w:val="17"/>
                <w:color w:val="auto"/>
              </w:rPr>
            </w:pPr>
          </w:p>
        </w:tc>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Gain (Loss)</w:t>
            </w:r>
          </w:p>
        </w:tc>
        <w:tc>
          <w:tcPr>
            <w:tcW w:w="62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(16.3)</w:t>
            </w:r>
          </w:p>
        </w:tc>
        <w:tc>
          <w:tcPr>
            <w:tcW w:w="5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11.1</w:t>
            </w:r>
          </w:p>
        </w:tc>
      </w:tr>
      <w:tr>
        <w:trPr>
          <w:trHeight w:val="27"/>
        </w:trPr>
        <w:tc>
          <w:tcPr>
            <w:tcW w:w="22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4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presents the effect and financial statement location of our derivative instruments not designated as hedging instruments on our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Consolidated Statements of Income and Comprehensive Income (in millions):</w:t>
      </w:r>
    </w:p>
    <w:p>
      <w:pPr>
        <w:spacing w:after="0" w:line="256"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4680" w:type="dxa"/>
            <w:vAlign w:val="bottom"/>
          </w:tcPr>
          <w:p>
            <w:pPr>
              <w:ind w:left="20"/>
              <w:spacing w:after="0"/>
              <w:rPr>
                <w:sz w:val="20"/>
                <w:szCs w:val="20"/>
                <w:color w:val="auto"/>
              </w:rPr>
            </w:pPr>
            <w:r>
              <w:rPr>
                <w:rFonts w:ascii="Arial" w:cs="Arial" w:eastAsia="Arial" w:hAnsi="Arial"/>
                <w:sz w:val="14"/>
                <w:szCs w:val="14"/>
                <w:b w:val="1"/>
                <w:bCs w:val="1"/>
                <w:color w:val="auto"/>
              </w:rPr>
              <w:t>Amount of Realized and Unrealized Gain (Loss)</w:t>
            </w:r>
          </w:p>
        </w:tc>
        <w:tc>
          <w:tcPr>
            <w:tcW w:w="3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3"/>
          </w:tcPr>
          <w:p>
            <w:pPr>
              <w:ind w:left="220"/>
              <w:spacing w:after="0"/>
              <w:rPr>
                <w:sz w:val="20"/>
                <w:szCs w:val="20"/>
                <w:color w:val="auto"/>
              </w:rPr>
            </w:pPr>
            <w:r>
              <w:rPr>
                <w:rFonts w:ascii="Arial" w:cs="Arial" w:eastAsia="Arial" w:hAnsi="Arial"/>
                <w:sz w:val="14"/>
                <w:szCs w:val="14"/>
                <w:b w:val="1"/>
                <w:bCs w:val="1"/>
                <w:color w:val="auto"/>
              </w:rPr>
              <w:t>For the Three Months Ended</w:t>
            </w:r>
          </w:p>
        </w:tc>
      </w:tr>
      <w:tr>
        <w:trPr>
          <w:trHeight w:val="209"/>
        </w:trPr>
        <w:tc>
          <w:tcPr>
            <w:tcW w:w="4680" w:type="dxa"/>
            <w:vAlign w:val="bottom"/>
            <w:tcBorders>
              <w:bottom w:val="single" w:sz="8" w:color="auto"/>
            </w:tcBorders>
          </w:tcPr>
          <w:p>
            <w:pPr>
              <w:spacing w:after="0"/>
              <w:rPr>
                <w:sz w:val="18"/>
                <w:szCs w:val="18"/>
                <w:color w:val="auto"/>
              </w:rPr>
            </w:pPr>
          </w:p>
        </w:tc>
        <w:tc>
          <w:tcPr>
            <w:tcW w:w="350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gridSpan w:val="2"/>
          </w:tcPr>
          <w:p>
            <w:pPr>
              <w:jc w:val="right"/>
              <w:ind w:right="108"/>
              <w:spacing w:after="0"/>
              <w:rPr>
                <w:sz w:val="20"/>
                <w:szCs w:val="20"/>
                <w:color w:val="auto"/>
              </w:rPr>
            </w:pPr>
            <w:r>
              <w:rPr>
                <w:rFonts w:ascii="Arial" w:cs="Arial" w:eastAsia="Arial" w:hAnsi="Arial"/>
                <w:sz w:val="14"/>
                <w:szCs w:val="14"/>
                <w:b w:val="1"/>
                <w:bCs w:val="1"/>
                <w:color w:val="auto"/>
              </w:rPr>
              <w:t>June 30,</w:t>
            </w:r>
          </w:p>
        </w:tc>
        <w:tc>
          <w:tcPr>
            <w:tcW w:w="1060" w:type="dxa"/>
            <w:vAlign w:val="bottom"/>
            <w:tcBorders>
              <w:bottom w:val="single" w:sz="8" w:color="auto"/>
            </w:tcBorders>
          </w:tcPr>
          <w:p>
            <w:pPr>
              <w:spacing w:after="0"/>
              <w:rPr>
                <w:sz w:val="18"/>
                <w:szCs w:val="18"/>
                <w:color w:val="auto"/>
              </w:rPr>
            </w:pPr>
          </w:p>
        </w:tc>
      </w:tr>
      <w:tr>
        <w:trPr>
          <w:trHeight w:val="196"/>
        </w:trPr>
        <w:tc>
          <w:tcPr>
            <w:tcW w:w="46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Derivative Instruments - Non-designated</w:t>
            </w:r>
          </w:p>
        </w:tc>
        <w:tc>
          <w:tcPr>
            <w:tcW w:w="3500" w:type="dxa"/>
            <w:vAlign w:val="bottom"/>
            <w:tcBorders>
              <w:bottom w:val="single" w:sz="8" w:color="auto"/>
            </w:tcBorders>
          </w:tcPr>
          <w:p>
            <w:pPr>
              <w:ind w:left="1720"/>
              <w:spacing w:after="0"/>
              <w:rPr>
                <w:sz w:val="20"/>
                <w:szCs w:val="20"/>
                <w:color w:val="auto"/>
              </w:rPr>
            </w:pPr>
            <w:r>
              <w:rPr>
                <w:rFonts w:ascii="Arial" w:cs="Arial" w:eastAsia="Arial" w:hAnsi="Arial"/>
                <w:sz w:val="14"/>
                <w:szCs w:val="14"/>
                <w:b w:val="1"/>
                <w:bCs w:val="1"/>
                <w:color w:val="auto"/>
              </w:rPr>
              <w:t>Location</w:t>
            </w:r>
          </w:p>
        </w:tc>
        <w:tc>
          <w:tcPr>
            <w:tcW w:w="3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2020</w:t>
            </w:r>
          </w:p>
        </w:tc>
        <w:tc>
          <w:tcPr>
            <w:tcW w:w="5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2019</w:t>
            </w:r>
          </w:p>
        </w:tc>
      </w:tr>
      <w:tr>
        <w:trPr>
          <w:trHeight w:val="202"/>
        </w:trPr>
        <w:tc>
          <w:tcPr>
            <w:tcW w:w="4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Commodity contracts</w:t>
            </w:r>
          </w:p>
        </w:tc>
        <w:tc>
          <w:tcPr>
            <w:tcW w:w="35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196"/>
        </w:trPr>
        <w:tc>
          <w:tcPr>
            <w:tcW w:w="4680" w:type="dxa"/>
            <w:vAlign w:val="bottom"/>
          </w:tcPr>
          <w:p>
            <w:pPr>
              <w:spacing w:after="0"/>
              <w:rPr>
                <w:sz w:val="17"/>
                <w:szCs w:val="17"/>
                <w:color w:val="auto"/>
              </w:rPr>
            </w:pPr>
          </w:p>
        </w:tc>
        <w:tc>
          <w:tcPr>
            <w:tcW w:w="3500" w:type="dxa"/>
            <w:vAlign w:val="bottom"/>
          </w:tcPr>
          <w:p>
            <w:pPr>
              <w:ind w:left="1720"/>
              <w:spacing w:after="0"/>
              <w:rPr>
                <w:sz w:val="20"/>
                <w:szCs w:val="20"/>
                <w:color w:val="auto"/>
              </w:rPr>
            </w:pPr>
            <w:r>
              <w:rPr>
                <w:rFonts w:ascii="Arial" w:cs="Arial" w:eastAsia="Arial" w:hAnsi="Arial"/>
                <w:sz w:val="14"/>
                <w:szCs w:val="14"/>
                <w:color w:val="auto"/>
              </w:rPr>
              <w:t>Revenue</w:t>
            </w:r>
          </w:p>
        </w:tc>
        <w:tc>
          <w:tcPr>
            <w:tcW w:w="320" w:type="dxa"/>
            <w:vAlign w:val="bottom"/>
          </w:tcPr>
          <w:p>
            <w:pPr>
              <w:jc w:val="right"/>
              <w:ind w:right="168"/>
              <w:spacing w:after="0"/>
              <w:rPr>
                <w:sz w:val="20"/>
                <w:szCs w:val="20"/>
                <w:color w:val="auto"/>
              </w:rPr>
            </w:pPr>
            <w:r>
              <w:rPr>
                <w:rFonts w:ascii="Arial" w:cs="Arial" w:eastAsia="Arial" w:hAnsi="Arial"/>
                <w:sz w:val="14"/>
                <w:szCs w:val="14"/>
                <w:color w:val="auto"/>
                <w:w w:val="76"/>
              </w:rPr>
              <w:t>$</w:t>
            </w:r>
          </w:p>
        </w:tc>
        <w:tc>
          <w:tcPr>
            <w:tcW w:w="1120" w:type="dxa"/>
            <w:vAlign w:val="bottom"/>
          </w:tcPr>
          <w:p>
            <w:pPr>
              <w:jc w:val="right"/>
              <w:ind w:right="68"/>
              <w:spacing w:after="0"/>
              <w:rPr>
                <w:sz w:val="20"/>
                <w:szCs w:val="20"/>
                <w:color w:val="auto"/>
              </w:rPr>
            </w:pPr>
            <w:r>
              <w:rPr>
                <w:rFonts w:ascii="Arial" w:cs="Arial" w:eastAsia="Arial" w:hAnsi="Arial"/>
                <w:sz w:val="14"/>
                <w:szCs w:val="14"/>
                <w:color w:val="auto"/>
              </w:rPr>
              <w:t>34.1</w:t>
            </w:r>
          </w:p>
        </w:tc>
        <w:tc>
          <w:tcPr>
            <w:tcW w:w="5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060" w:type="dxa"/>
            <w:vAlign w:val="bottom"/>
          </w:tcPr>
          <w:p>
            <w:pPr>
              <w:ind w:left="660"/>
              <w:spacing w:after="0"/>
              <w:rPr>
                <w:sz w:val="20"/>
                <w:szCs w:val="20"/>
                <w:color w:val="auto"/>
              </w:rPr>
            </w:pPr>
            <w:r>
              <w:rPr>
                <w:rFonts w:ascii="Arial" w:cs="Arial" w:eastAsia="Arial" w:hAnsi="Arial"/>
                <w:sz w:val="14"/>
                <w:szCs w:val="14"/>
                <w:color w:val="auto"/>
              </w:rPr>
              <w:t>69.4</w:t>
            </w:r>
          </w:p>
        </w:tc>
      </w:tr>
      <w:tr>
        <w:trPr>
          <w:trHeight w:val="203"/>
        </w:trPr>
        <w:tc>
          <w:tcPr>
            <w:tcW w:w="4680" w:type="dxa"/>
            <w:vAlign w:val="bottom"/>
            <w:shd w:val="clear" w:color="auto" w:fill="CCEEFF"/>
          </w:tcPr>
          <w:p>
            <w:pPr>
              <w:spacing w:after="0"/>
              <w:rPr>
                <w:sz w:val="17"/>
                <w:szCs w:val="17"/>
                <w:color w:val="auto"/>
              </w:rPr>
            </w:pPr>
          </w:p>
        </w:tc>
        <w:tc>
          <w:tcPr>
            <w:tcW w:w="3500" w:type="dxa"/>
            <w:vAlign w:val="bottom"/>
            <w:shd w:val="clear" w:color="auto" w:fill="CCEEFF"/>
          </w:tcPr>
          <w:p>
            <w:pPr>
              <w:ind w:left="1720"/>
              <w:spacing w:after="0"/>
              <w:rPr>
                <w:sz w:val="20"/>
                <w:szCs w:val="20"/>
                <w:color w:val="auto"/>
              </w:rPr>
            </w:pPr>
            <w:r>
              <w:rPr>
                <w:rFonts w:ascii="Arial" w:cs="Arial" w:eastAsia="Arial" w:hAnsi="Arial"/>
                <w:sz w:val="14"/>
                <w:szCs w:val="14"/>
                <w:color w:val="auto"/>
              </w:rPr>
              <w:t>Cost of revenue</w:t>
            </w:r>
          </w:p>
        </w:tc>
        <w:tc>
          <w:tcPr>
            <w:tcW w:w="3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(25.8)</w:t>
            </w:r>
          </w:p>
        </w:tc>
        <w:tc>
          <w:tcPr>
            <w:tcW w:w="5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(57.1)</w:t>
            </w:r>
          </w:p>
        </w:tc>
      </w:tr>
      <w:tr>
        <w:trPr>
          <w:trHeight w:val="196"/>
        </w:trPr>
        <w:tc>
          <w:tcPr>
            <w:tcW w:w="4680" w:type="dxa"/>
            <w:vAlign w:val="bottom"/>
            <w:tcBorders>
              <w:bottom w:val="single" w:sz="8" w:color="CCEEFF"/>
            </w:tcBorders>
          </w:tcPr>
          <w:p>
            <w:pPr>
              <w:spacing w:after="0"/>
              <w:rPr>
                <w:sz w:val="17"/>
                <w:szCs w:val="17"/>
                <w:color w:val="auto"/>
              </w:rPr>
            </w:pPr>
          </w:p>
        </w:tc>
        <w:tc>
          <w:tcPr>
            <w:tcW w:w="35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8.4</w:t>
            </w:r>
          </w:p>
        </w:tc>
        <w:tc>
          <w:tcPr>
            <w:tcW w:w="5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ind w:left="660"/>
              <w:spacing w:after="0"/>
              <w:rPr>
                <w:sz w:val="20"/>
                <w:szCs w:val="20"/>
                <w:color w:val="auto"/>
              </w:rPr>
            </w:pPr>
            <w:r>
              <w:rPr>
                <w:rFonts w:ascii="Arial" w:cs="Arial" w:eastAsia="Arial" w:hAnsi="Arial"/>
                <w:sz w:val="14"/>
                <w:szCs w:val="14"/>
                <w:color w:val="auto"/>
              </w:rPr>
              <w:t>12.4</w:t>
            </w:r>
          </w:p>
        </w:tc>
      </w:tr>
      <w:tr>
        <w:trPr>
          <w:trHeight w:val="188"/>
        </w:trPr>
        <w:tc>
          <w:tcPr>
            <w:tcW w:w="4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35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r>
      <w:tr>
        <w:trPr>
          <w:trHeight w:val="197"/>
        </w:trPr>
        <w:tc>
          <w:tcPr>
            <w:tcW w:w="4680" w:type="dxa"/>
            <w:vAlign w:val="bottom"/>
          </w:tcPr>
          <w:p>
            <w:pPr>
              <w:spacing w:after="0"/>
              <w:rPr>
                <w:sz w:val="17"/>
                <w:szCs w:val="17"/>
                <w:color w:val="auto"/>
              </w:rPr>
            </w:pPr>
          </w:p>
        </w:tc>
        <w:tc>
          <w:tcPr>
            <w:tcW w:w="3500" w:type="dxa"/>
            <w:vAlign w:val="bottom"/>
          </w:tcPr>
          <w:p>
            <w:pPr>
              <w:ind w:left="1720"/>
              <w:spacing w:after="0"/>
              <w:rPr>
                <w:sz w:val="20"/>
                <w:szCs w:val="20"/>
                <w:color w:val="auto"/>
              </w:rPr>
            </w:pPr>
            <w:r>
              <w:rPr>
                <w:rFonts w:ascii="Arial" w:cs="Arial" w:eastAsia="Arial" w:hAnsi="Arial"/>
                <w:sz w:val="14"/>
                <w:szCs w:val="14"/>
                <w:color w:val="auto"/>
              </w:rPr>
              <w:t>Revenue</w:t>
            </w:r>
          </w:p>
        </w:tc>
        <w:tc>
          <w:tcPr>
            <w:tcW w:w="320" w:type="dxa"/>
            <w:vAlign w:val="bottom"/>
          </w:tcPr>
          <w:p>
            <w:pPr>
              <w:spacing w:after="0"/>
              <w:rPr>
                <w:sz w:val="17"/>
                <w:szCs w:val="17"/>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(0.5)</w:t>
            </w:r>
          </w:p>
        </w:tc>
        <w:tc>
          <w:tcPr>
            <w:tcW w:w="500" w:type="dxa"/>
            <w:vAlign w:val="bottom"/>
          </w:tcPr>
          <w:p>
            <w:pPr>
              <w:spacing w:after="0"/>
              <w:rPr>
                <w:sz w:val="17"/>
                <w:szCs w:val="17"/>
                <w:color w:val="auto"/>
              </w:rPr>
            </w:pPr>
          </w:p>
        </w:tc>
        <w:tc>
          <w:tcPr>
            <w:tcW w:w="1060" w:type="dxa"/>
            <w:vAlign w:val="bottom"/>
          </w:tcPr>
          <w:p>
            <w:pPr>
              <w:ind w:left="760"/>
              <w:spacing w:after="0"/>
              <w:rPr>
                <w:sz w:val="20"/>
                <w:szCs w:val="20"/>
                <w:color w:val="auto"/>
              </w:rPr>
            </w:pPr>
            <w:r>
              <w:rPr>
                <w:rFonts w:ascii="Arial" w:cs="Arial" w:eastAsia="Arial" w:hAnsi="Arial"/>
                <w:sz w:val="14"/>
                <w:szCs w:val="14"/>
                <w:color w:val="auto"/>
              </w:rPr>
              <w:t>—</w:t>
            </w:r>
          </w:p>
        </w:tc>
      </w:tr>
      <w:tr>
        <w:trPr>
          <w:trHeight w:val="203"/>
        </w:trPr>
        <w:tc>
          <w:tcPr>
            <w:tcW w:w="4680" w:type="dxa"/>
            <w:vAlign w:val="bottom"/>
            <w:shd w:val="clear" w:color="auto" w:fill="CCEEFF"/>
          </w:tcPr>
          <w:p>
            <w:pPr>
              <w:spacing w:after="0"/>
              <w:rPr>
                <w:sz w:val="17"/>
                <w:szCs w:val="17"/>
                <w:color w:val="auto"/>
              </w:rPr>
            </w:pPr>
          </w:p>
        </w:tc>
        <w:tc>
          <w:tcPr>
            <w:tcW w:w="3500" w:type="dxa"/>
            <w:vAlign w:val="bottom"/>
            <w:shd w:val="clear" w:color="auto" w:fill="CCEEFF"/>
          </w:tcPr>
          <w:p>
            <w:pPr>
              <w:ind w:left="1720"/>
              <w:spacing w:after="0"/>
              <w:rPr>
                <w:sz w:val="20"/>
                <w:szCs w:val="20"/>
                <w:color w:val="auto"/>
              </w:rPr>
            </w:pPr>
            <w:r>
              <w:rPr>
                <w:rFonts w:ascii="Arial" w:cs="Arial" w:eastAsia="Arial" w:hAnsi="Arial"/>
                <w:sz w:val="14"/>
                <w:szCs w:val="14"/>
                <w:color w:val="auto"/>
              </w:rPr>
              <w:t>Other (expense), net</w:t>
            </w:r>
          </w:p>
        </w:tc>
        <w:tc>
          <w:tcPr>
            <w:tcW w:w="3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(7.8)</w:t>
            </w:r>
          </w:p>
        </w:tc>
        <w:tc>
          <w:tcPr>
            <w:tcW w:w="5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(1.3)</w:t>
            </w:r>
          </w:p>
        </w:tc>
      </w:tr>
      <w:tr>
        <w:trPr>
          <w:trHeight w:val="196"/>
        </w:trPr>
        <w:tc>
          <w:tcPr>
            <w:tcW w:w="4680" w:type="dxa"/>
            <w:vAlign w:val="bottom"/>
            <w:tcBorders>
              <w:bottom w:val="single" w:sz="8" w:color="auto"/>
            </w:tcBorders>
          </w:tcPr>
          <w:p>
            <w:pPr>
              <w:spacing w:after="0"/>
              <w:rPr>
                <w:sz w:val="17"/>
                <w:szCs w:val="17"/>
                <w:color w:val="auto"/>
              </w:rPr>
            </w:pPr>
          </w:p>
        </w:tc>
        <w:tc>
          <w:tcPr>
            <w:tcW w:w="350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(8.3)</w:t>
            </w:r>
          </w:p>
        </w:tc>
        <w:tc>
          <w:tcPr>
            <w:tcW w:w="5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ind w:left="660"/>
              <w:spacing w:after="0"/>
              <w:rPr>
                <w:sz w:val="20"/>
                <w:szCs w:val="20"/>
                <w:color w:val="auto"/>
              </w:rPr>
            </w:pPr>
            <w:r>
              <w:rPr>
                <w:rFonts w:ascii="Arial" w:cs="Arial" w:eastAsia="Arial" w:hAnsi="Arial"/>
                <w:sz w:val="14"/>
                <w:szCs w:val="14"/>
                <w:color w:val="auto"/>
              </w:rPr>
              <w:t>(1.3)</w:t>
            </w:r>
          </w:p>
        </w:tc>
      </w:tr>
      <w:tr>
        <w:trPr>
          <w:trHeight w:val="221"/>
        </w:trPr>
        <w:tc>
          <w:tcPr>
            <w:tcW w:w="46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Gain (Loss)</w:t>
            </w:r>
          </w:p>
        </w:tc>
        <w:tc>
          <w:tcPr>
            <w:tcW w:w="3500" w:type="dxa"/>
            <w:vAlign w:val="bottom"/>
            <w:tcBorders>
              <w:bottom w:val="single" w:sz="8" w:color="auto"/>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w w:val="76"/>
              </w:rPr>
              <w:t>$</w:t>
            </w:r>
          </w:p>
        </w:tc>
        <w:tc>
          <w:tcPr>
            <w:tcW w:w="11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0.2</w:t>
            </w:r>
          </w:p>
        </w:tc>
        <w:tc>
          <w:tcPr>
            <w:tcW w:w="50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11.1</w:t>
            </w:r>
          </w:p>
        </w:tc>
      </w:tr>
      <w:tr>
        <w:trPr>
          <w:trHeight w:val="20"/>
        </w:trPr>
        <w:tc>
          <w:tcPr>
            <w:tcW w:w="4680" w:type="dxa"/>
            <w:vAlign w:val="bottom"/>
            <w:tcBorders>
              <w:top w:val="single" w:sz="8" w:color="CCEEFF"/>
              <w:bottom w:val="single" w:sz="8" w:color="auto"/>
            </w:tcBorders>
          </w:tcPr>
          <w:p>
            <w:pPr>
              <w:spacing w:after="0" w:line="20" w:lineRule="exact"/>
              <w:rPr>
                <w:sz w:val="1"/>
                <w:szCs w:val="1"/>
                <w:color w:val="auto"/>
              </w:rPr>
            </w:pPr>
          </w:p>
        </w:tc>
        <w:tc>
          <w:tcPr>
            <w:tcW w:w="35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193" w:lineRule="exact"/>
        <w:rPr>
          <w:sz w:val="20"/>
          <w:szCs w:val="20"/>
          <w:color w:val="auto"/>
        </w:rPr>
      </w:pPr>
    </w:p>
    <w:tbl>
      <w:tblPr>
        <w:tblLayout w:type="fixed"/>
        <w:tblInd w:w="40" w:type="dxa"/>
        <w:tblCellMar>
          <w:top w:w="0" w:type="dxa"/>
          <w:left w:w="0" w:type="dxa"/>
          <w:bottom w:w="0" w:type="dxa"/>
          <w:right w:w="0" w:type="dxa"/>
        </w:tblCellMar>
      </w:tblPr>
      <w:tr>
        <w:trPr>
          <w:trHeight w:val="186"/>
        </w:trPr>
        <w:tc>
          <w:tcPr>
            <w:tcW w:w="4680" w:type="dxa"/>
            <w:vAlign w:val="bottom"/>
          </w:tcPr>
          <w:p>
            <w:pPr>
              <w:ind w:left="20"/>
              <w:spacing w:after="0"/>
              <w:rPr>
                <w:sz w:val="20"/>
                <w:szCs w:val="20"/>
                <w:color w:val="auto"/>
              </w:rPr>
            </w:pPr>
            <w:r>
              <w:rPr>
                <w:rFonts w:ascii="Arial" w:cs="Arial" w:eastAsia="Arial" w:hAnsi="Arial"/>
                <w:sz w:val="14"/>
                <w:szCs w:val="14"/>
                <w:b w:val="1"/>
                <w:bCs w:val="1"/>
                <w:color w:val="auto"/>
              </w:rPr>
              <w:t>Amount of Realized and Unrealized Gain (Loss)</w:t>
            </w:r>
          </w:p>
        </w:tc>
        <w:tc>
          <w:tcPr>
            <w:tcW w:w="35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660" w:type="dxa"/>
            <w:vAlign w:val="bottom"/>
            <w:gridSpan w:val="3"/>
          </w:tcPr>
          <w:p>
            <w:pPr>
              <w:jc w:val="right"/>
              <w:ind w:right="628"/>
              <w:spacing w:after="0"/>
              <w:rPr>
                <w:sz w:val="20"/>
                <w:szCs w:val="20"/>
                <w:color w:val="auto"/>
              </w:rPr>
            </w:pPr>
            <w:r>
              <w:rPr>
                <w:rFonts w:ascii="Arial" w:cs="Arial" w:eastAsia="Arial" w:hAnsi="Arial"/>
                <w:sz w:val="14"/>
                <w:szCs w:val="14"/>
                <w:b w:val="1"/>
                <w:bCs w:val="1"/>
                <w:color w:val="auto"/>
              </w:rPr>
              <w:t>For the Six Months Ended</w:t>
            </w:r>
          </w:p>
        </w:tc>
      </w:tr>
      <w:tr>
        <w:trPr>
          <w:trHeight w:val="208"/>
        </w:trPr>
        <w:tc>
          <w:tcPr>
            <w:tcW w:w="4680" w:type="dxa"/>
            <w:vAlign w:val="bottom"/>
            <w:tcBorders>
              <w:bottom w:val="single" w:sz="8" w:color="auto"/>
            </w:tcBorders>
          </w:tcPr>
          <w:p>
            <w:pPr>
              <w:spacing w:after="0"/>
              <w:rPr>
                <w:sz w:val="18"/>
                <w:szCs w:val="18"/>
                <w:color w:val="auto"/>
              </w:rPr>
            </w:pPr>
          </w:p>
        </w:tc>
        <w:tc>
          <w:tcPr>
            <w:tcW w:w="350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gridSpan w:val="2"/>
          </w:tcPr>
          <w:p>
            <w:pPr>
              <w:jc w:val="right"/>
              <w:ind w:right="108"/>
              <w:spacing w:after="0"/>
              <w:rPr>
                <w:sz w:val="20"/>
                <w:szCs w:val="20"/>
                <w:color w:val="auto"/>
              </w:rPr>
            </w:pPr>
            <w:r>
              <w:rPr>
                <w:rFonts w:ascii="Arial" w:cs="Arial" w:eastAsia="Arial" w:hAnsi="Arial"/>
                <w:sz w:val="14"/>
                <w:szCs w:val="14"/>
                <w:b w:val="1"/>
                <w:bCs w:val="1"/>
                <w:color w:val="auto"/>
              </w:rPr>
              <w:t>June 30,</w:t>
            </w:r>
          </w:p>
        </w:tc>
        <w:tc>
          <w:tcPr>
            <w:tcW w:w="1060" w:type="dxa"/>
            <w:vAlign w:val="bottom"/>
            <w:tcBorders>
              <w:bottom w:val="single" w:sz="8" w:color="auto"/>
            </w:tcBorders>
          </w:tcPr>
          <w:p>
            <w:pPr>
              <w:spacing w:after="0"/>
              <w:rPr>
                <w:sz w:val="18"/>
                <w:szCs w:val="18"/>
                <w:color w:val="auto"/>
              </w:rPr>
            </w:pPr>
          </w:p>
        </w:tc>
      </w:tr>
      <w:tr>
        <w:trPr>
          <w:trHeight w:val="196"/>
        </w:trPr>
        <w:tc>
          <w:tcPr>
            <w:tcW w:w="46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Derivative Instruments - Non-designated</w:t>
            </w:r>
          </w:p>
        </w:tc>
        <w:tc>
          <w:tcPr>
            <w:tcW w:w="3500" w:type="dxa"/>
            <w:vAlign w:val="bottom"/>
            <w:tcBorders>
              <w:bottom w:val="single" w:sz="8" w:color="auto"/>
            </w:tcBorders>
          </w:tcPr>
          <w:p>
            <w:pPr>
              <w:ind w:left="2280"/>
              <w:spacing w:after="0"/>
              <w:rPr>
                <w:sz w:val="20"/>
                <w:szCs w:val="20"/>
                <w:color w:val="auto"/>
              </w:rPr>
            </w:pPr>
            <w:r>
              <w:rPr>
                <w:rFonts w:ascii="Arial" w:cs="Arial" w:eastAsia="Arial" w:hAnsi="Arial"/>
                <w:sz w:val="14"/>
                <w:szCs w:val="14"/>
                <w:b w:val="1"/>
                <w:bCs w:val="1"/>
                <w:color w:val="auto"/>
              </w:rPr>
              <w:t>Location</w:t>
            </w: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2020</w:t>
            </w:r>
          </w:p>
        </w:tc>
        <w:tc>
          <w:tcPr>
            <w:tcW w:w="5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2019</w:t>
            </w:r>
          </w:p>
        </w:tc>
      </w:tr>
      <w:tr>
        <w:trPr>
          <w:trHeight w:val="202"/>
        </w:trPr>
        <w:tc>
          <w:tcPr>
            <w:tcW w:w="4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Commodity contracts</w:t>
            </w:r>
          </w:p>
        </w:tc>
        <w:tc>
          <w:tcPr>
            <w:tcW w:w="35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197"/>
        </w:trPr>
        <w:tc>
          <w:tcPr>
            <w:tcW w:w="4680" w:type="dxa"/>
            <w:vAlign w:val="bottom"/>
          </w:tcPr>
          <w:p>
            <w:pPr>
              <w:spacing w:after="0"/>
              <w:rPr>
                <w:sz w:val="17"/>
                <w:szCs w:val="17"/>
                <w:color w:val="auto"/>
              </w:rPr>
            </w:pPr>
          </w:p>
        </w:tc>
        <w:tc>
          <w:tcPr>
            <w:tcW w:w="3500" w:type="dxa"/>
            <w:vAlign w:val="bottom"/>
          </w:tcPr>
          <w:p>
            <w:pPr>
              <w:ind w:left="1720"/>
              <w:spacing w:after="0"/>
              <w:rPr>
                <w:sz w:val="20"/>
                <w:szCs w:val="20"/>
                <w:color w:val="auto"/>
              </w:rPr>
            </w:pPr>
            <w:r>
              <w:rPr>
                <w:rFonts w:ascii="Arial" w:cs="Arial" w:eastAsia="Arial" w:hAnsi="Arial"/>
                <w:sz w:val="14"/>
                <w:szCs w:val="14"/>
                <w:color w:val="auto"/>
              </w:rPr>
              <w:t>Revenue</w:t>
            </w:r>
          </w:p>
        </w:tc>
        <w:tc>
          <w:tcPr>
            <w:tcW w:w="340" w:type="dxa"/>
            <w:vAlign w:val="bottom"/>
          </w:tcPr>
          <w:p>
            <w:pPr>
              <w:jc w:val="right"/>
              <w:ind w:right="188"/>
              <w:spacing w:after="0"/>
              <w:rPr>
                <w:sz w:val="20"/>
                <w:szCs w:val="20"/>
                <w:color w:val="auto"/>
              </w:rPr>
            </w:pPr>
            <w:r>
              <w:rPr>
                <w:rFonts w:ascii="Arial" w:cs="Arial" w:eastAsia="Arial" w:hAnsi="Arial"/>
                <w:sz w:val="14"/>
                <w:szCs w:val="14"/>
                <w:color w:val="auto"/>
                <w:w w:val="76"/>
              </w:rPr>
              <w:t>$</w:t>
            </w: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113.3</w:t>
            </w:r>
          </w:p>
        </w:tc>
        <w:tc>
          <w:tcPr>
            <w:tcW w:w="5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8"/>
              <w:spacing w:after="0"/>
              <w:rPr>
                <w:sz w:val="20"/>
                <w:szCs w:val="20"/>
                <w:color w:val="auto"/>
              </w:rPr>
            </w:pPr>
            <w:r>
              <w:rPr>
                <w:rFonts w:ascii="Arial" w:cs="Arial" w:eastAsia="Arial" w:hAnsi="Arial"/>
                <w:sz w:val="14"/>
                <w:szCs w:val="14"/>
                <w:color w:val="auto"/>
              </w:rPr>
              <w:t>144.5</w:t>
            </w:r>
          </w:p>
        </w:tc>
      </w:tr>
      <w:tr>
        <w:trPr>
          <w:trHeight w:val="203"/>
        </w:trPr>
        <w:tc>
          <w:tcPr>
            <w:tcW w:w="4680" w:type="dxa"/>
            <w:vAlign w:val="bottom"/>
            <w:shd w:val="clear" w:color="auto" w:fill="CCEEFF"/>
          </w:tcPr>
          <w:p>
            <w:pPr>
              <w:spacing w:after="0"/>
              <w:rPr>
                <w:sz w:val="17"/>
                <w:szCs w:val="17"/>
                <w:color w:val="auto"/>
              </w:rPr>
            </w:pPr>
          </w:p>
        </w:tc>
        <w:tc>
          <w:tcPr>
            <w:tcW w:w="3500" w:type="dxa"/>
            <w:vAlign w:val="bottom"/>
            <w:shd w:val="clear" w:color="auto" w:fill="CCEEFF"/>
          </w:tcPr>
          <w:p>
            <w:pPr>
              <w:ind w:left="1720"/>
              <w:spacing w:after="0"/>
              <w:rPr>
                <w:sz w:val="20"/>
                <w:szCs w:val="20"/>
                <w:color w:val="auto"/>
              </w:rPr>
            </w:pPr>
            <w:r>
              <w:rPr>
                <w:rFonts w:ascii="Arial" w:cs="Arial" w:eastAsia="Arial" w:hAnsi="Arial"/>
                <w:sz w:val="14"/>
                <w:szCs w:val="14"/>
                <w:color w:val="auto"/>
              </w:rPr>
              <w:t>Cost of revenue</w:t>
            </w:r>
          </w:p>
        </w:tc>
        <w:tc>
          <w:tcPr>
            <w:tcW w:w="34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(10.3)</w:t>
            </w:r>
          </w:p>
        </w:tc>
        <w:tc>
          <w:tcPr>
            <w:tcW w:w="5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(123.0)</w:t>
            </w:r>
          </w:p>
        </w:tc>
      </w:tr>
      <w:tr>
        <w:trPr>
          <w:trHeight w:val="196"/>
        </w:trPr>
        <w:tc>
          <w:tcPr>
            <w:tcW w:w="4680" w:type="dxa"/>
            <w:vAlign w:val="bottom"/>
            <w:tcBorders>
              <w:bottom w:val="single" w:sz="8" w:color="CCEEFF"/>
            </w:tcBorders>
          </w:tcPr>
          <w:p>
            <w:pPr>
              <w:spacing w:after="0"/>
              <w:rPr>
                <w:sz w:val="17"/>
                <w:szCs w:val="17"/>
                <w:color w:val="auto"/>
              </w:rPr>
            </w:pPr>
          </w:p>
        </w:tc>
        <w:tc>
          <w:tcPr>
            <w:tcW w:w="35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102.9</w:t>
            </w:r>
          </w:p>
        </w:tc>
        <w:tc>
          <w:tcPr>
            <w:tcW w:w="5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21.5</w:t>
            </w:r>
          </w:p>
        </w:tc>
      </w:tr>
      <w:tr>
        <w:trPr>
          <w:trHeight w:val="188"/>
        </w:trPr>
        <w:tc>
          <w:tcPr>
            <w:tcW w:w="4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350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r>
      <w:tr>
        <w:trPr>
          <w:trHeight w:val="197"/>
        </w:trPr>
        <w:tc>
          <w:tcPr>
            <w:tcW w:w="4680" w:type="dxa"/>
            <w:vAlign w:val="bottom"/>
          </w:tcPr>
          <w:p>
            <w:pPr>
              <w:spacing w:after="0"/>
              <w:rPr>
                <w:sz w:val="17"/>
                <w:szCs w:val="17"/>
                <w:color w:val="auto"/>
              </w:rPr>
            </w:pPr>
          </w:p>
        </w:tc>
        <w:tc>
          <w:tcPr>
            <w:tcW w:w="3500" w:type="dxa"/>
            <w:vAlign w:val="bottom"/>
          </w:tcPr>
          <w:p>
            <w:pPr>
              <w:ind w:left="1720"/>
              <w:spacing w:after="0"/>
              <w:rPr>
                <w:sz w:val="20"/>
                <w:szCs w:val="20"/>
                <w:color w:val="auto"/>
              </w:rPr>
            </w:pPr>
            <w:r>
              <w:rPr>
                <w:rFonts w:ascii="Arial" w:cs="Arial" w:eastAsia="Arial" w:hAnsi="Arial"/>
                <w:sz w:val="14"/>
                <w:szCs w:val="14"/>
                <w:color w:val="auto"/>
              </w:rPr>
              <w:t>Revenue</w:t>
            </w:r>
          </w:p>
        </w:tc>
        <w:tc>
          <w:tcPr>
            <w:tcW w:w="340" w:type="dxa"/>
            <w:vAlign w:val="bottom"/>
          </w:tcPr>
          <w:p>
            <w:pPr>
              <w:spacing w:after="0"/>
              <w:rPr>
                <w:sz w:val="17"/>
                <w:szCs w:val="17"/>
                <w:color w:val="auto"/>
              </w:rPr>
            </w:pP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500" w:type="dxa"/>
            <w:vAlign w:val="bottom"/>
          </w:tcPr>
          <w:p>
            <w:pPr>
              <w:spacing w:after="0"/>
              <w:rPr>
                <w:sz w:val="17"/>
                <w:szCs w:val="17"/>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(0.1)</w:t>
            </w:r>
          </w:p>
        </w:tc>
      </w:tr>
      <w:tr>
        <w:trPr>
          <w:trHeight w:val="203"/>
        </w:trPr>
        <w:tc>
          <w:tcPr>
            <w:tcW w:w="4680" w:type="dxa"/>
            <w:vAlign w:val="bottom"/>
            <w:shd w:val="clear" w:color="auto" w:fill="CCEEFF"/>
          </w:tcPr>
          <w:p>
            <w:pPr>
              <w:spacing w:after="0"/>
              <w:rPr>
                <w:sz w:val="17"/>
                <w:szCs w:val="17"/>
                <w:color w:val="auto"/>
              </w:rPr>
            </w:pPr>
          </w:p>
        </w:tc>
        <w:tc>
          <w:tcPr>
            <w:tcW w:w="3500" w:type="dxa"/>
            <w:vAlign w:val="bottom"/>
            <w:shd w:val="clear" w:color="auto" w:fill="CCEEFF"/>
          </w:tcPr>
          <w:p>
            <w:pPr>
              <w:ind w:left="1720"/>
              <w:spacing w:after="0"/>
              <w:rPr>
                <w:sz w:val="20"/>
                <w:szCs w:val="20"/>
                <w:color w:val="auto"/>
              </w:rPr>
            </w:pPr>
            <w:r>
              <w:rPr>
                <w:rFonts w:ascii="Arial" w:cs="Arial" w:eastAsia="Arial" w:hAnsi="Arial"/>
                <w:sz w:val="14"/>
                <w:szCs w:val="14"/>
                <w:color w:val="auto"/>
              </w:rPr>
              <w:t>Other (expense), net</w:t>
            </w:r>
          </w:p>
        </w:tc>
        <w:tc>
          <w:tcPr>
            <w:tcW w:w="34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10.7</w:t>
            </w:r>
          </w:p>
        </w:tc>
        <w:tc>
          <w:tcPr>
            <w:tcW w:w="5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(0.8)</w:t>
            </w:r>
          </w:p>
        </w:tc>
      </w:tr>
      <w:tr>
        <w:trPr>
          <w:trHeight w:val="196"/>
        </w:trPr>
        <w:tc>
          <w:tcPr>
            <w:tcW w:w="4680" w:type="dxa"/>
            <w:vAlign w:val="bottom"/>
            <w:tcBorders>
              <w:bottom w:val="single" w:sz="8" w:color="auto"/>
            </w:tcBorders>
          </w:tcPr>
          <w:p>
            <w:pPr>
              <w:spacing w:after="0"/>
              <w:rPr>
                <w:sz w:val="17"/>
                <w:szCs w:val="17"/>
                <w:color w:val="auto"/>
              </w:rPr>
            </w:pPr>
          </w:p>
        </w:tc>
        <w:tc>
          <w:tcPr>
            <w:tcW w:w="350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10.7</w:t>
            </w:r>
          </w:p>
        </w:tc>
        <w:tc>
          <w:tcPr>
            <w:tcW w:w="5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(0.9)</w:t>
            </w:r>
          </w:p>
        </w:tc>
      </w:tr>
      <w:tr>
        <w:trPr>
          <w:trHeight w:val="221"/>
        </w:trPr>
        <w:tc>
          <w:tcPr>
            <w:tcW w:w="46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Gain (Loss)</w:t>
            </w:r>
          </w:p>
        </w:tc>
        <w:tc>
          <w:tcPr>
            <w:tcW w:w="350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113.6</w:t>
            </w:r>
          </w:p>
        </w:tc>
        <w:tc>
          <w:tcPr>
            <w:tcW w:w="50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20.6</w:t>
            </w:r>
          </w:p>
        </w:tc>
      </w:tr>
      <w:tr>
        <w:trPr>
          <w:trHeight w:val="20"/>
        </w:trPr>
        <w:tc>
          <w:tcPr>
            <w:tcW w:w="4680" w:type="dxa"/>
            <w:vAlign w:val="bottom"/>
            <w:tcBorders>
              <w:top w:val="single" w:sz="8" w:color="CCEEFF"/>
              <w:bottom w:val="single" w:sz="8" w:color="auto"/>
            </w:tcBorders>
          </w:tcPr>
          <w:p>
            <w:pPr>
              <w:spacing w:after="0" w:line="20" w:lineRule="exact"/>
              <w:rPr>
                <w:sz w:val="1"/>
                <w:szCs w:val="1"/>
                <w:color w:val="auto"/>
              </w:rPr>
            </w:pPr>
          </w:p>
        </w:tc>
        <w:tc>
          <w:tcPr>
            <w:tcW w:w="350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type w:val="continuous"/>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Credit-Risk-Related Contingent Features</w:t>
      </w:r>
    </w:p>
    <w:p>
      <w:pPr>
        <w:spacing w:after="0" w:line="229"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We enter into derivative contracts, which may require us to provide collateral periodically. Additionally, certain derivative contracts contain credit-risk-related contingent clauses that are triggered by credit events. These credit events may include the requirement to provide additional collateral or the immediate settlement of the derivative instruments upon the occurrence of such credit event or default. The following table presents the potential collateral requirements for derivative liabilities with credit-risk-contingent features as of June 30, 2020 and December 31, 2019 (in millions):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20" w:type="dxa"/>
            <w:vAlign w:val="bottom"/>
            <w:gridSpan w:val="2"/>
          </w:tcPr>
          <w:p>
            <w:pPr>
              <w:jc w:val="right"/>
              <w:ind w:right="28"/>
              <w:spacing w:after="0"/>
              <w:rPr>
                <w:sz w:val="20"/>
                <w:szCs w:val="20"/>
                <w:color w:val="auto"/>
              </w:rPr>
            </w:pPr>
            <w:r>
              <w:rPr>
                <w:rFonts w:ascii="Arial" w:cs="Arial" w:eastAsia="Arial" w:hAnsi="Arial"/>
                <w:sz w:val="14"/>
                <w:szCs w:val="14"/>
                <w:b w:val="1"/>
                <w:bCs w:val="1"/>
                <w:color w:val="333333"/>
              </w:rPr>
              <w:t>Potential Collateral Requirements for</w:t>
            </w:r>
          </w:p>
        </w:tc>
        <w:tc>
          <w:tcPr>
            <w:tcW w:w="500" w:type="dxa"/>
            <w:vAlign w:val="bottom"/>
          </w:tcPr>
          <w:p>
            <w:pPr>
              <w:spacing w:after="0"/>
              <w:rPr>
                <w:sz w:val="14"/>
                <w:szCs w:val="14"/>
                <w:color w:val="auto"/>
              </w:rPr>
            </w:pPr>
          </w:p>
        </w:tc>
      </w:tr>
      <w:tr>
        <w:trPr>
          <w:trHeight w:val="148"/>
        </w:trPr>
        <w:tc>
          <w:tcPr>
            <w:tcW w:w="7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820" w:type="dxa"/>
            <w:vAlign w:val="bottom"/>
            <w:gridSpan w:val="2"/>
          </w:tcPr>
          <w:p>
            <w:pPr>
              <w:jc w:val="right"/>
              <w:ind w:right="388"/>
              <w:spacing w:after="0" w:line="149" w:lineRule="exact"/>
              <w:rPr>
                <w:sz w:val="20"/>
                <w:szCs w:val="20"/>
                <w:color w:val="auto"/>
              </w:rPr>
            </w:pPr>
            <w:r>
              <w:rPr>
                <w:rFonts w:ascii="Arial" w:cs="Arial" w:eastAsia="Arial" w:hAnsi="Arial"/>
                <w:sz w:val="14"/>
                <w:szCs w:val="14"/>
                <w:b w:val="1"/>
                <w:bCs w:val="1"/>
                <w:color w:val="333333"/>
              </w:rPr>
              <w:t>Derivative Liabilities with</w:t>
            </w:r>
          </w:p>
        </w:tc>
        <w:tc>
          <w:tcPr>
            <w:tcW w:w="500" w:type="dxa"/>
            <w:vAlign w:val="bottom"/>
          </w:tcPr>
          <w:p>
            <w:pPr>
              <w:spacing w:after="0"/>
              <w:rPr>
                <w:sz w:val="12"/>
                <w:szCs w:val="12"/>
                <w:color w:val="auto"/>
              </w:rPr>
            </w:pPr>
          </w:p>
        </w:tc>
      </w:tr>
      <w:tr>
        <w:trPr>
          <w:trHeight w:val="192"/>
        </w:trPr>
        <w:tc>
          <w:tcPr>
            <w:tcW w:w="77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2"/>
          </w:tcPr>
          <w:p>
            <w:pPr>
              <w:jc w:val="right"/>
              <w:ind w:right="168"/>
              <w:spacing w:after="0"/>
              <w:rPr>
                <w:sz w:val="20"/>
                <w:szCs w:val="20"/>
                <w:color w:val="auto"/>
              </w:rPr>
            </w:pPr>
            <w:r>
              <w:rPr>
                <w:rFonts w:ascii="Arial" w:cs="Arial" w:eastAsia="Arial" w:hAnsi="Arial"/>
                <w:sz w:val="14"/>
                <w:szCs w:val="14"/>
                <w:b w:val="1"/>
                <w:bCs w:val="1"/>
                <w:color w:val="333333"/>
              </w:rPr>
              <w:t>Credit-Risk-Contingent Features</w:t>
            </w:r>
          </w:p>
        </w:tc>
        <w:tc>
          <w:tcPr>
            <w:tcW w:w="500" w:type="dxa"/>
            <w:vAlign w:val="bottom"/>
            <w:tcBorders>
              <w:bottom w:val="single" w:sz="8" w:color="auto"/>
            </w:tcBorders>
          </w:tcPr>
          <w:p>
            <w:pPr>
              <w:spacing w:after="0"/>
              <w:rPr>
                <w:sz w:val="16"/>
                <w:szCs w:val="16"/>
                <w:color w:val="auto"/>
              </w:rPr>
            </w:pPr>
          </w:p>
        </w:tc>
      </w:tr>
      <w:tr>
        <w:trPr>
          <w:trHeight w:val="196"/>
        </w:trPr>
        <w:tc>
          <w:tcPr>
            <w:tcW w:w="77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333333"/>
                <w:w w:val="95"/>
              </w:rPr>
              <w:t>As of June 30, 2020</w:t>
            </w:r>
          </w:p>
        </w:tc>
        <w:tc>
          <w:tcPr>
            <w:tcW w:w="1820" w:type="dxa"/>
            <w:vAlign w:val="bottom"/>
            <w:tcBorders>
              <w:bottom w:val="single" w:sz="8" w:color="auto"/>
            </w:tcBorders>
            <w:gridSpan w:val="2"/>
          </w:tcPr>
          <w:p>
            <w:pPr>
              <w:jc w:val="right"/>
              <w:ind w:right="28"/>
              <w:spacing w:after="0"/>
              <w:rPr>
                <w:sz w:val="20"/>
                <w:szCs w:val="20"/>
                <w:color w:val="auto"/>
              </w:rPr>
            </w:pPr>
            <w:r>
              <w:rPr>
                <w:rFonts w:ascii="Arial" w:cs="Arial" w:eastAsia="Arial" w:hAnsi="Arial"/>
                <w:sz w:val="14"/>
                <w:szCs w:val="14"/>
                <w:b w:val="1"/>
                <w:bCs w:val="1"/>
                <w:color w:val="333333"/>
              </w:rPr>
              <w:t>As of December 31, 2019</w:t>
            </w:r>
          </w:p>
        </w:tc>
      </w:tr>
      <w:tr>
        <w:trPr>
          <w:trHeight w:val="202"/>
        </w:trPr>
        <w:tc>
          <w:tcPr>
            <w:tcW w:w="7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derivative liability positions with credit contingent features</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5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65.2</w:t>
            </w:r>
          </w:p>
        </w:tc>
        <w:tc>
          <w:tcPr>
            <w:tcW w:w="1320" w:type="dxa"/>
            <w:vAlign w:val="bottom"/>
            <w:shd w:val="clear" w:color="auto" w:fill="CCEEFF"/>
          </w:tcPr>
          <w:p>
            <w:pPr>
              <w:jc w:val="right"/>
              <w:ind w:right="102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45.6</w:t>
            </w:r>
          </w:p>
        </w:tc>
      </w:tr>
      <w:tr>
        <w:trPr>
          <w:trHeight w:val="197"/>
        </w:trPr>
        <w:tc>
          <w:tcPr>
            <w:tcW w:w="77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Collateral posted and held by our counterparties</w:t>
            </w:r>
          </w:p>
        </w:tc>
        <w:tc>
          <w:tcPr>
            <w:tcW w:w="18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32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r>
      <w:tr>
        <w:trPr>
          <w:trHeight w:val="221"/>
        </w:trPr>
        <w:tc>
          <w:tcPr>
            <w:tcW w:w="77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Maximum additional potential collateral requirements</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5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65.2</w:t>
            </w:r>
          </w:p>
        </w:tc>
        <w:tc>
          <w:tcPr>
            <w:tcW w:w="1320" w:type="dxa"/>
            <w:vAlign w:val="bottom"/>
            <w:tcBorders>
              <w:bottom w:val="single" w:sz="8" w:color="auto"/>
            </w:tcBorders>
            <w:shd w:val="clear" w:color="auto" w:fill="CCEEFF"/>
          </w:tcPr>
          <w:p>
            <w:pPr>
              <w:jc w:val="right"/>
              <w:ind w:right="102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45.6</w:t>
            </w:r>
          </w:p>
        </w:tc>
      </w:tr>
      <w:tr>
        <w:trPr>
          <w:trHeight w:val="20"/>
        </w:trPr>
        <w:tc>
          <w:tcPr>
            <w:tcW w:w="772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Goodwill</w:t>
      </w:r>
    </w:p>
    <w:p>
      <w:pPr>
        <w:spacing w:after="0" w:line="229" w:lineRule="exact"/>
        <w:rPr>
          <w:sz w:val="20"/>
          <w:szCs w:val="20"/>
          <w:color w:val="auto"/>
        </w:rPr>
      </w:pPr>
    </w:p>
    <w:p>
      <w:pPr>
        <w:jc w:val="both"/>
        <w:ind w:firstLine="324"/>
        <w:spacing w:after="0" w:line="308" w:lineRule="auto"/>
        <w:rPr>
          <w:sz w:val="20"/>
          <w:szCs w:val="20"/>
          <w:color w:val="auto"/>
        </w:rPr>
      </w:pPr>
      <w:r>
        <w:rPr>
          <w:rFonts w:ascii="Arial" w:cs="Arial" w:eastAsia="Arial" w:hAnsi="Arial"/>
          <w:sz w:val="17"/>
          <w:szCs w:val="17"/>
          <w:color w:val="auto"/>
        </w:rPr>
        <w:t>Goodwill arises because the purchase price paid for our acquisitions reflects numerous factors, including the strategic fit and expected synergies these acquisitions bring to our existing operations. Goodwill is recorded at fair value and is reviewed at least annually for impairment.</w:t>
      </w:r>
    </w:p>
    <w:p>
      <w:pPr>
        <w:spacing w:after="0" w:line="11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provides the components of and changes in the carrying amount of goodwill for the six months ended June 30, 2020 (in millions):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460" w:type="dxa"/>
            <w:vAlign w:val="bottom"/>
            <w:tcBorders>
              <w:bottom w:val="single" w:sz="8" w:color="auto"/>
            </w:tcBorders>
          </w:tcPr>
          <w:p>
            <w:pPr>
              <w:spacing w:after="0"/>
              <w:rPr>
                <w:sz w:val="16"/>
                <w:szCs w:val="16"/>
                <w:color w:val="auto"/>
              </w:rPr>
            </w:pPr>
          </w:p>
        </w:tc>
        <w:tc>
          <w:tcPr>
            <w:tcW w:w="26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Aviation</w:t>
            </w:r>
          </w:p>
        </w:tc>
        <w:tc>
          <w:tcPr>
            <w:tcW w:w="6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 xml:space="preserve">Land </w:t>
            </w:r>
            <w:r>
              <w:rPr>
                <w:rFonts w:ascii="Arial" w:cs="Arial" w:eastAsia="Arial" w:hAnsi="Arial"/>
                <w:sz w:val="9"/>
                <w:szCs w:val="9"/>
                <w:b w:val="1"/>
                <w:bCs w:val="1"/>
                <w:color w:val="auto"/>
              </w:rPr>
              <w:t>(1)</w:t>
            </w:r>
          </w:p>
        </w:tc>
        <w:tc>
          <w:tcPr>
            <w:tcW w:w="5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Total</w:t>
            </w:r>
          </w:p>
        </w:tc>
      </w:tr>
      <w:tr>
        <w:trPr>
          <w:trHeight w:val="202"/>
        </w:trPr>
        <w:tc>
          <w:tcPr>
            <w:tcW w:w="4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December 31, 2019</w:t>
            </w:r>
          </w:p>
        </w:tc>
        <w:tc>
          <w:tcPr>
            <w:tcW w:w="2620" w:type="dxa"/>
            <w:vAlign w:val="bottom"/>
            <w:shd w:val="clear" w:color="auto" w:fill="CCEEFF"/>
          </w:tcPr>
          <w:p>
            <w:pPr>
              <w:jc w:val="right"/>
              <w:ind w:right="36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323.6</w:t>
            </w:r>
          </w:p>
        </w:tc>
        <w:tc>
          <w:tcPr>
            <w:tcW w:w="620" w:type="dxa"/>
            <w:vAlign w:val="bottom"/>
            <w:shd w:val="clear" w:color="auto" w:fill="CCEEFF"/>
          </w:tcPr>
          <w:p>
            <w:pPr>
              <w:jc w:val="right"/>
              <w:ind w:right="40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520.1</w:t>
            </w:r>
          </w:p>
        </w:tc>
        <w:tc>
          <w:tcPr>
            <w:tcW w:w="580" w:type="dxa"/>
            <w:vAlign w:val="bottom"/>
            <w:shd w:val="clear" w:color="auto" w:fill="CCEEFF"/>
          </w:tcPr>
          <w:p>
            <w:pPr>
              <w:jc w:val="right"/>
              <w:ind w:right="3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843.7</w:t>
            </w:r>
          </w:p>
        </w:tc>
      </w:tr>
      <w:tr>
        <w:trPr>
          <w:trHeight w:val="196"/>
        </w:trPr>
        <w:tc>
          <w:tcPr>
            <w:tcW w:w="4460" w:type="dxa"/>
            <w:vAlign w:val="bottom"/>
          </w:tcPr>
          <w:p>
            <w:pPr>
              <w:ind w:left="20"/>
              <w:spacing w:after="0"/>
              <w:rPr>
                <w:sz w:val="20"/>
                <w:szCs w:val="20"/>
                <w:color w:val="auto"/>
              </w:rPr>
            </w:pPr>
            <w:r>
              <w:rPr>
                <w:rFonts w:ascii="Arial" w:cs="Arial" w:eastAsia="Arial" w:hAnsi="Arial"/>
                <w:sz w:val="14"/>
                <w:szCs w:val="14"/>
                <w:color w:val="auto"/>
              </w:rPr>
              <w:t>Additions</w:t>
            </w:r>
          </w:p>
        </w:tc>
        <w:tc>
          <w:tcPr>
            <w:tcW w:w="2620" w:type="dxa"/>
            <w:vAlign w:val="bottom"/>
          </w:tcPr>
          <w:p>
            <w:pPr>
              <w:spacing w:after="0"/>
              <w:rPr>
                <w:sz w:val="17"/>
                <w:szCs w:val="17"/>
                <w:color w:val="auto"/>
              </w:rPr>
            </w:pPr>
          </w:p>
        </w:tc>
        <w:tc>
          <w:tcPr>
            <w:tcW w:w="1040" w:type="dxa"/>
            <w:vAlign w:val="bottom"/>
          </w:tcPr>
          <w:p>
            <w:pPr>
              <w:jc w:val="right"/>
              <w:ind w:right="128"/>
              <w:spacing w:after="0"/>
              <w:rPr>
                <w:sz w:val="20"/>
                <w:szCs w:val="20"/>
                <w:color w:val="auto"/>
              </w:rPr>
            </w:pPr>
            <w:r>
              <w:rPr>
                <w:rFonts w:ascii="Arial" w:cs="Arial" w:eastAsia="Arial" w:hAnsi="Arial"/>
                <w:sz w:val="14"/>
                <w:szCs w:val="14"/>
                <w:color w:val="auto"/>
              </w:rPr>
              <w:t>78.7</w:t>
            </w:r>
          </w:p>
        </w:tc>
        <w:tc>
          <w:tcPr>
            <w:tcW w:w="620" w:type="dxa"/>
            <w:vAlign w:val="bottom"/>
          </w:tcPr>
          <w:p>
            <w:pPr>
              <w:spacing w:after="0"/>
              <w:rPr>
                <w:sz w:val="17"/>
                <w:szCs w:val="17"/>
                <w:color w:val="auto"/>
              </w:rPr>
            </w:pPr>
          </w:p>
        </w:tc>
        <w:tc>
          <w:tcPr>
            <w:tcW w:w="10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580" w:type="dxa"/>
            <w:vAlign w:val="bottom"/>
          </w:tcPr>
          <w:p>
            <w:pPr>
              <w:spacing w:after="0"/>
              <w:rPr>
                <w:sz w:val="17"/>
                <w:szCs w:val="17"/>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78.7</w:t>
            </w:r>
          </w:p>
        </w:tc>
      </w:tr>
      <w:tr>
        <w:trPr>
          <w:trHeight w:val="203"/>
        </w:trPr>
        <w:tc>
          <w:tcPr>
            <w:tcW w:w="44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Foreign exchange and other adjustments</w:t>
            </w:r>
          </w:p>
        </w:tc>
        <w:tc>
          <w:tcPr>
            <w:tcW w:w="262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(0.1)</w:t>
            </w:r>
          </w:p>
        </w:tc>
        <w:tc>
          <w:tcPr>
            <w:tcW w:w="6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(8.8)</w:t>
            </w:r>
          </w:p>
        </w:tc>
        <w:tc>
          <w:tcPr>
            <w:tcW w:w="5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(8.9)</w:t>
            </w:r>
          </w:p>
        </w:tc>
      </w:tr>
      <w:tr>
        <w:trPr>
          <w:trHeight w:val="196"/>
        </w:trPr>
        <w:tc>
          <w:tcPr>
            <w:tcW w:w="44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Balance as of June 30, 2020</w:t>
            </w:r>
          </w:p>
        </w:tc>
        <w:tc>
          <w:tcPr>
            <w:tcW w:w="26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402.2</w:t>
            </w:r>
          </w:p>
        </w:tc>
        <w:tc>
          <w:tcPr>
            <w:tcW w:w="6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511.3</w:t>
            </w:r>
          </w:p>
        </w:tc>
        <w:tc>
          <w:tcPr>
            <w:tcW w:w="5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913.5</w:t>
            </w:r>
          </w:p>
        </w:tc>
      </w:tr>
      <w:tr>
        <w:trPr>
          <w:trHeight w:val="26"/>
        </w:trPr>
        <w:tc>
          <w:tcPr>
            <w:tcW w:w="446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bl>
    <w:p>
      <w:pPr>
        <w:spacing w:after="0" w:line="197" w:lineRule="exact"/>
        <w:rPr>
          <w:sz w:val="20"/>
          <w:szCs w:val="20"/>
          <w:color w:val="auto"/>
        </w:rPr>
      </w:pPr>
    </w:p>
    <w:p>
      <w:pPr>
        <w:ind w:left="300"/>
        <w:spacing w:after="0"/>
        <w:rPr>
          <w:sz w:val="20"/>
          <w:szCs w:val="20"/>
          <w:color w:val="auto"/>
        </w:rPr>
      </w:pPr>
      <w:r>
        <w:rPr>
          <w:rFonts w:ascii="Arial" w:cs="Arial" w:eastAsia="Arial" w:hAnsi="Arial"/>
          <w:sz w:val="9"/>
          <w:szCs w:val="9"/>
          <w:color w:val="auto"/>
        </w:rPr>
        <w:t>(1)</w:t>
      </w:r>
      <w:r>
        <w:rPr>
          <w:rFonts w:ascii="Arial" w:cs="Arial" w:eastAsia="Arial" w:hAnsi="Arial"/>
          <w:sz w:val="14"/>
          <w:szCs w:val="14"/>
          <w:color w:val="auto"/>
        </w:rPr>
        <w:t>At June 30, 2020, $446.7 million of the land segment's goodwill amount relates to the land reporting unit.</w:t>
      </w: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Debt, Interest Income, Expense and Other Finance Costs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debt consisted of the following as of June 30, 2020 and December 31, 2019 (in millions):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w w:val="91"/>
              </w:rPr>
              <w:t>As of</w:t>
            </w:r>
          </w:p>
        </w:tc>
        <w:tc>
          <w:tcPr>
            <w:tcW w:w="1300" w:type="dxa"/>
            <w:vAlign w:val="bottom"/>
            <w:tcBorders>
              <w:bottom w:val="single" w:sz="8" w:color="auto"/>
            </w:tcBorders>
          </w:tcPr>
          <w:p>
            <w:pPr>
              <w:spacing w:after="0"/>
              <w:rPr>
                <w:sz w:val="16"/>
                <w:szCs w:val="16"/>
                <w:color w:val="auto"/>
              </w:rPr>
            </w:pPr>
          </w:p>
        </w:tc>
      </w:tr>
      <w:tr>
        <w:trPr>
          <w:trHeight w:val="190"/>
        </w:trPr>
        <w:tc>
          <w:tcPr>
            <w:tcW w:w="8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jc w:val="right"/>
              <w:ind w:right="308"/>
              <w:spacing w:after="0"/>
              <w:rPr>
                <w:sz w:val="20"/>
                <w:szCs w:val="20"/>
                <w:color w:val="auto"/>
              </w:rPr>
            </w:pPr>
            <w:r>
              <w:rPr>
                <w:rFonts w:ascii="Arial" w:cs="Arial" w:eastAsia="Arial" w:hAnsi="Arial"/>
                <w:sz w:val="14"/>
                <w:szCs w:val="14"/>
                <w:b w:val="1"/>
                <w:bCs w:val="1"/>
                <w:color w:val="auto"/>
              </w:rPr>
              <w:t>June 30,</w:t>
            </w:r>
          </w:p>
        </w:tc>
        <w:tc>
          <w:tcPr>
            <w:tcW w:w="440" w:type="dxa"/>
            <w:vAlign w:val="bottom"/>
          </w:tcPr>
          <w:p>
            <w:pPr>
              <w:spacing w:after="0"/>
              <w:rPr>
                <w:sz w:val="16"/>
                <w:szCs w:val="16"/>
                <w:color w:val="auto"/>
              </w:rPr>
            </w:pPr>
          </w:p>
        </w:tc>
        <w:tc>
          <w:tcPr>
            <w:tcW w:w="1300" w:type="dxa"/>
            <w:vAlign w:val="bottom"/>
          </w:tcPr>
          <w:p>
            <w:pPr>
              <w:jc w:val="right"/>
              <w:ind w:right="268"/>
              <w:spacing w:after="0"/>
              <w:rPr>
                <w:sz w:val="20"/>
                <w:szCs w:val="20"/>
                <w:color w:val="auto"/>
              </w:rPr>
            </w:pPr>
            <w:r>
              <w:rPr>
                <w:rFonts w:ascii="Arial" w:cs="Arial" w:eastAsia="Arial" w:hAnsi="Arial"/>
                <w:sz w:val="14"/>
                <w:szCs w:val="14"/>
                <w:b w:val="1"/>
                <w:bCs w:val="1"/>
                <w:color w:val="auto"/>
              </w:rPr>
              <w:t>December 31,</w:t>
            </w:r>
          </w:p>
        </w:tc>
      </w:tr>
      <w:tr>
        <w:trPr>
          <w:trHeight w:val="209"/>
        </w:trPr>
        <w:tc>
          <w:tcPr>
            <w:tcW w:w="81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2019</w:t>
            </w:r>
          </w:p>
        </w:tc>
      </w:tr>
      <w:tr>
        <w:trPr>
          <w:trHeight w:val="196"/>
        </w:trPr>
        <w:tc>
          <w:tcPr>
            <w:tcW w:w="8100" w:type="dxa"/>
            <w:vAlign w:val="bottom"/>
          </w:tcPr>
          <w:p>
            <w:pPr>
              <w:ind w:left="20"/>
              <w:spacing w:after="0"/>
              <w:rPr>
                <w:sz w:val="20"/>
                <w:szCs w:val="20"/>
                <w:color w:val="auto"/>
              </w:rPr>
            </w:pPr>
            <w:r>
              <w:rPr>
                <w:rFonts w:ascii="Arial" w:cs="Arial" w:eastAsia="Arial" w:hAnsi="Arial"/>
                <w:sz w:val="14"/>
                <w:szCs w:val="14"/>
                <w:color w:val="auto"/>
              </w:rPr>
              <w:t>Credit Facility</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530.0</w:t>
            </w: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55.0</w:t>
            </w:r>
          </w:p>
        </w:tc>
      </w:tr>
      <w:tr>
        <w:trPr>
          <w:trHeight w:val="208"/>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Term Loans</w:t>
            </w:r>
          </w:p>
        </w:tc>
        <w:tc>
          <w:tcPr>
            <w:tcW w:w="3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509.5</w:t>
            </w:r>
          </w:p>
        </w:tc>
        <w:tc>
          <w:tcPr>
            <w:tcW w:w="44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515.6</w:t>
            </w:r>
          </w:p>
        </w:tc>
      </w:tr>
      <w:tr>
        <w:trPr>
          <w:trHeight w:val="197"/>
        </w:trPr>
        <w:tc>
          <w:tcPr>
            <w:tcW w:w="8100" w:type="dxa"/>
            <w:vAlign w:val="bottom"/>
          </w:tcPr>
          <w:p>
            <w:pPr>
              <w:ind w:left="20"/>
              <w:spacing w:after="0"/>
              <w:rPr>
                <w:sz w:val="20"/>
                <w:szCs w:val="20"/>
                <w:color w:val="auto"/>
              </w:rPr>
            </w:pPr>
            <w:r>
              <w:rPr>
                <w:rFonts w:ascii="Arial" w:cs="Arial" w:eastAsia="Arial" w:hAnsi="Arial"/>
                <w:sz w:val="14"/>
                <w:szCs w:val="14"/>
                <w:color w:val="auto"/>
              </w:rPr>
              <w:t>Finance Leases</w:t>
            </w:r>
          </w:p>
        </w:tc>
        <w:tc>
          <w:tcPr>
            <w:tcW w:w="30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17.7</w:t>
            </w:r>
          </w:p>
        </w:tc>
        <w:tc>
          <w:tcPr>
            <w:tcW w:w="440" w:type="dxa"/>
            <w:vAlign w:val="bottom"/>
          </w:tcPr>
          <w:p>
            <w:pPr>
              <w:spacing w:after="0"/>
              <w:rPr>
                <w:sz w:val="17"/>
                <w:szCs w:val="17"/>
                <w:color w:val="auto"/>
              </w:rPr>
            </w:pPr>
          </w:p>
        </w:tc>
        <w:tc>
          <w:tcPr>
            <w:tcW w:w="1300" w:type="dxa"/>
            <w:vAlign w:val="bottom"/>
          </w:tcPr>
          <w:p>
            <w:pPr>
              <w:jc w:val="right"/>
              <w:ind w:right="68"/>
              <w:spacing w:after="0"/>
              <w:rPr>
                <w:sz w:val="20"/>
                <w:szCs w:val="20"/>
                <w:color w:val="auto"/>
              </w:rPr>
            </w:pPr>
            <w:r>
              <w:rPr>
                <w:rFonts w:ascii="Arial" w:cs="Arial" w:eastAsia="Arial" w:hAnsi="Arial"/>
                <w:sz w:val="14"/>
                <w:szCs w:val="14"/>
                <w:color w:val="auto"/>
              </w:rPr>
              <w:t>18.7</w:t>
            </w:r>
          </w:p>
        </w:tc>
      </w:tr>
      <w:tr>
        <w:trPr>
          <w:trHeight w:val="203"/>
        </w:trPr>
        <w:tc>
          <w:tcPr>
            <w:tcW w:w="81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 xml:space="preserve">Other </w:t>
            </w:r>
            <w:r>
              <w:rPr>
                <w:rFonts w:ascii="Arial" w:cs="Arial" w:eastAsia="Arial" w:hAnsi="Arial"/>
                <w:sz w:val="9"/>
                <w:szCs w:val="9"/>
                <w:color w:val="auto"/>
              </w:rPr>
              <w:t>(1)</w:t>
            </w:r>
          </w:p>
        </w:tc>
        <w:tc>
          <w:tcPr>
            <w:tcW w:w="30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40.0</w:t>
            </w:r>
          </w:p>
        </w:tc>
        <w:tc>
          <w:tcPr>
            <w:tcW w:w="44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39.5</w:t>
            </w:r>
          </w:p>
        </w:tc>
      </w:tr>
      <w:tr>
        <w:trPr>
          <w:trHeight w:val="196"/>
        </w:trPr>
        <w:tc>
          <w:tcPr>
            <w:tcW w:w="81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debt</w:t>
            </w:r>
          </w:p>
        </w:tc>
        <w:tc>
          <w:tcPr>
            <w:tcW w:w="3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1,097.2</w:t>
            </w:r>
          </w:p>
        </w:tc>
        <w:tc>
          <w:tcPr>
            <w:tcW w:w="44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628.8</w:t>
            </w:r>
          </w:p>
        </w:tc>
      </w:tr>
      <w:tr>
        <w:trPr>
          <w:trHeight w:val="202"/>
        </w:trPr>
        <w:tc>
          <w:tcPr>
            <w:tcW w:w="8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Current maturities of long-term debt</w:t>
            </w:r>
          </w:p>
        </w:tc>
        <w:tc>
          <w:tcPr>
            <w:tcW w:w="30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53.8</w:t>
            </w:r>
          </w:p>
        </w:tc>
        <w:tc>
          <w:tcPr>
            <w:tcW w:w="440" w:type="dxa"/>
            <w:vAlign w:val="bottom"/>
            <w:shd w:val="clear" w:color="auto" w:fill="CCEEFF"/>
          </w:tcPr>
          <w:p>
            <w:pPr>
              <w:spacing w:after="0"/>
              <w:rPr>
                <w:sz w:val="17"/>
                <w:szCs w:val="17"/>
                <w:color w:val="auto"/>
              </w:rPr>
            </w:pPr>
          </w:p>
        </w:tc>
        <w:tc>
          <w:tcPr>
            <w:tcW w:w="1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54.1</w:t>
            </w:r>
          </w:p>
        </w:tc>
      </w:tr>
      <w:tr>
        <w:trPr>
          <w:trHeight w:val="196"/>
        </w:trPr>
        <w:tc>
          <w:tcPr>
            <w:tcW w:w="81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Long-term debt</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1,043.3</w:t>
            </w:r>
          </w:p>
        </w:tc>
        <w:tc>
          <w:tcPr>
            <w:tcW w:w="4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574.7</w:t>
            </w:r>
          </w:p>
        </w:tc>
      </w:tr>
      <w:tr>
        <w:trPr>
          <w:trHeight w:val="27"/>
        </w:trPr>
        <w:tc>
          <w:tcPr>
            <w:tcW w:w="8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bl>
    <w:p>
      <w:pPr>
        <w:spacing w:after="0" w:line="213" w:lineRule="exact"/>
        <w:rPr>
          <w:sz w:val="20"/>
          <w:szCs w:val="20"/>
          <w:color w:val="auto"/>
        </w:rPr>
      </w:pPr>
    </w:p>
    <w:p>
      <w:pPr>
        <w:ind w:left="520" w:hanging="152"/>
        <w:spacing w:after="0"/>
        <w:tabs>
          <w:tab w:leader="none" w:pos="520" w:val="left"/>
        </w:tabs>
        <w:numPr>
          <w:ilvl w:val="0"/>
          <w:numId w:val="5"/>
        </w:numPr>
        <w:rPr>
          <w:rFonts w:ascii="Arial" w:cs="Arial" w:eastAsia="Arial" w:hAnsi="Arial"/>
          <w:sz w:val="18"/>
          <w:szCs w:val="18"/>
          <w:color w:val="auto"/>
          <w:vertAlign w:val="superscript"/>
        </w:rPr>
      </w:pPr>
      <w:r>
        <w:rPr>
          <w:rFonts w:ascii="Arial" w:cs="Arial" w:eastAsia="Arial" w:hAnsi="Arial"/>
          <w:sz w:val="14"/>
          <w:szCs w:val="14"/>
          <w:color w:val="auto"/>
        </w:rPr>
        <w:t>Includes secured borrowings of $37.7 million (EUR 33.6 million), due within 12 months, for the transfer of tax receivables as of June 30, 2020.</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sectPr>
      </w:pPr>
    </w:p>
    <w:bookmarkStart w:id="18" w:name="page19"/>
    <w:bookmarkEnd w:id="18"/>
    <w:p>
      <w:pPr>
        <w:jc w:val="both"/>
        <w:ind w:firstLine="324"/>
        <w:spacing w:after="0" w:line="277" w:lineRule="auto"/>
        <w:rPr>
          <w:sz w:val="20"/>
          <w:szCs w:val="20"/>
          <w:color w:val="auto"/>
        </w:rPr>
      </w:pPr>
      <w:r>
        <w:rPr>
          <w:rFonts w:ascii="Arial" w:cs="Arial" w:eastAsia="Arial" w:hAnsi="Arial"/>
          <w:sz w:val="18"/>
          <w:szCs w:val="18"/>
          <w:color w:val="auto"/>
        </w:rPr>
        <w:t>The following table provides additional information about our interest income (expense), and other financing costs, net, for the periods presented for the three and six months ended June 30, 2020 and 2019 (in millions):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200" w:type="dxa"/>
            <w:vAlign w:val="bottom"/>
          </w:tcPr>
          <w:p>
            <w:pPr>
              <w:spacing w:after="0"/>
              <w:rPr>
                <w:sz w:val="16"/>
                <w:szCs w:val="16"/>
                <w:color w:val="auto"/>
              </w:rPr>
            </w:pPr>
          </w:p>
        </w:tc>
        <w:tc>
          <w:tcPr>
            <w:tcW w:w="244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5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640" w:type="dxa"/>
            <w:vAlign w:val="bottom"/>
            <w:gridSpan w:val="4"/>
          </w:tcPr>
          <w:p>
            <w:pPr>
              <w:jc w:val="right"/>
              <w:ind w:right="608"/>
              <w:spacing w:after="0"/>
              <w:rPr>
                <w:sz w:val="20"/>
                <w:szCs w:val="20"/>
                <w:color w:val="auto"/>
              </w:rPr>
            </w:pPr>
            <w:r>
              <w:rPr>
                <w:rFonts w:ascii="Arial" w:cs="Arial" w:eastAsia="Arial" w:hAnsi="Arial"/>
                <w:sz w:val="14"/>
                <w:szCs w:val="14"/>
                <w:b w:val="1"/>
                <w:bCs w:val="1"/>
                <w:color w:val="auto"/>
              </w:rPr>
              <w:t>For the Six Months Ended</w:t>
            </w:r>
          </w:p>
        </w:tc>
      </w:tr>
      <w:tr>
        <w:trPr>
          <w:trHeight w:val="209"/>
        </w:trPr>
        <w:tc>
          <w:tcPr>
            <w:tcW w:w="5200" w:type="dxa"/>
            <w:vAlign w:val="bottom"/>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gridSpan w:val="2"/>
          </w:tcPr>
          <w:p>
            <w:pPr>
              <w:jc w:val="right"/>
              <w:ind w:right="628"/>
              <w:spacing w:after="0"/>
              <w:rPr>
                <w:sz w:val="20"/>
                <w:szCs w:val="20"/>
                <w:color w:val="auto"/>
              </w:rPr>
            </w:pPr>
            <w:r>
              <w:rPr>
                <w:rFonts w:ascii="Arial" w:cs="Arial" w:eastAsia="Arial" w:hAnsi="Arial"/>
                <w:sz w:val="14"/>
                <w:szCs w:val="14"/>
                <w:b w:val="1"/>
                <w:bCs w:val="1"/>
                <w:color w:val="auto"/>
              </w:rPr>
              <w:t>June 30,</w:t>
            </w:r>
          </w:p>
        </w:tc>
        <w:tc>
          <w:tcPr>
            <w:tcW w:w="54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gridSpan w:val="3"/>
          </w:tcPr>
          <w:p>
            <w:pPr>
              <w:jc w:val="right"/>
              <w:ind w:right="108"/>
              <w:spacing w:after="0"/>
              <w:rPr>
                <w:sz w:val="20"/>
                <w:szCs w:val="20"/>
                <w:color w:val="auto"/>
              </w:rPr>
            </w:pPr>
            <w:r>
              <w:rPr>
                <w:rFonts w:ascii="Arial" w:cs="Arial" w:eastAsia="Arial" w:hAnsi="Arial"/>
                <w:sz w:val="14"/>
                <w:szCs w:val="14"/>
                <w:b w:val="1"/>
                <w:bCs w:val="1"/>
                <w:color w:val="auto"/>
              </w:rPr>
              <w:t>June 30,</w:t>
            </w:r>
          </w:p>
        </w:tc>
        <w:tc>
          <w:tcPr>
            <w:tcW w:w="1040" w:type="dxa"/>
            <w:vAlign w:val="bottom"/>
            <w:tcBorders>
              <w:bottom w:val="single" w:sz="8" w:color="auto"/>
            </w:tcBorders>
          </w:tcPr>
          <w:p>
            <w:pPr>
              <w:spacing w:after="0"/>
              <w:rPr>
                <w:sz w:val="18"/>
                <w:szCs w:val="18"/>
                <w:color w:val="auto"/>
              </w:rPr>
            </w:pPr>
          </w:p>
        </w:tc>
      </w:tr>
      <w:tr>
        <w:trPr>
          <w:trHeight w:val="196"/>
        </w:trPr>
        <w:tc>
          <w:tcPr>
            <w:tcW w:w="52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5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54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2019</w:t>
            </w:r>
          </w:p>
        </w:tc>
      </w:tr>
      <w:tr>
        <w:trPr>
          <w:trHeight w:val="202"/>
        </w:trPr>
        <w:tc>
          <w:tcPr>
            <w:tcW w:w="5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900" w:type="dxa"/>
            <w:vAlign w:val="bottom"/>
            <w:shd w:val="clear" w:color="auto" w:fill="CCEEFF"/>
          </w:tcPr>
          <w:p>
            <w:pPr>
              <w:jc w:val="right"/>
              <w:ind w:right="748"/>
              <w:spacing w:after="0"/>
              <w:rPr>
                <w:sz w:val="20"/>
                <w:szCs w:val="20"/>
                <w:color w:val="auto"/>
              </w:rPr>
            </w:pPr>
            <w:r>
              <w:rPr>
                <w:rFonts w:ascii="Arial" w:cs="Arial" w:eastAsia="Arial" w:hAnsi="Arial"/>
                <w:sz w:val="14"/>
                <w:szCs w:val="14"/>
                <w:color w:val="auto"/>
                <w:w w:val="76"/>
              </w:rPr>
              <w:t>$</w:t>
            </w:r>
          </w:p>
        </w:tc>
        <w:tc>
          <w:tcPr>
            <w:tcW w:w="5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0.7</w:t>
            </w:r>
          </w:p>
        </w:tc>
        <w:tc>
          <w:tcPr>
            <w:tcW w:w="1000" w:type="dxa"/>
            <w:vAlign w:val="bottom"/>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1.5</w:t>
            </w:r>
          </w:p>
        </w:tc>
        <w:tc>
          <w:tcPr>
            <w:tcW w:w="4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2.6</w:t>
            </w:r>
          </w:p>
        </w:tc>
      </w:tr>
      <w:tr>
        <w:trPr>
          <w:trHeight w:val="197"/>
        </w:trPr>
        <w:tc>
          <w:tcPr>
            <w:tcW w:w="52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Interest expense and other financing costs</w:t>
            </w:r>
          </w:p>
        </w:tc>
        <w:tc>
          <w:tcPr>
            <w:tcW w:w="90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(10.7)</w:t>
            </w:r>
          </w:p>
        </w:tc>
        <w:tc>
          <w:tcPr>
            <w:tcW w:w="100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(21.7)</w:t>
            </w:r>
          </w:p>
        </w:tc>
        <w:tc>
          <w:tcPr>
            <w:tcW w:w="4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(26.9)</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(42.2)</w:t>
            </w:r>
          </w:p>
        </w:tc>
      </w:tr>
      <w:tr>
        <w:trPr>
          <w:trHeight w:val="221"/>
        </w:trPr>
        <w:tc>
          <w:tcPr>
            <w:tcW w:w="5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w w:val="76"/>
              </w:rPr>
              <w:t>$</w:t>
            </w:r>
          </w:p>
        </w:tc>
        <w:tc>
          <w:tcPr>
            <w:tcW w:w="5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(10.0)</w:t>
            </w:r>
          </w:p>
        </w:tc>
        <w:tc>
          <w:tcPr>
            <w:tcW w:w="100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5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(20.2)</w:t>
            </w:r>
          </w:p>
        </w:tc>
        <w:tc>
          <w:tcPr>
            <w:tcW w:w="42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(25.3)</w:t>
            </w:r>
          </w:p>
        </w:tc>
        <w:tc>
          <w:tcPr>
            <w:tcW w:w="10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(39.6)</w:t>
            </w:r>
          </w:p>
        </w:tc>
      </w:tr>
      <w:tr>
        <w:trPr>
          <w:trHeight w:val="20"/>
        </w:trPr>
        <w:tc>
          <w:tcPr>
            <w:tcW w:w="5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Fair Value Measurements</w:t>
      </w:r>
    </w:p>
    <w:p>
      <w:pPr>
        <w:spacing w:after="0" w:line="229" w:lineRule="exact"/>
        <w:rPr>
          <w:sz w:val="20"/>
          <w:szCs w:val="20"/>
          <w:color w:val="auto"/>
        </w:rPr>
      </w:pPr>
    </w:p>
    <w:p>
      <w:pPr>
        <w:jc w:val="both"/>
        <w:ind w:firstLine="324"/>
        <w:spacing w:after="0" w:line="275" w:lineRule="auto"/>
        <w:rPr>
          <w:sz w:val="20"/>
          <w:szCs w:val="20"/>
          <w:color w:val="auto"/>
        </w:rPr>
      </w:pPr>
      <w:r>
        <w:rPr>
          <w:rFonts w:ascii="Arial" w:cs="Arial" w:eastAsia="Arial" w:hAnsi="Arial"/>
          <w:sz w:val="17"/>
          <w:szCs w:val="17"/>
          <w:color w:val="auto"/>
        </w:rPr>
        <w:t>The carrying amounts of cash and cash equivalents, net accounts receivable, accounts payable and accrued expenses and other current liabilities approximate fair value based on their short-term maturities. The carrying values of our debt and notes receivable approximate fair value since these instruments bear interest either at variable rates or fixed rates, which are not significantly different from market rates. Based on the fair value hierarchy, our total debt of $1.1 billion and $628.8 million as of June 30, 2020 and December 31, 2019, respectively, and our notes receivable of $23.4 million and $21.0 million as of June 30, 2020 and December 31, 2019, respectively, were categorized as Level 2.</w:t>
      </w:r>
    </w:p>
    <w:p>
      <w:pPr>
        <w:spacing w:after="0" w:line="200" w:lineRule="exact"/>
        <w:rPr>
          <w:sz w:val="20"/>
          <w:szCs w:val="20"/>
          <w:color w:val="auto"/>
        </w:rPr>
      </w:pPr>
    </w:p>
    <w:p>
      <w:pPr>
        <w:spacing w:after="0" w:line="246" w:lineRule="exact"/>
        <w:rPr>
          <w:sz w:val="20"/>
          <w:szCs w:val="20"/>
          <w:color w:val="auto"/>
        </w:rPr>
      </w:pPr>
    </w:p>
    <w:p>
      <w:pPr>
        <w:jc w:val="both"/>
        <w:ind w:firstLine="324"/>
        <w:spacing w:after="0" w:line="276" w:lineRule="auto"/>
        <w:rPr>
          <w:sz w:val="20"/>
          <w:szCs w:val="20"/>
          <w:color w:val="auto"/>
        </w:rPr>
      </w:pPr>
      <w:r>
        <w:rPr>
          <w:rFonts w:ascii="Arial" w:cs="Arial" w:eastAsia="Arial" w:hAnsi="Arial"/>
          <w:sz w:val="18"/>
          <w:szCs w:val="18"/>
          <w:color w:val="auto"/>
        </w:rPr>
        <w:t>The following tables present information about our gross assets and liabilities that are measured at fair value on a recurring basis as of June 30, 2020 and December 31, 2019 (in millions):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12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tcPr>
          <w:p>
            <w:pPr>
              <w:spacing w:after="0"/>
              <w:rPr>
                <w:sz w:val="16"/>
                <w:szCs w:val="16"/>
                <w:color w:val="auto"/>
              </w:rPr>
            </w:pPr>
          </w:p>
        </w:tc>
        <w:tc>
          <w:tcPr>
            <w:tcW w:w="384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Fair Value Measurements as of June 30, 2020</w:t>
            </w:r>
          </w:p>
        </w:tc>
        <w:tc>
          <w:tcPr>
            <w:tcW w:w="4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r>
      <w:tr>
        <w:trPr>
          <w:trHeight w:val="196"/>
        </w:trPr>
        <w:tc>
          <w:tcPr>
            <w:tcW w:w="4120" w:type="dxa"/>
            <w:vAlign w:val="bottom"/>
            <w:tcBorders>
              <w:bottom w:val="single" w:sz="8" w:color="auto"/>
            </w:tcBorders>
          </w:tcPr>
          <w:p>
            <w:pPr>
              <w:spacing w:after="0"/>
              <w:rPr>
                <w:sz w:val="17"/>
                <w:szCs w:val="17"/>
                <w:color w:val="auto"/>
              </w:rPr>
            </w:pPr>
          </w:p>
        </w:tc>
        <w:tc>
          <w:tcPr>
            <w:tcW w:w="20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Level 1 Inputs</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Level 2 Inputs</w:t>
            </w:r>
          </w:p>
        </w:tc>
        <w:tc>
          <w:tcPr>
            <w:tcW w:w="28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Level 3 Inputs</w:t>
            </w:r>
          </w:p>
        </w:tc>
        <w:tc>
          <w:tcPr>
            <w:tcW w:w="4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Total</w:t>
            </w:r>
          </w:p>
        </w:tc>
      </w:tr>
      <w:tr>
        <w:trPr>
          <w:trHeight w:val="202"/>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20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r>
      <w:tr>
        <w:trPr>
          <w:trHeight w:val="197"/>
        </w:trPr>
        <w:tc>
          <w:tcPr>
            <w:tcW w:w="4120" w:type="dxa"/>
            <w:vAlign w:val="bottom"/>
          </w:tcPr>
          <w:p>
            <w:pPr>
              <w:ind w:left="120"/>
              <w:spacing w:after="0"/>
              <w:rPr>
                <w:sz w:val="20"/>
                <w:szCs w:val="20"/>
                <w:color w:val="auto"/>
              </w:rPr>
            </w:pPr>
            <w:r>
              <w:rPr>
                <w:rFonts w:ascii="Arial" w:cs="Arial" w:eastAsia="Arial" w:hAnsi="Arial"/>
                <w:sz w:val="14"/>
                <w:szCs w:val="14"/>
                <w:color w:val="auto"/>
              </w:rPr>
              <w:t>Commodities contracts</w:t>
            </w:r>
          </w:p>
        </w:tc>
        <w:tc>
          <w:tcPr>
            <w:tcW w:w="20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417.8</w:t>
            </w:r>
          </w:p>
        </w:tc>
        <w:tc>
          <w:tcPr>
            <w:tcW w:w="28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259.7</w:t>
            </w:r>
          </w:p>
        </w:tc>
        <w:tc>
          <w:tcPr>
            <w:tcW w:w="2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148"/>
              <w:spacing w:after="0"/>
              <w:rPr>
                <w:sz w:val="20"/>
                <w:szCs w:val="20"/>
                <w:color w:val="auto"/>
              </w:rPr>
            </w:pPr>
            <w:r>
              <w:rPr>
                <w:rFonts w:ascii="Arial" w:cs="Arial" w:eastAsia="Arial" w:hAnsi="Arial"/>
                <w:sz w:val="14"/>
                <w:szCs w:val="14"/>
                <w:color w:val="auto"/>
              </w:rPr>
              <w:t>14.8</w:t>
            </w:r>
          </w:p>
        </w:tc>
        <w:tc>
          <w:tcPr>
            <w:tcW w:w="46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692.4</w:t>
            </w:r>
          </w:p>
        </w:tc>
      </w:tr>
      <w:tr>
        <w:trPr>
          <w:trHeight w:val="208"/>
        </w:trPr>
        <w:tc>
          <w:tcPr>
            <w:tcW w:w="4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Foreign currency contracts</w:t>
            </w:r>
          </w:p>
        </w:tc>
        <w:tc>
          <w:tcPr>
            <w:tcW w:w="200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2.4</w:t>
            </w:r>
          </w:p>
        </w:tc>
        <w:tc>
          <w:tcPr>
            <w:tcW w:w="28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2.4</w:t>
            </w:r>
          </w:p>
        </w:tc>
      </w:tr>
      <w:tr>
        <w:trPr>
          <w:trHeight w:val="197"/>
        </w:trPr>
        <w:tc>
          <w:tcPr>
            <w:tcW w:w="4120" w:type="dxa"/>
            <w:vAlign w:val="bottom"/>
          </w:tcPr>
          <w:p>
            <w:pPr>
              <w:ind w:left="120"/>
              <w:spacing w:after="0"/>
              <w:rPr>
                <w:sz w:val="20"/>
                <w:szCs w:val="20"/>
                <w:color w:val="auto"/>
              </w:rPr>
            </w:pPr>
            <w:r>
              <w:rPr>
                <w:rFonts w:ascii="Arial" w:cs="Arial" w:eastAsia="Arial" w:hAnsi="Arial"/>
                <w:sz w:val="14"/>
                <w:szCs w:val="14"/>
                <w:color w:val="auto"/>
              </w:rPr>
              <w:t>Interest rate contract</w:t>
            </w:r>
          </w:p>
        </w:tc>
        <w:tc>
          <w:tcPr>
            <w:tcW w:w="2000" w:type="dxa"/>
            <w:vAlign w:val="bottom"/>
          </w:tcPr>
          <w:p>
            <w:pPr>
              <w:spacing w:after="0"/>
              <w:rPr>
                <w:sz w:val="17"/>
                <w:szCs w:val="17"/>
                <w:color w:val="auto"/>
              </w:rPr>
            </w:pP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7"/>
                <w:szCs w:val="17"/>
                <w:color w:val="auto"/>
              </w:rPr>
            </w:pP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7"/>
                <w:szCs w:val="17"/>
                <w:color w:val="auto"/>
              </w:rPr>
            </w:pPr>
          </w:p>
        </w:tc>
        <w:tc>
          <w:tcPr>
            <w:tcW w:w="11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17"/>
                <w:szCs w:val="17"/>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w:t>
            </w:r>
          </w:p>
        </w:tc>
      </w:tr>
      <w:tr>
        <w:trPr>
          <w:trHeight w:val="203"/>
        </w:trPr>
        <w:tc>
          <w:tcPr>
            <w:tcW w:w="412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Cash surrender value of life insurance</w:t>
            </w:r>
          </w:p>
        </w:tc>
        <w:tc>
          <w:tcPr>
            <w:tcW w:w="20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9.2</w:t>
            </w:r>
          </w:p>
        </w:tc>
        <w:tc>
          <w:tcPr>
            <w:tcW w:w="28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9.2</w:t>
            </w:r>
          </w:p>
        </w:tc>
      </w:tr>
      <w:tr>
        <w:trPr>
          <w:trHeight w:val="196"/>
        </w:trPr>
        <w:tc>
          <w:tcPr>
            <w:tcW w:w="412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assets at fair value</w:t>
            </w:r>
          </w:p>
        </w:tc>
        <w:tc>
          <w:tcPr>
            <w:tcW w:w="2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417.8</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271.3</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14.8</w:t>
            </w:r>
          </w:p>
        </w:tc>
        <w:tc>
          <w:tcPr>
            <w:tcW w:w="4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704.0</w:t>
            </w:r>
          </w:p>
        </w:tc>
      </w:tr>
      <w:tr>
        <w:trPr>
          <w:trHeight w:val="20"/>
        </w:trPr>
        <w:tc>
          <w:tcPr>
            <w:tcW w:w="412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30"/>
        </w:trPr>
        <w:tc>
          <w:tcPr>
            <w:tcW w:w="4120" w:type="dxa"/>
            <w:vAlign w:val="bottom"/>
            <w:shd w:val="clear" w:color="auto" w:fill="CCEEFF"/>
          </w:tcPr>
          <w:p>
            <w:pPr>
              <w:spacing w:after="0"/>
              <w:rPr>
                <w:sz w:val="19"/>
                <w:szCs w:val="19"/>
                <w:color w:val="auto"/>
              </w:rPr>
            </w:pPr>
          </w:p>
        </w:tc>
        <w:tc>
          <w:tcPr>
            <w:tcW w:w="20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r>
      <w:tr>
        <w:trPr>
          <w:trHeight w:val="196"/>
        </w:trPr>
        <w:tc>
          <w:tcPr>
            <w:tcW w:w="4120" w:type="dxa"/>
            <w:vAlign w:val="bottom"/>
          </w:tcPr>
          <w:p>
            <w:pPr>
              <w:ind w:left="20"/>
              <w:spacing w:after="0"/>
              <w:rPr>
                <w:sz w:val="20"/>
                <w:szCs w:val="20"/>
                <w:color w:val="auto"/>
              </w:rPr>
            </w:pPr>
            <w:r>
              <w:rPr>
                <w:rFonts w:ascii="Arial" w:cs="Arial" w:eastAsia="Arial" w:hAnsi="Arial"/>
                <w:sz w:val="14"/>
                <w:szCs w:val="14"/>
                <w:color w:val="auto"/>
              </w:rPr>
              <w:t>Liabilities:</w:t>
            </w:r>
          </w:p>
        </w:tc>
        <w:tc>
          <w:tcPr>
            <w:tcW w:w="20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09"/>
        </w:trPr>
        <w:tc>
          <w:tcPr>
            <w:tcW w:w="4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Commodities contracts</w:t>
            </w:r>
          </w:p>
        </w:tc>
        <w:tc>
          <w:tcPr>
            <w:tcW w:w="2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437.7</w:t>
            </w:r>
          </w:p>
        </w:tc>
        <w:tc>
          <w:tcPr>
            <w:tcW w:w="2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181.7</w:t>
            </w:r>
          </w:p>
        </w:tc>
        <w:tc>
          <w:tcPr>
            <w:tcW w:w="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3.8</w:t>
            </w:r>
          </w:p>
        </w:tc>
        <w:tc>
          <w:tcPr>
            <w:tcW w:w="46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623.2</w:t>
            </w:r>
          </w:p>
        </w:tc>
      </w:tr>
      <w:tr>
        <w:trPr>
          <w:trHeight w:val="196"/>
        </w:trPr>
        <w:tc>
          <w:tcPr>
            <w:tcW w:w="4120" w:type="dxa"/>
            <w:vAlign w:val="bottom"/>
          </w:tcPr>
          <w:p>
            <w:pPr>
              <w:ind w:left="120"/>
              <w:spacing w:after="0"/>
              <w:rPr>
                <w:sz w:val="20"/>
                <w:szCs w:val="20"/>
                <w:color w:val="auto"/>
              </w:rPr>
            </w:pPr>
            <w:r>
              <w:rPr>
                <w:rFonts w:ascii="Arial" w:cs="Arial" w:eastAsia="Arial" w:hAnsi="Arial"/>
                <w:sz w:val="14"/>
                <w:szCs w:val="14"/>
                <w:color w:val="auto"/>
              </w:rPr>
              <w:t>Foreign currency contracts</w:t>
            </w:r>
          </w:p>
        </w:tc>
        <w:tc>
          <w:tcPr>
            <w:tcW w:w="2000" w:type="dxa"/>
            <w:vAlign w:val="bottom"/>
          </w:tcPr>
          <w:p>
            <w:pPr>
              <w:spacing w:after="0"/>
              <w:rPr>
                <w:sz w:val="17"/>
                <w:szCs w:val="17"/>
                <w:color w:val="auto"/>
              </w:rPr>
            </w:pP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7"/>
                <w:szCs w:val="17"/>
                <w:color w:val="auto"/>
              </w:rPr>
            </w:pP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10.9</w:t>
            </w:r>
          </w:p>
        </w:tc>
        <w:tc>
          <w:tcPr>
            <w:tcW w:w="280" w:type="dxa"/>
            <w:vAlign w:val="bottom"/>
          </w:tcPr>
          <w:p>
            <w:pPr>
              <w:spacing w:after="0"/>
              <w:rPr>
                <w:sz w:val="17"/>
                <w:szCs w:val="17"/>
                <w:color w:val="auto"/>
              </w:rPr>
            </w:pPr>
          </w:p>
        </w:tc>
        <w:tc>
          <w:tcPr>
            <w:tcW w:w="11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17"/>
                <w:szCs w:val="17"/>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10.9</w:t>
            </w:r>
          </w:p>
        </w:tc>
      </w:tr>
      <w:tr>
        <w:trPr>
          <w:trHeight w:val="203"/>
        </w:trPr>
        <w:tc>
          <w:tcPr>
            <w:tcW w:w="412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Interest rate contract</w:t>
            </w:r>
          </w:p>
        </w:tc>
        <w:tc>
          <w:tcPr>
            <w:tcW w:w="20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4.9</w:t>
            </w:r>
          </w:p>
        </w:tc>
        <w:tc>
          <w:tcPr>
            <w:tcW w:w="28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4.9</w:t>
            </w:r>
          </w:p>
        </w:tc>
      </w:tr>
      <w:tr>
        <w:trPr>
          <w:trHeight w:val="196"/>
        </w:trPr>
        <w:tc>
          <w:tcPr>
            <w:tcW w:w="412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liabilities at fair value</w:t>
            </w:r>
          </w:p>
        </w:tc>
        <w:tc>
          <w:tcPr>
            <w:tcW w:w="2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437.7</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197.6</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3.8</w:t>
            </w:r>
          </w:p>
        </w:tc>
        <w:tc>
          <w:tcPr>
            <w:tcW w:w="4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639.1</w:t>
            </w:r>
          </w:p>
        </w:tc>
      </w:tr>
      <w:tr>
        <w:trPr>
          <w:trHeight w:val="26"/>
        </w:trPr>
        <w:tc>
          <w:tcPr>
            <w:tcW w:w="412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4300" w:type="dxa"/>
            <w:vAlign w:val="bottom"/>
            <w:tcBorders>
              <w:bottom w:val="single" w:sz="8" w:color="auto"/>
            </w:tcBorders>
            <w:gridSpan w:val="6"/>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420"/>
        </w:trPr>
        <w:tc>
          <w:tcPr>
            <w:tcW w:w="412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gridSpan w:val="6"/>
          </w:tcPr>
          <w:p>
            <w:pPr>
              <w:jc w:val="right"/>
              <w:ind w:right="288"/>
              <w:spacing w:after="0"/>
              <w:rPr>
                <w:sz w:val="20"/>
                <w:szCs w:val="20"/>
                <w:color w:val="auto"/>
              </w:rPr>
            </w:pPr>
            <w:r>
              <w:rPr>
                <w:rFonts w:ascii="Arial" w:cs="Arial" w:eastAsia="Arial" w:hAnsi="Arial"/>
                <w:sz w:val="14"/>
                <w:szCs w:val="14"/>
                <w:b w:val="1"/>
                <w:bCs w:val="1"/>
                <w:color w:val="auto"/>
              </w:rPr>
              <w:t>Fair Value Measurements as of December 31, 2019</w:t>
            </w:r>
          </w:p>
        </w:tc>
        <w:tc>
          <w:tcPr>
            <w:tcW w:w="820" w:type="dxa"/>
            <w:vAlign w:val="bottom"/>
            <w:tcBorders>
              <w:bottom w:val="single" w:sz="8" w:color="auto"/>
            </w:tcBorders>
          </w:tcPr>
          <w:p>
            <w:pPr>
              <w:spacing w:after="0"/>
              <w:rPr>
                <w:sz w:val="24"/>
                <w:szCs w:val="24"/>
                <w:color w:val="auto"/>
              </w:rPr>
            </w:pPr>
          </w:p>
        </w:tc>
      </w:tr>
      <w:tr>
        <w:trPr>
          <w:trHeight w:val="196"/>
        </w:trPr>
        <w:tc>
          <w:tcPr>
            <w:tcW w:w="4120" w:type="dxa"/>
            <w:vAlign w:val="bottom"/>
            <w:tcBorders>
              <w:bottom w:val="single" w:sz="8" w:color="auto"/>
            </w:tcBorders>
          </w:tcPr>
          <w:p>
            <w:pPr>
              <w:spacing w:after="0"/>
              <w:rPr>
                <w:sz w:val="17"/>
                <w:szCs w:val="17"/>
                <w:color w:val="auto"/>
              </w:rPr>
            </w:pPr>
          </w:p>
        </w:tc>
        <w:tc>
          <w:tcPr>
            <w:tcW w:w="20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Level 1 Inputs</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Level 2 Inputs</w:t>
            </w:r>
          </w:p>
        </w:tc>
        <w:tc>
          <w:tcPr>
            <w:tcW w:w="28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Level 3 Inputs</w:t>
            </w:r>
          </w:p>
        </w:tc>
        <w:tc>
          <w:tcPr>
            <w:tcW w:w="4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Total</w:t>
            </w:r>
          </w:p>
        </w:tc>
      </w:tr>
      <w:tr>
        <w:trPr>
          <w:trHeight w:val="196"/>
        </w:trPr>
        <w:tc>
          <w:tcPr>
            <w:tcW w:w="4120" w:type="dxa"/>
            <w:vAlign w:val="bottom"/>
          </w:tcPr>
          <w:p>
            <w:pPr>
              <w:ind w:left="20"/>
              <w:spacing w:after="0"/>
              <w:rPr>
                <w:sz w:val="20"/>
                <w:szCs w:val="20"/>
                <w:color w:val="auto"/>
              </w:rPr>
            </w:pPr>
            <w:r>
              <w:rPr>
                <w:rFonts w:ascii="Arial" w:cs="Arial" w:eastAsia="Arial" w:hAnsi="Arial"/>
                <w:sz w:val="14"/>
                <w:szCs w:val="14"/>
                <w:color w:val="auto"/>
              </w:rPr>
              <w:t>Assets:</w:t>
            </w:r>
          </w:p>
        </w:tc>
        <w:tc>
          <w:tcPr>
            <w:tcW w:w="20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08"/>
        </w:trPr>
        <w:tc>
          <w:tcPr>
            <w:tcW w:w="4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Commodities contracts</w:t>
            </w:r>
          </w:p>
        </w:tc>
        <w:tc>
          <w:tcPr>
            <w:tcW w:w="2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148.3</w:t>
            </w:r>
          </w:p>
        </w:tc>
        <w:tc>
          <w:tcPr>
            <w:tcW w:w="2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100.0</w:t>
            </w:r>
          </w:p>
        </w:tc>
        <w:tc>
          <w:tcPr>
            <w:tcW w:w="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10.7</w:t>
            </w:r>
          </w:p>
        </w:tc>
        <w:tc>
          <w:tcPr>
            <w:tcW w:w="46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259.0</w:t>
            </w:r>
          </w:p>
        </w:tc>
      </w:tr>
      <w:tr>
        <w:trPr>
          <w:trHeight w:val="197"/>
        </w:trPr>
        <w:tc>
          <w:tcPr>
            <w:tcW w:w="4120" w:type="dxa"/>
            <w:vAlign w:val="bottom"/>
          </w:tcPr>
          <w:p>
            <w:pPr>
              <w:ind w:left="120"/>
              <w:spacing w:after="0"/>
              <w:rPr>
                <w:sz w:val="20"/>
                <w:szCs w:val="20"/>
                <w:color w:val="auto"/>
              </w:rPr>
            </w:pPr>
            <w:r>
              <w:rPr>
                <w:rFonts w:ascii="Arial" w:cs="Arial" w:eastAsia="Arial" w:hAnsi="Arial"/>
                <w:sz w:val="14"/>
                <w:szCs w:val="14"/>
                <w:color w:val="auto"/>
              </w:rPr>
              <w:t>Foreign currency contracts</w:t>
            </w:r>
          </w:p>
        </w:tc>
        <w:tc>
          <w:tcPr>
            <w:tcW w:w="2000" w:type="dxa"/>
            <w:vAlign w:val="bottom"/>
          </w:tcPr>
          <w:p>
            <w:pPr>
              <w:spacing w:after="0"/>
              <w:rPr>
                <w:sz w:val="17"/>
                <w:szCs w:val="17"/>
                <w:color w:val="auto"/>
              </w:rPr>
            </w:pP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7"/>
                <w:szCs w:val="17"/>
                <w:color w:val="auto"/>
              </w:rPr>
            </w:pPr>
          </w:p>
        </w:tc>
        <w:tc>
          <w:tcPr>
            <w:tcW w:w="1080" w:type="dxa"/>
            <w:vAlign w:val="bottom"/>
          </w:tcPr>
          <w:p>
            <w:pPr>
              <w:jc w:val="right"/>
              <w:ind w:right="128"/>
              <w:spacing w:after="0"/>
              <w:rPr>
                <w:sz w:val="20"/>
                <w:szCs w:val="20"/>
                <w:color w:val="auto"/>
              </w:rPr>
            </w:pPr>
            <w:r>
              <w:rPr>
                <w:rFonts w:ascii="Arial" w:cs="Arial" w:eastAsia="Arial" w:hAnsi="Arial"/>
                <w:sz w:val="14"/>
                <w:szCs w:val="14"/>
                <w:color w:val="auto"/>
              </w:rPr>
              <w:t>2.0</w:t>
            </w:r>
          </w:p>
        </w:tc>
        <w:tc>
          <w:tcPr>
            <w:tcW w:w="280" w:type="dxa"/>
            <w:vAlign w:val="bottom"/>
          </w:tcPr>
          <w:p>
            <w:pPr>
              <w:spacing w:after="0"/>
              <w:rPr>
                <w:sz w:val="17"/>
                <w:szCs w:val="17"/>
                <w:color w:val="auto"/>
              </w:rPr>
            </w:pPr>
          </w:p>
        </w:tc>
        <w:tc>
          <w:tcPr>
            <w:tcW w:w="11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17"/>
                <w:szCs w:val="17"/>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2.0</w:t>
            </w:r>
          </w:p>
        </w:tc>
      </w:tr>
      <w:tr>
        <w:trPr>
          <w:trHeight w:val="203"/>
        </w:trPr>
        <w:tc>
          <w:tcPr>
            <w:tcW w:w="412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Cash surrender value of life insurance</w:t>
            </w:r>
          </w:p>
        </w:tc>
        <w:tc>
          <w:tcPr>
            <w:tcW w:w="20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9.4</w:t>
            </w:r>
          </w:p>
        </w:tc>
        <w:tc>
          <w:tcPr>
            <w:tcW w:w="28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9.4</w:t>
            </w:r>
          </w:p>
        </w:tc>
      </w:tr>
      <w:tr>
        <w:trPr>
          <w:trHeight w:val="196"/>
        </w:trPr>
        <w:tc>
          <w:tcPr>
            <w:tcW w:w="412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Total assets at fair value</w:t>
            </w:r>
          </w:p>
        </w:tc>
        <w:tc>
          <w:tcPr>
            <w:tcW w:w="2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148.3</w:t>
            </w:r>
          </w:p>
        </w:tc>
        <w:tc>
          <w:tcPr>
            <w:tcW w:w="2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111.4</w:t>
            </w:r>
          </w:p>
        </w:tc>
        <w:tc>
          <w:tcPr>
            <w:tcW w:w="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10.7</w:t>
            </w:r>
          </w:p>
        </w:tc>
        <w:tc>
          <w:tcPr>
            <w:tcW w:w="4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270.4</w:t>
            </w:r>
          </w:p>
        </w:tc>
      </w:tr>
      <w:tr>
        <w:trPr>
          <w:trHeight w:val="20"/>
        </w:trPr>
        <w:tc>
          <w:tcPr>
            <w:tcW w:w="412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230"/>
        </w:trPr>
        <w:tc>
          <w:tcPr>
            <w:tcW w:w="4120" w:type="dxa"/>
            <w:vAlign w:val="bottom"/>
            <w:shd w:val="clear" w:color="auto" w:fill="CCEEFF"/>
          </w:tcPr>
          <w:p>
            <w:pPr>
              <w:spacing w:after="0"/>
              <w:rPr>
                <w:sz w:val="19"/>
                <w:szCs w:val="19"/>
                <w:color w:val="auto"/>
              </w:rPr>
            </w:pPr>
          </w:p>
        </w:tc>
        <w:tc>
          <w:tcPr>
            <w:tcW w:w="20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r>
      <w:tr>
        <w:trPr>
          <w:trHeight w:val="196"/>
        </w:trPr>
        <w:tc>
          <w:tcPr>
            <w:tcW w:w="4120" w:type="dxa"/>
            <w:vAlign w:val="bottom"/>
          </w:tcPr>
          <w:p>
            <w:pPr>
              <w:ind w:left="20"/>
              <w:spacing w:after="0"/>
              <w:rPr>
                <w:sz w:val="20"/>
                <w:szCs w:val="20"/>
                <w:color w:val="auto"/>
              </w:rPr>
            </w:pPr>
            <w:r>
              <w:rPr>
                <w:rFonts w:ascii="Arial" w:cs="Arial" w:eastAsia="Arial" w:hAnsi="Arial"/>
                <w:sz w:val="14"/>
                <w:szCs w:val="14"/>
                <w:color w:val="auto"/>
              </w:rPr>
              <w:t>Liabilities:</w:t>
            </w:r>
          </w:p>
        </w:tc>
        <w:tc>
          <w:tcPr>
            <w:tcW w:w="20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09"/>
        </w:trPr>
        <w:tc>
          <w:tcPr>
            <w:tcW w:w="4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Commodities contracts</w:t>
            </w:r>
          </w:p>
        </w:tc>
        <w:tc>
          <w:tcPr>
            <w:tcW w:w="2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177.6</w:t>
            </w:r>
          </w:p>
        </w:tc>
        <w:tc>
          <w:tcPr>
            <w:tcW w:w="2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69.3</w:t>
            </w:r>
          </w:p>
        </w:tc>
        <w:tc>
          <w:tcPr>
            <w:tcW w:w="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8.1</w:t>
            </w:r>
          </w:p>
        </w:tc>
        <w:tc>
          <w:tcPr>
            <w:tcW w:w="46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255.0</w:t>
            </w:r>
          </w:p>
        </w:tc>
      </w:tr>
      <w:tr>
        <w:trPr>
          <w:trHeight w:val="196"/>
        </w:trPr>
        <w:tc>
          <w:tcPr>
            <w:tcW w:w="412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Foreign currency contracts</w:t>
            </w:r>
          </w:p>
        </w:tc>
        <w:tc>
          <w:tcPr>
            <w:tcW w:w="20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11.6</w:t>
            </w:r>
          </w:p>
        </w:tc>
        <w:tc>
          <w:tcPr>
            <w:tcW w:w="28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11.6</w:t>
            </w:r>
          </w:p>
        </w:tc>
      </w:tr>
      <w:tr>
        <w:trPr>
          <w:trHeight w:val="221"/>
        </w:trPr>
        <w:tc>
          <w:tcPr>
            <w:tcW w:w="412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Total liabilities at fair value</w:t>
            </w:r>
          </w:p>
        </w:tc>
        <w:tc>
          <w:tcPr>
            <w:tcW w:w="2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177.6</w:t>
            </w:r>
          </w:p>
        </w:tc>
        <w:tc>
          <w:tcPr>
            <w:tcW w:w="2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80.9</w:t>
            </w:r>
          </w:p>
        </w:tc>
        <w:tc>
          <w:tcPr>
            <w:tcW w:w="2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8.1</w:t>
            </w:r>
          </w:p>
        </w:tc>
        <w:tc>
          <w:tcPr>
            <w:tcW w:w="46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266.6</w:t>
            </w:r>
          </w:p>
        </w:tc>
      </w:tr>
      <w:tr>
        <w:trPr>
          <w:trHeight w:val="20"/>
        </w:trPr>
        <w:tc>
          <w:tcPr>
            <w:tcW w:w="4120" w:type="dxa"/>
            <w:vAlign w:val="bottom"/>
            <w:tcBorders>
              <w:top w:val="single" w:sz="8" w:color="CCEEFF"/>
              <w:bottom w:val="single" w:sz="8" w:color="auto"/>
            </w:tcBorders>
          </w:tcPr>
          <w:p>
            <w:pPr>
              <w:spacing w:after="0" w:line="20" w:lineRule="exact"/>
              <w:rPr>
                <w:sz w:val="1"/>
                <w:szCs w:val="1"/>
                <w:color w:val="auto"/>
              </w:rPr>
            </w:pPr>
          </w:p>
        </w:tc>
        <w:tc>
          <w:tcPr>
            <w:tcW w:w="20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9" w:name="page20"/>
    <w:bookmarkEnd w:id="19"/>
    <w:p>
      <w:pPr>
        <w:ind w:left="340"/>
        <w:spacing w:after="0"/>
        <w:rPr>
          <w:sz w:val="20"/>
          <w:szCs w:val="20"/>
          <w:color w:val="auto"/>
        </w:rPr>
      </w:pPr>
      <w:r>
        <w:rPr>
          <w:rFonts w:ascii="Arial" w:cs="Arial" w:eastAsia="Arial" w:hAnsi="Arial"/>
          <w:sz w:val="16"/>
          <w:szCs w:val="16"/>
          <w:color w:val="auto"/>
        </w:rPr>
        <w:t>The fair values of our commodity contracts measured using Level 3 inputs were not material at June 30, 2020 and December 31, 2019, respectively.</w:t>
      </w:r>
    </w:p>
    <w:p>
      <w:pPr>
        <w:spacing w:after="0" w:line="27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For our derivative contracts, we may enter into master netting, collateral and offset agreements with counterparties. These agreements provide us the ability to offset a counterparty’s rights and obligations, request additional collateral when necessary, or liquidate the collateral in the event of counterparty default. We net the fair value of cash collateral paid or received against fair value amounts recognized for net derivative positions executed with the same counterparty under the same master netting or offset agreement.</w:t>
      </w:r>
    </w:p>
    <w:p>
      <w:pPr>
        <w:spacing w:after="0" w:line="214"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The following tables summarize those derivative balances subject to the right of offset as presented on our Consolidated Balance Sheets as of June 30, 2020 and December 31, 2019. We have elected to offset the recognized fair value amounts for multiple derivative instruments executed with the same counterparty in our financial statements when a legal right of offset exists.</w:t>
      </w:r>
    </w:p>
    <w:p>
      <w:pPr>
        <w:spacing w:after="0" w:line="13"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29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480" w:type="dxa"/>
            <w:vAlign w:val="bottom"/>
            <w:tcBorders>
              <w:bottom w:val="single" w:sz="8" w:color="auto"/>
            </w:tcBorders>
            <w:gridSpan w:val="3"/>
          </w:tcPr>
          <w:p>
            <w:pPr>
              <w:jc w:val="right"/>
              <w:ind w:right="388"/>
              <w:spacing w:after="0"/>
              <w:rPr>
                <w:sz w:val="20"/>
                <w:szCs w:val="20"/>
                <w:color w:val="auto"/>
              </w:rPr>
            </w:pPr>
            <w:r>
              <w:rPr>
                <w:rFonts w:ascii="Arial" w:cs="Arial" w:eastAsia="Arial" w:hAnsi="Arial"/>
                <w:sz w:val="14"/>
                <w:szCs w:val="14"/>
                <w:b w:val="1"/>
                <w:bCs w:val="1"/>
                <w:color w:val="auto"/>
              </w:rPr>
              <w:t>Fair Value as of June 30, 2020</w:t>
            </w: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r>
      <w:tr>
        <w:trPr>
          <w:trHeight w:val="190"/>
        </w:trPr>
        <w:tc>
          <w:tcPr>
            <w:tcW w:w="2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40" w:type="dxa"/>
            <w:vAlign w:val="bottom"/>
          </w:tcPr>
          <w:p>
            <w:pPr>
              <w:jc w:val="center"/>
              <w:ind w:right="48"/>
              <w:spacing w:after="0"/>
              <w:rPr>
                <w:sz w:val="20"/>
                <w:szCs w:val="20"/>
                <w:color w:val="auto"/>
              </w:rPr>
            </w:pPr>
            <w:r>
              <w:rPr>
                <w:rFonts w:ascii="Arial" w:cs="Arial" w:eastAsia="Arial" w:hAnsi="Arial"/>
                <w:sz w:val="14"/>
                <w:szCs w:val="14"/>
                <w:b w:val="1"/>
                <w:bCs w:val="1"/>
                <w:color w:val="auto"/>
                <w:w w:val="89"/>
              </w:rPr>
              <w:t>Gross Amounts</w:t>
            </w:r>
          </w:p>
        </w:tc>
        <w:tc>
          <w:tcPr>
            <w:tcW w:w="280" w:type="dxa"/>
            <w:vAlign w:val="bottom"/>
          </w:tcPr>
          <w:p>
            <w:pPr>
              <w:spacing w:after="0"/>
              <w:rPr>
                <w:sz w:val="16"/>
                <w:szCs w:val="16"/>
                <w:color w:val="auto"/>
              </w:rPr>
            </w:pPr>
          </w:p>
        </w:tc>
        <w:tc>
          <w:tcPr>
            <w:tcW w:w="1080" w:type="dxa"/>
            <w:vAlign w:val="bottom"/>
          </w:tcPr>
          <w:p>
            <w:pPr>
              <w:spacing w:after="0"/>
              <w:rPr>
                <w:sz w:val="16"/>
                <w:szCs w:val="16"/>
                <w:color w:val="auto"/>
              </w:rPr>
            </w:pPr>
          </w:p>
        </w:tc>
      </w:tr>
      <w:tr>
        <w:trPr>
          <w:trHeight w:val="203"/>
        </w:trPr>
        <w:tc>
          <w:tcPr>
            <w:tcW w:w="2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60" w:type="dxa"/>
            <w:vAlign w:val="bottom"/>
          </w:tcPr>
          <w:p>
            <w:pPr>
              <w:jc w:val="center"/>
              <w:ind w:right="28"/>
              <w:spacing w:after="0"/>
              <w:rPr>
                <w:sz w:val="20"/>
                <w:szCs w:val="20"/>
                <w:color w:val="auto"/>
              </w:rPr>
            </w:pPr>
            <w:r>
              <w:rPr>
                <w:rFonts w:ascii="Arial" w:cs="Arial" w:eastAsia="Arial" w:hAnsi="Arial"/>
                <w:sz w:val="14"/>
                <w:szCs w:val="14"/>
                <w:b w:val="1"/>
                <w:bCs w:val="1"/>
                <w:color w:val="auto"/>
                <w:w w:val="89"/>
              </w:rPr>
              <w:t>Gross Amounts</w:t>
            </w:r>
          </w:p>
        </w:tc>
        <w:tc>
          <w:tcPr>
            <w:tcW w:w="260" w:type="dxa"/>
            <w:vAlign w:val="bottom"/>
          </w:tcPr>
          <w:p>
            <w:pPr>
              <w:spacing w:after="0"/>
              <w:rPr>
                <w:sz w:val="17"/>
                <w:szCs w:val="17"/>
                <w:color w:val="auto"/>
              </w:rPr>
            </w:pPr>
          </w:p>
        </w:tc>
        <w:tc>
          <w:tcPr>
            <w:tcW w:w="1160" w:type="dxa"/>
            <w:vAlign w:val="bottom"/>
          </w:tcPr>
          <w:p>
            <w:pPr>
              <w:jc w:val="center"/>
              <w:ind w:right="68"/>
              <w:spacing w:after="0"/>
              <w:rPr>
                <w:sz w:val="20"/>
                <w:szCs w:val="20"/>
                <w:color w:val="auto"/>
              </w:rPr>
            </w:pPr>
            <w:r>
              <w:rPr>
                <w:rFonts w:ascii="Arial" w:cs="Arial" w:eastAsia="Arial" w:hAnsi="Arial"/>
                <w:sz w:val="14"/>
                <w:szCs w:val="14"/>
                <w:b w:val="1"/>
                <w:bCs w:val="1"/>
                <w:color w:val="auto"/>
                <w:w w:val="89"/>
              </w:rPr>
              <w:t>Gross Amounts</w:t>
            </w:r>
          </w:p>
        </w:tc>
        <w:tc>
          <w:tcPr>
            <w:tcW w:w="220" w:type="dxa"/>
            <w:vAlign w:val="bottom"/>
          </w:tcPr>
          <w:p>
            <w:pPr>
              <w:spacing w:after="0"/>
              <w:rPr>
                <w:sz w:val="17"/>
                <w:szCs w:val="17"/>
                <w:color w:val="auto"/>
              </w:rPr>
            </w:pPr>
          </w:p>
        </w:tc>
        <w:tc>
          <w:tcPr>
            <w:tcW w:w="1100" w:type="dxa"/>
            <w:vAlign w:val="bottom"/>
          </w:tcPr>
          <w:p>
            <w:pPr>
              <w:jc w:val="center"/>
              <w:ind w:right="48"/>
              <w:spacing w:after="0"/>
              <w:rPr>
                <w:sz w:val="20"/>
                <w:szCs w:val="20"/>
                <w:color w:val="auto"/>
              </w:rPr>
            </w:pPr>
            <w:r>
              <w:rPr>
                <w:rFonts w:ascii="Arial" w:cs="Arial" w:eastAsia="Arial" w:hAnsi="Arial"/>
                <w:sz w:val="14"/>
                <w:szCs w:val="14"/>
                <w:b w:val="1"/>
                <w:bCs w:val="1"/>
                <w:color w:val="auto"/>
                <w:w w:val="94"/>
              </w:rPr>
              <w:t>Net Amounts</w:t>
            </w:r>
          </w:p>
        </w:tc>
        <w:tc>
          <w:tcPr>
            <w:tcW w:w="320" w:type="dxa"/>
            <w:vAlign w:val="bottom"/>
          </w:tcPr>
          <w:p>
            <w:pPr>
              <w:spacing w:after="0"/>
              <w:rPr>
                <w:sz w:val="17"/>
                <w:szCs w:val="17"/>
                <w:color w:val="auto"/>
              </w:rPr>
            </w:pPr>
          </w:p>
        </w:tc>
        <w:tc>
          <w:tcPr>
            <w:tcW w:w="1060" w:type="dxa"/>
            <w:vAlign w:val="bottom"/>
          </w:tcPr>
          <w:p>
            <w:pPr>
              <w:jc w:val="center"/>
              <w:ind w:right="128"/>
              <w:spacing w:after="0"/>
              <w:rPr>
                <w:sz w:val="20"/>
                <w:szCs w:val="20"/>
                <w:color w:val="auto"/>
              </w:rPr>
            </w:pPr>
            <w:r>
              <w:rPr>
                <w:rFonts w:ascii="Arial" w:cs="Arial" w:eastAsia="Arial" w:hAnsi="Arial"/>
                <w:sz w:val="14"/>
                <w:szCs w:val="14"/>
                <w:b w:val="1"/>
                <w:bCs w:val="1"/>
                <w:color w:val="auto"/>
                <w:w w:val="87"/>
              </w:rPr>
              <w:t>Cash</w:t>
            </w:r>
          </w:p>
        </w:tc>
        <w:tc>
          <w:tcPr>
            <w:tcW w:w="260" w:type="dxa"/>
            <w:vAlign w:val="bottom"/>
          </w:tcPr>
          <w:p>
            <w:pPr>
              <w:spacing w:after="0"/>
              <w:rPr>
                <w:sz w:val="17"/>
                <w:szCs w:val="17"/>
                <w:color w:val="auto"/>
              </w:rPr>
            </w:pPr>
          </w:p>
        </w:tc>
        <w:tc>
          <w:tcPr>
            <w:tcW w:w="1140" w:type="dxa"/>
            <w:vAlign w:val="bottom"/>
          </w:tcPr>
          <w:p>
            <w:pPr>
              <w:jc w:val="center"/>
              <w:ind w:right="8"/>
              <w:spacing w:after="0"/>
              <w:rPr>
                <w:sz w:val="20"/>
                <w:szCs w:val="20"/>
                <w:color w:val="auto"/>
              </w:rPr>
            </w:pPr>
            <w:r>
              <w:rPr>
                <w:rFonts w:ascii="Arial" w:cs="Arial" w:eastAsia="Arial" w:hAnsi="Arial"/>
                <w:sz w:val="14"/>
                <w:szCs w:val="14"/>
                <w:b w:val="1"/>
                <w:bCs w:val="1"/>
                <w:color w:val="auto"/>
                <w:w w:val="92"/>
              </w:rPr>
              <w:t>without</w:t>
            </w: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r>
      <w:tr>
        <w:trPr>
          <w:trHeight w:val="208"/>
        </w:trPr>
        <w:tc>
          <w:tcPr>
            <w:tcW w:w="29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9"/>
              </w:rPr>
              <w:t>Recognized</w:t>
            </w:r>
          </w:p>
        </w:tc>
        <w:tc>
          <w:tcPr>
            <w:tcW w:w="2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3"/>
              </w:rPr>
              <w:t>Offset</w:t>
            </w:r>
          </w:p>
        </w:tc>
        <w:tc>
          <w:tcPr>
            <w:tcW w:w="22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8"/>
              </w:rPr>
              <w:t>Presented</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7"/>
              </w:rPr>
              <w:t>Collateral</w:t>
            </w:r>
          </w:p>
        </w:tc>
        <w:tc>
          <w:tcPr>
            <w:tcW w:w="2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2"/>
              </w:rPr>
              <w:t>Right of Offset</w:t>
            </w:r>
          </w:p>
        </w:tc>
        <w:tc>
          <w:tcPr>
            <w:tcW w:w="28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6"/>
              </w:rPr>
              <w:t>Net Amounts</w:t>
            </w:r>
          </w:p>
        </w:tc>
      </w:tr>
      <w:tr>
        <w:trPr>
          <w:trHeight w:val="202"/>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2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r>
      <w:tr>
        <w:trPr>
          <w:trHeight w:val="197"/>
        </w:trPr>
        <w:tc>
          <w:tcPr>
            <w:tcW w:w="292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692.4</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507.5</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184.9</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68"/>
              <w:spacing w:after="0"/>
              <w:rPr>
                <w:sz w:val="20"/>
                <w:szCs w:val="20"/>
                <w:color w:val="auto"/>
              </w:rPr>
            </w:pPr>
            <w:r>
              <w:rPr>
                <w:rFonts w:ascii="Arial" w:cs="Arial" w:eastAsia="Arial" w:hAnsi="Arial"/>
                <w:sz w:val="14"/>
                <w:szCs w:val="14"/>
                <w:color w:val="auto"/>
              </w:rPr>
              <w:t>7.5</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ind w:left="860"/>
              <w:spacing w:after="0"/>
              <w:rPr>
                <w:sz w:val="20"/>
                <w:szCs w:val="20"/>
                <w:color w:val="auto"/>
              </w:rPr>
            </w:pPr>
            <w:r>
              <w:rPr>
                <w:rFonts w:ascii="Arial" w:cs="Arial" w:eastAsia="Arial" w:hAnsi="Arial"/>
                <w:sz w:val="14"/>
                <w:szCs w:val="14"/>
                <w:color w:val="auto"/>
              </w:rPr>
              <w:t>—</w:t>
            </w:r>
          </w:p>
        </w:tc>
        <w:tc>
          <w:tcPr>
            <w:tcW w:w="28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080" w:type="dxa"/>
            <w:vAlign w:val="bottom"/>
          </w:tcPr>
          <w:p>
            <w:pPr>
              <w:jc w:val="right"/>
              <w:ind w:right="88"/>
              <w:spacing w:after="0"/>
              <w:rPr>
                <w:sz w:val="20"/>
                <w:szCs w:val="20"/>
                <w:color w:val="auto"/>
              </w:rPr>
            </w:pPr>
            <w:r>
              <w:rPr>
                <w:rFonts w:ascii="Arial" w:cs="Arial" w:eastAsia="Arial" w:hAnsi="Arial"/>
                <w:sz w:val="14"/>
                <w:szCs w:val="14"/>
                <w:b w:val="1"/>
                <w:bCs w:val="1"/>
                <w:color w:val="auto"/>
              </w:rPr>
              <w:t>177.4</w:t>
            </w:r>
          </w:p>
        </w:tc>
      </w:tr>
      <w:tr>
        <w:trPr>
          <w:trHeight w:val="208"/>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contract</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ind w:left="86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r>
      <w:tr>
        <w:trPr>
          <w:trHeight w:val="197"/>
        </w:trPr>
        <w:tc>
          <w:tcPr>
            <w:tcW w:w="29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Foreign currency contracts</w:t>
            </w:r>
          </w:p>
        </w:tc>
        <w:tc>
          <w:tcPr>
            <w:tcW w:w="22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2.4</w:t>
            </w:r>
          </w:p>
        </w:tc>
        <w:tc>
          <w:tcPr>
            <w:tcW w:w="26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2.2</w:t>
            </w:r>
          </w:p>
        </w:tc>
        <w:tc>
          <w:tcPr>
            <w:tcW w:w="2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0.3</w:t>
            </w: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0.3</w:t>
            </w:r>
          </w:p>
        </w:tc>
      </w:tr>
      <w:tr>
        <w:trPr>
          <w:trHeight w:val="221"/>
        </w:trPr>
        <w:tc>
          <w:tcPr>
            <w:tcW w:w="29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assets at fair value</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694.8</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509.7</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185.1</w:t>
            </w: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7.5</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177.7</w:t>
            </w:r>
          </w:p>
        </w:tc>
      </w:tr>
      <w:tr>
        <w:trPr>
          <w:trHeight w:val="20"/>
        </w:trPr>
        <w:tc>
          <w:tcPr>
            <w:tcW w:w="2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r>
        <w:trPr>
          <w:trHeight w:val="169"/>
        </w:trPr>
        <w:tc>
          <w:tcPr>
            <w:tcW w:w="2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80" w:type="dxa"/>
            <w:vAlign w:val="bottom"/>
          </w:tcPr>
          <w:p>
            <w:pPr>
              <w:spacing w:after="0"/>
              <w:rPr>
                <w:sz w:val="14"/>
                <w:szCs w:val="14"/>
                <w:color w:val="auto"/>
              </w:rPr>
            </w:pPr>
          </w:p>
        </w:tc>
      </w:tr>
      <w:tr>
        <w:trPr>
          <w:trHeight w:val="203"/>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Liabilities:</w:t>
            </w:r>
          </w:p>
        </w:tc>
        <w:tc>
          <w:tcPr>
            <w:tcW w:w="2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r>
      <w:tr>
        <w:trPr>
          <w:trHeight w:val="196"/>
        </w:trPr>
        <w:tc>
          <w:tcPr>
            <w:tcW w:w="292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623.2</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507.5</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115.7</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68"/>
              <w:spacing w:after="0"/>
              <w:rPr>
                <w:sz w:val="20"/>
                <w:szCs w:val="20"/>
                <w:color w:val="auto"/>
              </w:rPr>
            </w:pPr>
            <w:r>
              <w:rPr>
                <w:rFonts w:ascii="Arial" w:cs="Arial" w:eastAsia="Arial" w:hAnsi="Arial"/>
                <w:sz w:val="14"/>
                <w:szCs w:val="14"/>
                <w:color w:val="auto"/>
              </w:rPr>
              <w:t>19.5</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ind w:left="860"/>
              <w:spacing w:after="0"/>
              <w:rPr>
                <w:sz w:val="20"/>
                <w:szCs w:val="20"/>
                <w:color w:val="auto"/>
              </w:rPr>
            </w:pPr>
            <w:r>
              <w:rPr>
                <w:rFonts w:ascii="Arial" w:cs="Arial" w:eastAsia="Arial" w:hAnsi="Arial"/>
                <w:sz w:val="14"/>
                <w:szCs w:val="14"/>
                <w:color w:val="auto"/>
              </w:rPr>
              <w:t>—</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96.2</w:t>
            </w:r>
          </w:p>
        </w:tc>
      </w:tr>
      <w:tr>
        <w:trPr>
          <w:trHeight w:val="209"/>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contract</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w:t>
            </w: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4.9</w:t>
            </w: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8"/>
                <w:szCs w:val="18"/>
                <w:color w:val="auto"/>
              </w:rPr>
            </w:pPr>
          </w:p>
        </w:tc>
        <w:tc>
          <w:tcPr>
            <w:tcW w:w="1140" w:type="dxa"/>
            <w:vAlign w:val="bottom"/>
            <w:shd w:val="clear" w:color="auto" w:fill="CCEEFF"/>
          </w:tcPr>
          <w:p>
            <w:pPr>
              <w:ind w:left="86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4.9</w:t>
            </w:r>
          </w:p>
        </w:tc>
      </w:tr>
      <w:tr>
        <w:trPr>
          <w:trHeight w:val="196"/>
        </w:trPr>
        <w:tc>
          <w:tcPr>
            <w:tcW w:w="29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Foreign currency contracts</w:t>
            </w:r>
          </w:p>
        </w:tc>
        <w:tc>
          <w:tcPr>
            <w:tcW w:w="22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10.9</w:t>
            </w:r>
          </w:p>
        </w:tc>
        <w:tc>
          <w:tcPr>
            <w:tcW w:w="26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2.2</w:t>
            </w:r>
          </w:p>
        </w:tc>
        <w:tc>
          <w:tcPr>
            <w:tcW w:w="2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8.8</w:t>
            </w: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8.8</w:t>
            </w:r>
          </w:p>
        </w:tc>
      </w:tr>
      <w:tr>
        <w:trPr>
          <w:trHeight w:val="221"/>
        </w:trPr>
        <w:tc>
          <w:tcPr>
            <w:tcW w:w="29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liabilities at fair value</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639.1</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509.7</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129.4</w:t>
            </w: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19.5</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109.9</w:t>
            </w:r>
          </w:p>
        </w:tc>
      </w:tr>
      <w:tr>
        <w:trPr>
          <w:trHeight w:val="20"/>
        </w:trPr>
        <w:tc>
          <w:tcPr>
            <w:tcW w:w="2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2480" w:type="dxa"/>
            <w:vAlign w:val="bottom"/>
            <w:tcBorders>
              <w:top w:val="single" w:sz="8" w:color="CCEEFF"/>
              <w:bottom w:val="single" w:sz="8" w:color="auto"/>
            </w:tcBorders>
            <w:gridSpan w:val="3"/>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r>
        <w:trPr>
          <w:trHeight w:val="473"/>
        </w:trPr>
        <w:tc>
          <w:tcPr>
            <w:tcW w:w="29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80" w:type="dxa"/>
            <w:vAlign w:val="bottom"/>
            <w:tcBorders>
              <w:bottom w:val="single" w:sz="8" w:color="auto"/>
            </w:tcBorders>
            <w:gridSpan w:val="3"/>
          </w:tcPr>
          <w:p>
            <w:pPr>
              <w:jc w:val="right"/>
              <w:ind w:right="228"/>
              <w:spacing w:after="0"/>
              <w:rPr>
                <w:sz w:val="20"/>
                <w:szCs w:val="20"/>
                <w:color w:val="auto"/>
              </w:rPr>
            </w:pPr>
            <w:r>
              <w:rPr>
                <w:rFonts w:ascii="Arial" w:cs="Arial" w:eastAsia="Arial" w:hAnsi="Arial"/>
                <w:sz w:val="14"/>
                <w:szCs w:val="14"/>
                <w:b w:val="1"/>
                <w:bCs w:val="1"/>
                <w:color w:val="auto"/>
                <w:w w:val="92"/>
              </w:rPr>
              <w:t>Fair Value as of December 31, 2019</w:t>
            </w:r>
          </w:p>
        </w:tc>
        <w:tc>
          <w:tcPr>
            <w:tcW w:w="2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r>
      <w:tr>
        <w:trPr>
          <w:trHeight w:val="190"/>
        </w:trPr>
        <w:tc>
          <w:tcPr>
            <w:tcW w:w="2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40" w:type="dxa"/>
            <w:vAlign w:val="bottom"/>
          </w:tcPr>
          <w:p>
            <w:pPr>
              <w:jc w:val="center"/>
              <w:ind w:right="48"/>
              <w:spacing w:after="0"/>
              <w:rPr>
                <w:sz w:val="20"/>
                <w:szCs w:val="20"/>
                <w:color w:val="auto"/>
              </w:rPr>
            </w:pPr>
            <w:r>
              <w:rPr>
                <w:rFonts w:ascii="Arial" w:cs="Arial" w:eastAsia="Arial" w:hAnsi="Arial"/>
                <w:sz w:val="14"/>
                <w:szCs w:val="14"/>
                <w:b w:val="1"/>
                <w:bCs w:val="1"/>
                <w:color w:val="auto"/>
                <w:w w:val="89"/>
              </w:rPr>
              <w:t>Gross Amounts</w:t>
            </w:r>
          </w:p>
        </w:tc>
        <w:tc>
          <w:tcPr>
            <w:tcW w:w="280" w:type="dxa"/>
            <w:vAlign w:val="bottom"/>
          </w:tcPr>
          <w:p>
            <w:pPr>
              <w:spacing w:after="0"/>
              <w:rPr>
                <w:sz w:val="16"/>
                <w:szCs w:val="16"/>
                <w:color w:val="auto"/>
              </w:rPr>
            </w:pPr>
          </w:p>
        </w:tc>
        <w:tc>
          <w:tcPr>
            <w:tcW w:w="1080" w:type="dxa"/>
            <w:vAlign w:val="bottom"/>
          </w:tcPr>
          <w:p>
            <w:pPr>
              <w:spacing w:after="0"/>
              <w:rPr>
                <w:sz w:val="16"/>
                <w:szCs w:val="16"/>
                <w:color w:val="auto"/>
              </w:rPr>
            </w:pPr>
          </w:p>
        </w:tc>
      </w:tr>
      <w:tr>
        <w:trPr>
          <w:trHeight w:val="203"/>
        </w:trPr>
        <w:tc>
          <w:tcPr>
            <w:tcW w:w="2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60" w:type="dxa"/>
            <w:vAlign w:val="bottom"/>
          </w:tcPr>
          <w:p>
            <w:pPr>
              <w:jc w:val="center"/>
              <w:ind w:right="28"/>
              <w:spacing w:after="0"/>
              <w:rPr>
                <w:sz w:val="20"/>
                <w:szCs w:val="20"/>
                <w:color w:val="auto"/>
              </w:rPr>
            </w:pPr>
            <w:r>
              <w:rPr>
                <w:rFonts w:ascii="Arial" w:cs="Arial" w:eastAsia="Arial" w:hAnsi="Arial"/>
                <w:sz w:val="14"/>
                <w:szCs w:val="14"/>
                <w:b w:val="1"/>
                <w:bCs w:val="1"/>
                <w:color w:val="auto"/>
                <w:w w:val="89"/>
              </w:rPr>
              <w:t>Gross Amounts</w:t>
            </w:r>
          </w:p>
        </w:tc>
        <w:tc>
          <w:tcPr>
            <w:tcW w:w="260" w:type="dxa"/>
            <w:vAlign w:val="bottom"/>
          </w:tcPr>
          <w:p>
            <w:pPr>
              <w:spacing w:after="0"/>
              <w:rPr>
                <w:sz w:val="17"/>
                <w:szCs w:val="17"/>
                <w:color w:val="auto"/>
              </w:rPr>
            </w:pPr>
          </w:p>
        </w:tc>
        <w:tc>
          <w:tcPr>
            <w:tcW w:w="1160" w:type="dxa"/>
            <w:vAlign w:val="bottom"/>
          </w:tcPr>
          <w:p>
            <w:pPr>
              <w:jc w:val="center"/>
              <w:ind w:right="68"/>
              <w:spacing w:after="0"/>
              <w:rPr>
                <w:sz w:val="20"/>
                <w:szCs w:val="20"/>
                <w:color w:val="auto"/>
              </w:rPr>
            </w:pPr>
            <w:r>
              <w:rPr>
                <w:rFonts w:ascii="Arial" w:cs="Arial" w:eastAsia="Arial" w:hAnsi="Arial"/>
                <w:sz w:val="14"/>
                <w:szCs w:val="14"/>
                <w:b w:val="1"/>
                <w:bCs w:val="1"/>
                <w:color w:val="auto"/>
                <w:w w:val="89"/>
              </w:rPr>
              <w:t>Gross Amounts</w:t>
            </w:r>
          </w:p>
        </w:tc>
        <w:tc>
          <w:tcPr>
            <w:tcW w:w="220" w:type="dxa"/>
            <w:vAlign w:val="bottom"/>
          </w:tcPr>
          <w:p>
            <w:pPr>
              <w:spacing w:after="0"/>
              <w:rPr>
                <w:sz w:val="17"/>
                <w:szCs w:val="17"/>
                <w:color w:val="auto"/>
              </w:rPr>
            </w:pPr>
          </w:p>
        </w:tc>
        <w:tc>
          <w:tcPr>
            <w:tcW w:w="1100" w:type="dxa"/>
            <w:vAlign w:val="bottom"/>
          </w:tcPr>
          <w:p>
            <w:pPr>
              <w:jc w:val="center"/>
              <w:ind w:right="48"/>
              <w:spacing w:after="0"/>
              <w:rPr>
                <w:sz w:val="20"/>
                <w:szCs w:val="20"/>
                <w:color w:val="auto"/>
              </w:rPr>
            </w:pPr>
            <w:r>
              <w:rPr>
                <w:rFonts w:ascii="Arial" w:cs="Arial" w:eastAsia="Arial" w:hAnsi="Arial"/>
                <w:sz w:val="14"/>
                <w:szCs w:val="14"/>
                <w:b w:val="1"/>
                <w:bCs w:val="1"/>
                <w:color w:val="auto"/>
                <w:w w:val="94"/>
              </w:rPr>
              <w:t>Net Amounts</w:t>
            </w:r>
          </w:p>
        </w:tc>
        <w:tc>
          <w:tcPr>
            <w:tcW w:w="320" w:type="dxa"/>
            <w:vAlign w:val="bottom"/>
          </w:tcPr>
          <w:p>
            <w:pPr>
              <w:spacing w:after="0"/>
              <w:rPr>
                <w:sz w:val="17"/>
                <w:szCs w:val="17"/>
                <w:color w:val="auto"/>
              </w:rPr>
            </w:pPr>
          </w:p>
        </w:tc>
        <w:tc>
          <w:tcPr>
            <w:tcW w:w="1060" w:type="dxa"/>
            <w:vAlign w:val="bottom"/>
          </w:tcPr>
          <w:p>
            <w:pPr>
              <w:jc w:val="center"/>
              <w:ind w:right="128"/>
              <w:spacing w:after="0"/>
              <w:rPr>
                <w:sz w:val="20"/>
                <w:szCs w:val="20"/>
                <w:color w:val="auto"/>
              </w:rPr>
            </w:pPr>
            <w:r>
              <w:rPr>
                <w:rFonts w:ascii="Arial" w:cs="Arial" w:eastAsia="Arial" w:hAnsi="Arial"/>
                <w:sz w:val="14"/>
                <w:szCs w:val="14"/>
                <w:b w:val="1"/>
                <w:bCs w:val="1"/>
                <w:color w:val="auto"/>
                <w:w w:val="87"/>
              </w:rPr>
              <w:t>Cash</w:t>
            </w:r>
          </w:p>
        </w:tc>
        <w:tc>
          <w:tcPr>
            <w:tcW w:w="260" w:type="dxa"/>
            <w:vAlign w:val="bottom"/>
          </w:tcPr>
          <w:p>
            <w:pPr>
              <w:spacing w:after="0"/>
              <w:rPr>
                <w:sz w:val="17"/>
                <w:szCs w:val="17"/>
                <w:color w:val="auto"/>
              </w:rPr>
            </w:pPr>
          </w:p>
        </w:tc>
        <w:tc>
          <w:tcPr>
            <w:tcW w:w="1140" w:type="dxa"/>
            <w:vAlign w:val="bottom"/>
          </w:tcPr>
          <w:p>
            <w:pPr>
              <w:jc w:val="center"/>
              <w:ind w:right="8"/>
              <w:spacing w:after="0"/>
              <w:rPr>
                <w:sz w:val="20"/>
                <w:szCs w:val="20"/>
                <w:color w:val="auto"/>
              </w:rPr>
            </w:pPr>
            <w:r>
              <w:rPr>
                <w:rFonts w:ascii="Arial" w:cs="Arial" w:eastAsia="Arial" w:hAnsi="Arial"/>
                <w:sz w:val="14"/>
                <w:szCs w:val="14"/>
                <w:b w:val="1"/>
                <w:bCs w:val="1"/>
                <w:color w:val="auto"/>
                <w:w w:val="92"/>
              </w:rPr>
              <w:t>without</w:t>
            </w: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r>
      <w:tr>
        <w:trPr>
          <w:trHeight w:val="208"/>
        </w:trPr>
        <w:tc>
          <w:tcPr>
            <w:tcW w:w="29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9"/>
              </w:rPr>
              <w:t>Recognized</w:t>
            </w:r>
          </w:p>
        </w:tc>
        <w:tc>
          <w:tcPr>
            <w:tcW w:w="2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3"/>
              </w:rPr>
              <w:t>Offset</w:t>
            </w:r>
          </w:p>
        </w:tc>
        <w:tc>
          <w:tcPr>
            <w:tcW w:w="22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8"/>
              </w:rPr>
              <w:t>Presented</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7"/>
              </w:rPr>
              <w:t>Collateral</w:t>
            </w:r>
          </w:p>
        </w:tc>
        <w:tc>
          <w:tcPr>
            <w:tcW w:w="2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2"/>
              </w:rPr>
              <w:t>Right of Offset</w:t>
            </w:r>
          </w:p>
        </w:tc>
        <w:tc>
          <w:tcPr>
            <w:tcW w:w="28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6"/>
              </w:rPr>
              <w:t>Net Amounts</w:t>
            </w:r>
          </w:p>
        </w:tc>
      </w:tr>
      <w:tr>
        <w:trPr>
          <w:trHeight w:val="202"/>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2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r>
      <w:tr>
        <w:trPr>
          <w:trHeight w:val="197"/>
        </w:trPr>
        <w:tc>
          <w:tcPr>
            <w:tcW w:w="2920" w:type="dxa"/>
            <w:vAlign w:val="bottom"/>
          </w:tcPr>
          <w:p>
            <w:pPr>
              <w:ind w:left="20"/>
              <w:spacing w:after="0"/>
              <w:rPr>
                <w:sz w:val="20"/>
                <w:szCs w:val="20"/>
                <w:color w:val="auto"/>
              </w:rPr>
            </w:pPr>
            <w:r>
              <w:rPr>
                <w:rFonts w:ascii="Arial" w:cs="Arial" w:eastAsia="Arial" w:hAnsi="Arial"/>
                <w:sz w:val="14"/>
                <w:szCs w:val="14"/>
                <w:color w:val="auto"/>
              </w:rPr>
              <w:t>Commodities contracts</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259.0</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68"/>
              <w:spacing w:after="0"/>
              <w:rPr>
                <w:sz w:val="20"/>
                <w:szCs w:val="20"/>
                <w:color w:val="auto"/>
              </w:rPr>
            </w:pPr>
            <w:r>
              <w:rPr>
                <w:rFonts w:ascii="Arial" w:cs="Arial" w:eastAsia="Arial" w:hAnsi="Arial"/>
                <w:sz w:val="14"/>
                <w:szCs w:val="14"/>
                <w:color w:val="auto"/>
              </w:rPr>
              <w:t>130.0</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68"/>
              <w:spacing w:after="0"/>
              <w:rPr>
                <w:sz w:val="20"/>
                <w:szCs w:val="20"/>
                <w:color w:val="auto"/>
              </w:rPr>
            </w:pPr>
            <w:r>
              <w:rPr>
                <w:rFonts w:ascii="Arial" w:cs="Arial" w:eastAsia="Arial" w:hAnsi="Arial"/>
                <w:sz w:val="14"/>
                <w:szCs w:val="14"/>
                <w:color w:val="auto"/>
              </w:rPr>
              <w:t>129.0</w:t>
            </w:r>
          </w:p>
        </w:tc>
        <w:tc>
          <w:tcPr>
            <w:tcW w:w="3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Pr>
          <w:p>
            <w:pPr>
              <w:jc w:val="right"/>
              <w:spacing w:after="0"/>
              <w:rPr>
                <w:sz w:val="20"/>
                <w:szCs w:val="20"/>
                <w:color w:val="auto"/>
              </w:rPr>
            </w:pPr>
            <w:r>
              <w:rPr>
                <w:rFonts w:ascii="Arial" w:cs="Arial" w:eastAsia="Arial" w:hAnsi="Arial"/>
                <w:sz w:val="14"/>
                <w:szCs w:val="14"/>
                <w:color w:val="auto"/>
              </w:rPr>
              <w:t>$</w:t>
            </w:r>
          </w:p>
        </w:tc>
        <w:tc>
          <w:tcPr>
            <w:tcW w:w="1140" w:type="dxa"/>
            <w:vAlign w:val="bottom"/>
          </w:tcPr>
          <w:p>
            <w:pPr>
              <w:ind w:left="860"/>
              <w:spacing w:after="0"/>
              <w:rPr>
                <w:sz w:val="20"/>
                <w:szCs w:val="20"/>
                <w:color w:val="auto"/>
              </w:rPr>
            </w:pPr>
            <w:r>
              <w:rPr>
                <w:rFonts w:ascii="Arial" w:cs="Arial" w:eastAsia="Arial" w:hAnsi="Arial"/>
                <w:sz w:val="14"/>
                <w:szCs w:val="14"/>
                <w:color w:val="auto"/>
              </w:rPr>
              <w:t>—</w:t>
            </w: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129.0</w:t>
            </w:r>
          </w:p>
        </w:tc>
      </w:tr>
      <w:tr>
        <w:trPr>
          <w:trHeight w:val="202"/>
        </w:trPr>
        <w:tc>
          <w:tcPr>
            <w:tcW w:w="29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Foreign currency contracts</w:t>
            </w:r>
          </w:p>
        </w:tc>
        <w:tc>
          <w:tcPr>
            <w:tcW w:w="220" w:type="dxa"/>
            <w:vAlign w:val="bottom"/>
            <w:tcBorders>
              <w:bottom w:val="single" w:sz="8" w:color="auto"/>
            </w:tcBorders>
            <w:shd w:val="clear" w:color="auto" w:fill="CCEEFF"/>
          </w:tcPr>
          <w:p>
            <w:pPr>
              <w:spacing w:after="0"/>
              <w:rPr>
                <w:sz w:val="17"/>
                <w:szCs w:val="17"/>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w:t>
            </w:r>
          </w:p>
        </w:tc>
        <w:tc>
          <w:tcPr>
            <w:tcW w:w="260" w:type="dxa"/>
            <w:vAlign w:val="bottom"/>
            <w:tcBorders>
              <w:bottom w:val="single" w:sz="8" w:color="auto"/>
            </w:tcBorders>
            <w:shd w:val="clear" w:color="auto" w:fill="CCEEFF"/>
          </w:tcPr>
          <w:p>
            <w:pPr>
              <w:spacing w:after="0"/>
              <w:rPr>
                <w:sz w:val="17"/>
                <w:szCs w:val="17"/>
                <w:color w:val="auto"/>
              </w:rPr>
            </w:pPr>
          </w:p>
        </w:tc>
        <w:tc>
          <w:tcPr>
            <w:tcW w:w="11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w:t>
            </w:r>
          </w:p>
        </w:tc>
        <w:tc>
          <w:tcPr>
            <w:tcW w:w="2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w:t>
            </w:r>
          </w:p>
        </w:tc>
        <w:tc>
          <w:tcPr>
            <w:tcW w:w="32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1.0</w:t>
            </w:r>
          </w:p>
        </w:tc>
      </w:tr>
      <w:tr>
        <w:trPr>
          <w:trHeight w:val="196"/>
        </w:trPr>
        <w:tc>
          <w:tcPr>
            <w:tcW w:w="29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 assets at fair value</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261.1</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131.1</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130.0</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130.0</w:t>
            </w:r>
          </w:p>
        </w:tc>
      </w:tr>
      <w:tr>
        <w:trPr>
          <w:trHeight w:val="20"/>
        </w:trPr>
        <w:tc>
          <w:tcPr>
            <w:tcW w:w="29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r>
        <w:trPr>
          <w:trHeight w:val="243"/>
        </w:trPr>
        <w:tc>
          <w:tcPr>
            <w:tcW w:w="29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1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r>
      <w:tr>
        <w:trPr>
          <w:trHeight w:val="197"/>
        </w:trPr>
        <w:tc>
          <w:tcPr>
            <w:tcW w:w="2920" w:type="dxa"/>
            <w:vAlign w:val="bottom"/>
          </w:tcPr>
          <w:p>
            <w:pPr>
              <w:ind w:left="20"/>
              <w:spacing w:after="0"/>
              <w:rPr>
                <w:sz w:val="20"/>
                <w:szCs w:val="20"/>
                <w:color w:val="auto"/>
              </w:rPr>
            </w:pPr>
            <w:r>
              <w:rPr>
                <w:rFonts w:ascii="Arial" w:cs="Arial" w:eastAsia="Arial" w:hAnsi="Arial"/>
                <w:sz w:val="14"/>
                <w:szCs w:val="14"/>
                <w:b w:val="1"/>
                <w:bCs w:val="1"/>
                <w:color w:val="auto"/>
              </w:rPr>
              <w:t>Liabilities:</w:t>
            </w:r>
          </w:p>
        </w:tc>
        <w:tc>
          <w:tcPr>
            <w:tcW w:w="2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r>
      <w:tr>
        <w:trPr>
          <w:trHeight w:val="208"/>
        </w:trPr>
        <w:tc>
          <w:tcPr>
            <w:tcW w:w="2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Commodities contracts</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255.0</w:t>
            </w: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130.0</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125.0</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29.3</w:t>
            </w: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ind w:left="86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95.7</w:t>
            </w:r>
          </w:p>
        </w:tc>
      </w:tr>
      <w:tr>
        <w:trPr>
          <w:trHeight w:val="197"/>
        </w:trPr>
        <w:tc>
          <w:tcPr>
            <w:tcW w:w="29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Foreign currency contracts</w:t>
            </w:r>
          </w:p>
        </w:tc>
        <w:tc>
          <w:tcPr>
            <w:tcW w:w="22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11.6</w:t>
            </w:r>
          </w:p>
        </w:tc>
        <w:tc>
          <w:tcPr>
            <w:tcW w:w="26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w:t>
            </w:r>
          </w:p>
        </w:tc>
        <w:tc>
          <w:tcPr>
            <w:tcW w:w="2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10.5</w:t>
            </w: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10.5</w:t>
            </w:r>
          </w:p>
        </w:tc>
      </w:tr>
      <w:tr>
        <w:trPr>
          <w:trHeight w:val="221"/>
        </w:trPr>
        <w:tc>
          <w:tcPr>
            <w:tcW w:w="29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Total liabilities at fair value</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266.6</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131.1</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135.5</w:t>
            </w: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29.3</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106.3</w:t>
            </w:r>
          </w:p>
        </w:tc>
      </w:tr>
      <w:tr>
        <w:trPr>
          <w:trHeight w:val="20"/>
        </w:trPr>
        <w:tc>
          <w:tcPr>
            <w:tcW w:w="2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At June 30, 2020 and December 31, 2019, we did not present any amounts gross on our Consolidated Balance Sheets where we had the right of offset.</w:t>
      </w:r>
    </w:p>
    <w:p>
      <w:pPr>
        <w:spacing w:after="0" w:line="244"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Concentration of Credit Risk</w:t>
      </w:r>
    </w:p>
    <w:p>
      <w:pPr>
        <w:spacing w:after="0" w:line="256"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Our individual over-the-counter ("OTC") counterparty exposure is managed within predetermined credit limits and includes the use of cash-call margins when appropriate, thereby reducing the risk of significant nonperformance. At June 30, 2020, one of our counterparties, with an exposure amount of $18.7 million, represented over 10% of our credit exposure to OTC derivative counterparties.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8. Income Taxes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income tax provision and the respective effective income tax rates are as follows (in millions, except for income tax rates):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180" w:type="dxa"/>
            <w:vAlign w:val="bottom"/>
          </w:tcPr>
          <w:p>
            <w:pPr>
              <w:spacing w:after="0"/>
              <w:rPr>
                <w:sz w:val="16"/>
                <w:szCs w:val="16"/>
                <w:color w:val="auto"/>
              </w:rPr>
            </w:pPr>
          </w:p>
        </w:tc>
        <w:tc>
          <w:tcPr>
            <w:tcW w:w="2460" w:type="dxa"/>
            <w:vAlign w:val="bottom"/>
            <w:gridSpan w:val="3"/>
          </w:tcPr>
          <w:p>
            <w:pPr>
              <w:ind w:left="580"/>
              <w:spacing w:after="0"/>
              <w:rPr>
                <w:sz w:val="20"/>
                <w:szCs w:val="20"/>
                <w:color w:val="auto"/>
              </w:rPr>
            </w:pPr>
            <w:r>
              <w:rPr>
                <w:rFonts w:ascii="Arial" w:cs="Arial" w:eastAsia="Arial" w:hAnsi="Arial"/>
                <w:sz w:val="14"/>
                <w:szCs w:val="14"/>
                <w:b w:val="1"/>
                <w:bCs w:val="1"/>
                <w:color w:val="auto"/>
                <w:w w:val="97"/>
              </w:rPr>
              <w:t>For the Three Months Ended</w:t>
            </w:r>
          </w:p>
        </w:tc>
        <w:tc>
          <w:tcPr>
            <w:tcW w:w="3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500" w:type="dxa"/>
            <w:vAlign w:val="bottom"/>
            <w:gridSpan w:val="3"/>
          </w:tcPr>
          <w:p>
            <w:pPr>
              <w:jc w:val="center"/>
              <w:ind w:right="88"/>
              <w:spacing w:after="0"/>
              <w:rPr>
                <w:sz w:val="20"/>
                <w:szCs w:val="20"/>
                <w:color w:val="auto"/>
              </w:rPr>
            </w:pPr>
            <w:r>
              <w:rPr>
                <w:rFonts w:ascii="Arial" w:cs="Arial" w:eastAsia="Arial" w:hAnsi="Arial"/>
                <w:sz w:val="14"/>
                <w:szCs w:val="14"/>
                <w:b w:val="1"/>
                <w:bCs w:val="1"/>
                <w:color w:val="auto"/>
                <w:w w:val="93"/>
              </w:rPr>
              <w:t>For the Six Months Ended</w:t>
            </w:r>
          </w:p>
        </w:tc>
        <w:tc>
          <w:tcPr>
            <w:tcW w:w="160" w:type="dxa"/>
            <w:vAlign w:val="bottom"/>
          </w:tcPr>
          <w:p>
            <w:pPr>
              <w:spacing w:after="0"/>
              <w:rPr>
                <w:sz w:val="16"/>
                <w:szCs w:val="16"/>
                <w:color w:val="auto"/>
              </w:rPr>
            </w:pPr>
          </w:p>
        </w:tc>
      </w:tr>
      <w:tr>
        <w:trPr>
          <w:trHeight w:val="209"/>
        </w:trPr>
        <w:tc>
          <w:tcPr>
            <w:tcW w:w="518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gridSpan w:val="2"/>
          </w:tcPr>
          <w:p>
            <w:pPr>
              <w:jc w:val="right"/>
              <w:ind w:right="648"/>
              <w:spacing w:after="0"/>
              <w:rPr>
                <w:sz w:val="20"/>
                <w:szCs w:val="20"/>
                <w:color w:val="auto"/>
              </w:rPr>
            </w:pPr>
            <w:r>
              <w:rPr>
                <w:rFonts w:ascii="Arial" w:cs="Arial" w:eastAsia="Arial" w:hAnsi="Arial"/>
                <w:sz w:val="14"/>
                <w:szCs w:val="14"/>
                <w:b w:val="1"/>
                <w:bCs w:val="1"/>
                <w:color w:val="auto"/>
              </w:rPr>
              <w:t>June 30,</w:t>
            </w:r>
          </w:p>
        </w:tc>
        <w:tc>
          <w:tcPr>
            <w:tcW w:w="3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gridSpan w:val="2"/>
          </w:tcPr>
          <w:p>
            <w:pPr>
              <w:jc w:val="center"/>
              <w:ind w:left="648"/>
              <w:spacing w:after="0"/>
              <w:rPr>
                <w:sz w:val="20"/>
                <w:szCs w:val="20"/>
                <w:color w:val="auto"/>
              </w:rPr>
            </w:pPr>
            <w:r>
              <w:rPr>
                <w:rFonts w:ascii="Arial" w:cs="Arial" w:eastAsia="Arial" w:hAnsi="Arial"/>
                <w:sz w:val="14"/>
                <w:szCs w:val="14"/>
                <w:b w:val="1"/>
                <w:bCs w:val="1"/>
                <w:color w:val="auto"/>
                <w:w w:val="92"/>
              </w:rPr>
              <w:t>June 30,</w:t>
            </w:r>
          </w:p>
        </w:tc>
        <w:tc>
          <w:tcPr>
            <w:tcW w:w="9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r>
      <w:tr>
        <w:trPr>
          <w:trHeight w:val="196"/>
        </w:trPr>
        <w:tc>
          <w:tcPr>
            <w:tcW w:w="51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rPr>
              <w:t>2020</w:t>
            </w:r>
          </w:p>
        </w:tc>
        <w:tc>
          <w:tcPr>
            <w:tcW w:w="5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2020</w:t>
            </w:r>
          </w:p>
        </w:tc>
        <w:tc>
          <w:tcPr>
            <w:tcW w:w="6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160" w:type="dxa"/>
            <w:vAlign w:val="bottom"/>
            <w:tcBorders>
              <w:bottom w:val="single" w:sz="8" w:color="auto"/>
            </w:tcBorders>
          </w:tcPr>
          <w:p>
            <w:pPr>
              <w:spacing w:after="0"/>
              <w:rPr>
                <w:sz w:val="17"/>
                <w:szCs w:val="17"/>
                <w:color w:val="auto"/>
              </w:rPr>
            </w:pPr>
          </w:p>
        </w:tc>
      </w:tr>
      <w:tr>
        <w:trPr>
          <w:trHeight w:val="221"/>
        </w:trPr>
        <w:tc>
          <w:tcPr>
            <w:tcW w:w="5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Income tax provision</w:t>
            </w:r>
          </w:p>
        </w:tc>
        <w:tc>
          <w:tcPr>
            <w:tcW w:w="920" w:type="dxa"/>
            <w:vAlign w:val="bottom"/>
            <w:tcBorders>
              <w:bottom w:val="single" w:sz="8" w:color="auto"/>
            </w:tcBorders>
            <w:shd w:val="clear" w:color="auto" w:fill="CCEEFF"/>
          </w:tcPr>
          <w:p>
            <w:pPr>
              <w:jc w:val="right"/>
              <w:ind w:right="768"/>
              <w:spacing w:after="0"/>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7.7</w:t>
            </w:r>
          </w:p>
        </w:tc>
        <w:tc>
          <w:tcPr>
            <w:tcW w:w="96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62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23.7</w:t>
            </w:r>
          </w:p>
        </w:tc>
        <w:tc>
          <w:tcPr>
            <w:tcW w:w="66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34.0</w:t>
            </w:r>
          </w:p>
        </w:tc>
        <w:tc>
          <w:tcPr>
            <w:tcW w:w="160" w:type="dxa"/>
            <w:vAlign w:val="bottom"/>
            <w:tcBorders>
              <w:bottom w:val="single" w:sz="8" w:color="auto"/>
            </w:tcBorders>
            <w:shd w:val="clear" w:color="auto" w:fill="CCEEFF"/>
          </w:tcPr>
          <w:p>
            <w:pPr>
              <w:spacing w:after="0"/>
              <w:rPr>
                <w:sz w:val="18"/>
                <w:szCs w:val="18"/>
                <w:color w:val="auto"/>
              </w:rPr>
            </w:pPr>
          </w:p>
        </w:tc>
      </w:tr>
      <w:tr>
        <w:trPr>
          <w:trHeight w:val="20"/>
        </w:trPr>
        <w:tc>
          <w:tcPr>
            <w:tcW w:w="51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r>
      <w:tr>
        <w:trPr>
          <w:trHeight w:val="169"/>
        </w:trPr>
        <w:tc>
          <w:tcPr>
            <w:tcW w:w="51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r>
      <w:tr>
        <w:trPr>
          <w:trHeight w:val="215"/>
        </w:trPr>
        <w:tc>
          <w:tcPr>
            <w:tcW w:w="5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Effective income tax rate</w:t>
            </w:r>
          </w:p>
        </w:tc>
        <w:tc>
          <w:tcPr>
            <w:tcW w:w="92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97"/>
              </w:rPr>
              <w:t>(258) %</w:t>
            </w:r>
          </w:p>
        </w:tc>
        <w:tc>
          <w:tcPr>
            <w:tcW w:w="960" w:type="dxa"/>
            <w:vAlign w:val="bottom"/>
            <w:tcBorders>
              <w:bottom w:val="single" w:sz="8" w:color="auto"/>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w:t>
            </w:r>
          </w:p>
        </w:tc>
        <w:tc>
          <w:tcPr>
            <w:tcW w:w="620" w:type="dxa"/>
            <w:vAlign w:val="bottom"/>
            <w:tcBorders>
              <w:bottom w:val="single" w:sz="8" w:color="auto"/>
            </w:tcBorders>
            <w:shd w:val="clear" w:color="auto" w:fill="CCEEFF"/>
          </w:tcPr>
          <w:p>
            <w:pPr>
              <w:jc w:val="right"/>
              <w:ind w:right="38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660" w:type="dxa"/>
            <w:vAlign w:val="bottom"/>
            <w:tcBorders>
              <w:bottom w:val="single" w:sz="8" w:color="auto"/>
            </w:tcBorders>
            <w:shd w:val="clear" w:color="auto" w:fill="CCEEFF"/>
          </w:tcPr>
          <w:p>
            <w:pPr>
              <w:jc w:val="right"/>
              <w:ind w:right="448"/>
              <w:spacing w:after="0"/>
              <w:rPr>
                <w:sz w:val="20"/>
                <w:szCs w:val="20"/>
                <w:color w:val="auto"/>
              </w:rPr>
            </w:pPr>
            <w:r>
              <w:rPr>
                <w:rFonts w:ascii="Arial" w:cs="Arial" w:eastAsia="Arial" w:hAnsi="Arial"/>
                <w:sz w:val="14"/>
                <w:szCs w:val="14"/>
                <w:color w:val="auto"/>
                <w:w w:val="96"/>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w:t>
            </w:r>
          </w:p>
        </w:tc>
      </w:tr>
      <w:tr>
        <w:trPr>
          <w:trHeight w:val="20"/>
        </w:trPr>
        <w:tc>
          <w:tcPr>
            <w:tcW w:w="51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both"/>
        <w:ind w:firstLine="409"/>
        <w:spacing w:after="0" w:line="286" w:lineRule="auto"/>
        <w:rPr>
          <w:sz w:val="20"/>
          <w:szCs w:val="20"/>
          <w:color w:val="auto"/>
        </w:rPr>
      </w:pPr>
      <w:r>
        <w:rPr>
          <w:rFonts w:ascii="Arial" w:cs="Arial" w:eastAsia="Arial" w:hAnsi="Arial"/>
          <w:sz w:val="17"/>
          <w:szCs w:val="17"/>
          <w:color w:val="auto"/>
        </w:rPr>
        <w:t>Our provision for income taxes for the three months ended June 30, 2020, was $7.7 million, resulting in an effective income tax rate of (258%). The provision includes a net discrete tax expense of $3.4 million for the period related primarily to return to provision adjustments resulting from tax return filings in several foreign jurisdictions. Without the $3.4 million in discrete items, the effective income tax rate would have been (144)%.</w:t>
      </w:r>
    </w:p>
    <w:p>
      <w:pPr>
        <w:spacing w:after="0" w:line="192"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Our provision for income taxes for the three months ended June 30, 2019, was $20.0 million resulting in an effective tax rate of 35%. The provision includes a net discrete income tax expense of $0.8 million for the period. Without the $0.8 million in discrete items, the effective income tax rate would have been 33%.</w:t>
      </w:r>
    </w:p>
    <w:p>
      <w:pPr>
        <w:spacing w:after="0" w:line="211"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Our provision for income taxes for the six months ended June 30, 2020, was $23.7 million, resulting in an effective income tax rate of 43%. The provision includes a net discrete tax expense of $4.4 million for the period related primarily to return to provision adjustments resulting from tax return filings in several foreign jurisdictions. Without the $4.4 million in discrete items, the effective income tax rate would have been 35%.</w:t>
      </w:r>
    </w:p>
    <w:p>
      <w:pPr>
        <w:spacing w:after="0" w:line="192"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Our provision for income taxes for the six months ended June 30, 2019, was $34.0 million resulting in an effective tax rate of 31%. The provision includes a net discrete income tax benefit of $2.0 million for the period. Without the $2.0 million in discrete items, the effective income tax rate would have been 33%.</w:t>
      </w:r>
    </w:p>
    <w:p>
      <w:pPr>
        <w:spacing w:after="0" w:line="211"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Our income tax concession in Singapore, which reduces the income tax rate on qualified sales and derivative gains and losses decreased foreign income taxes by $0.8 million and $0.6 million for the three months ended June 30, 2020 and 2019, respectively. The impact of the income tax concession on basic earnings per common share was $0.01 and $0.01 for the three months ended June 30, 2020 and 2019, respectively and $0.01 and $0.01 on a diluted earnings per common share basis, respectively.</w:t>
      </w:r>
    </w:p>
    <w:p>
      <w:pPr>
        <w:spacing w:after="0" w:line="214"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Our income tax concession decreased foreign income taxes by $2.7 million and $1.5 million for the six months ended June 30, 2020 and 2019, respectively. The impact of the income tax concession on basic earnings per common share was $0.04 and $0.02 for the six months ended June 30, 2020 and 2019, respectively and $0.04 and $0.02 on a diluted earnings per common share basis, respectively.</w:t>
      </w:r>
    </w:p>
    <w:p>
      <w:pPr>
        <w:spacing w:after="0" w:line="211"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Our provision for income taxes for the three and six months ended June 30, 2020 and 2019 was calculated based on the estimated annual effective income tax rate for the 2020 and 2019 fiscal years. The actual effective income tax rate for the 2020 fiscal year may be materially different as a result of differences between estimated versus actual results and the geographic tax jurisdictions in which the results are earned.</w:t>
      </w:r>
    </w:p>
    <w:p>
      <w:pPr>
        <w:spacing w:after="0" w:line="192"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On July 20, 2020, the Internal Revenue Service (“IRS”) released final regulations relating to the high tax exception rules under the global intangible low-tax income ("GILTI") and Subpart F income provisions of the Code which are effective for years beginning after July 23, 2020; however taxpayers may choose to apply the regulations for tax years beginning after December 31, 2017. The company is in the process of reviewing the final regulations and determining the potential impact if any.</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sectPr>
      </w:pPr>
    </w:p>
    <w:bookmarkStart w:id="21" w:name="page22"/>
    <w:bookmarkEnd w:id="21"/>
    <w:p>
      <w:pPr>
        <w:jc w:val="both"/>
        <w:ind w:firstLine="324"/>
        <w:spacing w:after="0" w:line="270" w:lineRule="auto"/>
        <w:rPr>
          <w:sz w:val="20"/>
          <w:szCs w:val="20"/>
          <w:color w:val="auto"/>
        </w:rPr>
      </w:pPr>
      <w:r>
        <w:rPr>
          <w:rFonts w:ascii="Arial" w:cs="Arial" w:eastAsia="Arial" w:hAnsi="Arial"/>
          <w:sz w:val="17"/>
          <w:szCs w:val="17"/>
          <w:color w:val="auto"/>
        </w:rPr>
        <w:t>We have various tax returns under examination both in the U.S. and foreign jurisdictions. The most significant of these are in Denmark for the 2013 to 2015 tax years, South Korea for the 2011 to 2014 tax years, and the U.S. for the 2017 to 2018 tax years. In 2018, one of our subsidiaries in Denmark received an audit inquiry from the Danish tax authorities regarding transfer pricing and other related matters for the tax years 2013 to 2015. In the second quarter 2019, it received a proposed tax adjustment of approximately $1.7 million (DKK 11.2 million) related to the 2013 tax year and on April 30, 2020, it received a proposed tax adjustment of approximately $1.3 million (DKK 8.6 million) related to the 2014 tax year. We are responding to the proposed income adjustments and other information requests from the Danish tax authorities. In 2017, the Korean Branch of one of our subsidiaries received income tax assessment notices for $9.4 million (KRW 11.3 billion) from the South Korea tax authorities. We believe that these assessments are without merit and are currently appealing the actions. On March 11, 2020, the U.S. Internal Revenue Service began the audit of our 2017 and 2018 tax years, and we are currently responding to their information requests.</w:t>
      </w:r>
    </w:p>
    <w:p>
      <w:pPr>
        <w:spacing w:after="0" w:line="208" w:lineRule="exact"/>
        <w:rPr>
          <w:sz w:val="20"/>
          <w:szCs w:val="20"/>
          <w:color w:val="auto"/>
        </w:rPr>
      </w:pPr>
    </w:p>
    <w:p>
      <w:pPr>
        <w:jc w:val="both"/>
        <w:ind w:firstLine="324"/>
        <w:spacing w:after="0" w:line="286" w:lineRule="auto"/>
        <w:rPr>
          <w:sz w:val="20"/>
          <w:szCs w:val="20"/>
          <w:color w:val="auto"/>
        </w:rPr>
      </w:pPr>
      <w:r>
        <w:rPr>
          <w:rFonts w:ascii="Arial" w:cs="Arial" w:eastAsia="Arial" w:hAnsi="Arial"/>
          <w:sz w:val="17"/>
          <w:szCs w:val="17"/>
          <w:color w:val="auto"/>
        </w:rPr>
        <w:t>An unfavorable resolution of one or more of the above matters could have a material adverse effect on our result of operations or cash flows in the quarter or year in which the adjustments are recorded, or the tax is due or paid. As examinations are still in process or have not yet reached the final stages of the appeals process, the timing of the ultimate resolution or payments that may be required cannot be determined at this time.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Revenue from Contracts with Customers</w:t>
      </w:r>
    </w:p>
    <w:p>
      <w:pPr>
        <w:spacing w:after="0" w:line="256" w:lineRule="exact"/>
        <w:rPr>
          <w:sz w:val="20"/>
          <w:szCs w:val="20"/>
          <w:color w:val="auto"/>
        </w:rPr>
      </w:pPr>
    </w:p>
    <w:p>
      <w:pPr>
        <w:jc w:val="both"/>
        <w:ind w:firstLine="454"/>
        <w:spacing w:after="0" w:line="259" w:lineRule="auto"/>
        <w:rPr>
          <w:sz w:val="20"/>
          <w:szCs w:val="20"/>
          <w:color w:val="auto"/>
        </w:rPr>
      </w:pPr>
      <w:r>
        <w:rPr>
          <w:rFonts w:ascii="Arial" w:cs="Arial" w:eastAsia="Arial" w:hAnsi="Arial"/>
          <w:sz w:val="18"/>
          <w:szCs w:val="18"/>
          <w:color w:val="auto"/>
        </w:rPr>
        <w:t>Our contracts with customers primarily require us to deliver fuel and fuel-related products, while other arrangements require us to complete agreed-upon services. Revenue from the sale of fuel is recognized when our customers obtain control of the fuel, which is typically upon delivery of each promised gallon or barrel to an agreed-upon delivery point. We generally recognize revenue for services provided over the contract period when services have been performed based on our right to invoice for those services.</w:t>
      </w:r>
    </w:p>
    <w:p>
      <w:pPr>
        <w:spacing w:after="0" w:line="214" w:lineRule="exact"/>
        <w:rPr>
          <w:sz w:val="20"/>
          <w:szCs w:val="20"/>
          <w:color w:val="auto"/>
        </w:rPr>
      </w:pPr>
    </w:p>
    <w:p>
      <w:pPr>
        <w:jc w:val="both"/>
        <w:ind w:firstLine="511"/>
        <w:spacing w:after="0" w:line="275" w:lineRule="auto"/>
        <w:rPr>
          <w:sz w:val="20"/>
          <w:szCs w:val="20"/>
          <w:color w:val="auto"/>
        </w:rPr>
      </w:pPr>
      <w:r>
        <w:rPr>
          <w:rFonts w:ascii="Arial" w:cs="Arial" w:eastAsia="Arial" w:hAnsi="Arial"/>
          <w:sz w:val="17"/>
          <w:szCs w:val="17"/>
          <w:color w:val="auto"/>
        </w:rPr>
        <w:t>Our contracts may contain fixed or variable pricing (such as market or index-based pricing) or some combination of those. Within our land and aviation segments, contracts with customers may include multi-year sales contracts, which are priced at market-based indices and require minimum volume purchase commitments from our customers. The consideration expected from these contracts is considered variable due to the market-based pricing and the variability is not resolved until delivery is made to our customers. We have elected to apply the optional exemption from estimating and disclosing the variable consideration from our remaining performance obligations under these contracts.</w:t>
      </w:r>
    </w:p>
    <w:p>
      <w:pPr>
        <w:spacing w:after="0" w:line="203" w:lineRule="exact"/>
        <w:rPr>
          <w:sz w:val="20"/>
          <w:szCs w:val="20"/>
          <w:color w:val="auto"/>
        </w:rPr>
      </w:pPr>
    </w:p>
    <w:p>
      <w:pPr>
        <w:jc w:val="both"/>
        <w:ind w:firstLine="508"/>
        <w:spacing w:after="0" w:line="255" w:lineRule="auto"/>
        <w:rPr>
          <w:sz w:val="20"/>
          <w:szCs w:val="20"/>
          <w:color w:val="auto"/>
        </w:rPr>
      </w:pPr>
      <w:r>
        <w:rPr>
          <w:rFonts w:ascii="Arial" w:cs="Arial" w:eastAsia="Arial" w:hAnsi="Arial"/>
          <w:sz w:val="18"/>
          <w:szCs w:val="18"/>
          <w:color w:val="auto"/>
        </w:rPr>
        <w:t>We also have fixed price fuel and fuel-related product sale contracts with a contract term of less than one year (typically one month). For these contracts, we apply the optional exemption to not disclose the amount of transaction price allocated to remaining performance obligations. We also apply this exemption to those contracts in which the right to consideration corresponds directly with the value to the customer of the entity's performance to date. In limited cases, we may have multi-period fixed price contracts. Because our long-term supply arrangements that exceed one year are typically based on market index prices as previously discussed, the transaction price associated with remaining performance obligations under multi-year fixed price fuel sale contracts is not significant.</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2" w:name="page23"/>
    <w:bookmarkEnd w:id="22"/>
    <w:p>
      <w:pPr>
        <w:ind w:firstLine="324"/>
        <w:spacing w:after="0" w:line="277" w:lineRule="auto"/>
        <w:rPr>
          <w:sz w:val="20"/>
          <w:szCs w:val="20"/>
          <w:color w:val="auto"/>
        </w:rPr>
      </w:pPr>
      <w:r>
        <w:rPr>
          <w:rFonts w:ascii="Arial" w:cs="Arial" w:eastAsia="Arial" w:hAnsi="Arial"/>
          <w:sz w:val="18"/>
          <w:szCs w:val="18"/>
          <w:color w:val="auto"/>
        </w:rPr>
        <w:t>The following table presents our revenues from contracts with customers disaggregated by major geographic areas we conduct business in for the three and six months ended June 30, 2020 and 2019 (in millions):</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9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20" w:type="dxa"/>
            <w:vAlign w:val="bottom"/>
            <w:gridSpan w:val="3"/>
          </w:tcPr>
          <w:p>
            <w:pPr>
              <w:jc w:val="right"/>
              <w:ind w:right="308"/>
              <w:spacing w:after="0"/>
              <w:rPr>
                <w:sz w:val="20"/>
                <w:szCs w:val="20"/>
                <w:color w:val="auto"/>
              </w:rPr>
            </w:pPr>
            <w:r>
              <w:rPr>
                <w:rFonts w:ascii="Arial" w:cs="Arial" w:eastAsia="Arial" w:hAnsi="Arial"/>
                <w:sz w:val="14"/>
                <w:szCs w:val="14"/>
                <w:b w:val="1"/>
                <w:bCs w:val="1"/>
                <w:color w:val="auto"/>
              </w:rPr>
              <w:t>For the Three Months Ended</w:t>
            </w:r>
          </w:p>
        </w:tc>
        <w:tc>
          <w:tcPr>
            <w:tcW w:w="380" w:type="dxa"/>
            <w:vAlign w:val="bottom"/>
          </w:tcPr>
          <w:p>
            <w:pPr>
              <w:spacing w:after="0"/>
              <w:rPr>
                <w:sz w:val="16"/>
                <w:szCs w:val="16"/>
                <w:color w:val="auto"/>
              </w:rPr>
            </w:pPr>
          </w:p>
        </w:tc>
        <w:tc>
          <w:tcPr>
            <w:tcW w:w="232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For the Six Months Ended</w:t>
            </w:r>
          </w:p>
        </w:tc>
      </w:tr>
      <w:tr>
        <w:trPr>
          <w:trHeight w:val="208"/>
        </w:trPr>
        <w:tc>
          <w:tcPr>
            <w:tcW w:w="59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18"/>
                <w:szCs w:val="18"/>
                <w:color w:val="auto"/>
              </w:rPr>
            </w:pPr>
          </w:p>
        </w:tc>
      </w:tr>
      <w:tr>
        <w:trPr>
          <w:trHeight w:val="196"/>
        </w:trPr>
        <w:tc>
          <w:tcPr>
            <w:tcW w:w="598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2019</w:t>
            </w:r>
          </w:p>
        </w:tc>
        <w:tc>
          <w:tcPr>
            <w:tcW w:w="3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2019</w:t>
            </w:r>
          </w:p>
        </w:tc>
      </w:tr>
      <w:tr>
        <w:trPr>
          <w:trHeight w:val="202"/>
        </w:trPr>
        <w:tc>
          <w:tcPr>
            <w:tcW w:w="5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103.9</w:t>
            </w:r>
          </w:p>
        </w:tc>
        <w:tc>
          <w:tcPr>
            <w:tcW w:w="4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340.8</w:t>
            </w:r>
          </w:p>
        </w:tc>
        <w:tc>
          <w:tcPr>
            <w:tcW w:w="3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357.9</w:t>
            </w:r>
          </w:p>
        </w:tc>
        <w:tc>
          <w:tcPr>
            <w:tcW w:w="4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705.2</w:t>
            </w:r>
          </w:p>
        </w:tc>
      </w:tr>
      <w:tr>
        <w:trPr>
          <w:trHeight w:val="196"/>
        </w:trPr>
        <w:tc>
          <w:tcPr>
            <w:tcW w:w="5980" w:type="dxa"/>
            <w:vAlign w:val="bottom"/>
          </w:tcPr>
          <w:p>
            <w:pPr>
              <w:ind w:left="20"/>
              <w:spacing w:after="0"/>
              <w:rPr>
                <w:sz w:val="20"/>
                <w:szCs w:val="20"/>
                <w:color w:val="auto"/>
              </w:rPr>
            </w:pPr>
            <w:r>
              <w:rPr>
                <w:rFonts w:ascii="Arial" w:cs="Arial" w:eastAsia="Arial" w:hAnsi="Arial"/>
                <w:sz w:val="14"/>
                <w:szCs w:val="14"/>
                <w:color w:val="auto"/>
              </w:rPr>
              <w:t>Land</w:t>
            </w:r>
          </w:p>
        </w:tc>
        <w:tc>
          <w:tcPr>
            <w:tcW w:w="24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0.8</w:t>
            </w:r>
          </w:p>
        </w:tc>
        <w:tc>
          <w:tcPr>
            <w:tcW w:w="46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4.1</w:t>
            </w:r>
          </w:p>
        </w:tc>
        <w:tc>
          <w:tcPr>
            <w:tcW w:w="380" w:type="dxa"/>
            <w:vAlign w:val="bottom"/>
          </w:tcPr>
          <w:p>
            <w:pPr>
              <w:spacing w:after="0"/>
              <w:rPr>
                <w:sz w:val="17"/>
                <w:szCs w:val="17"/>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5.6</w:t>
            </w:r>
          </w:p>
        </w:tc>
        <w:tc>
          <w:tcPr>
            <w:tcW w:w="48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9.0</w:t>
            </w:r>
          </w:p>
        </w:tc>
      </w:tr>
      <w:tr>
        <w:trPr>
          <w:trHeight w:val="203"/>
        </w:trPr>
        <w:tc>
          <w:tcPr>
            <w:tcW w:w="59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441.0</w:t>
            </w:r>
          </w:p>
        </w:tc>
        <w:tc>
          <w:tcPr>
            <w:tcW w:w="46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719.5</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1,365.7</w:t>
            </w:r>
          </w:p>
        </w:tc>
        <w:tc>
          <w:tcPr>
            <w:tcW w:w="48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1,428.4</w:t>
            </w:r>
          </w:p>
        </w:tc>
      </w:tr>
      <w:tr>
        <w:trPr>
          <w:trHeight w:val="196"/>
        </w:trPr>
        <w:tc>
          <w:tcPr>
            <w:tcW w:w="598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Asia Pacific</w:t>
            </w:r>
          </w:p>
        </w:tc>
        <w:tc>
          <w:tcPr>
            <w:tcW w:w="2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545.8</w:t>
            </w:r>
          </w:p>
        </w:tc>
        <w:tc>
          <w:tcPr>
            <w:tcW w:w="4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1,064.5</w:t>
            </w:r>
          </w:p>
        </w:tc>
        <w:tc>
          <w:tcPr>
            <w:tcW w:w="3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1,729.1</w:t>
            </w:r>
          </w:p>
        </w:tc>
        <w:tc>
          <w:tcPr>
            <w:tcW w:w="4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2,142.6</w:t>
            </w:r>
          </w:p>
        </w:tc>
      </w:tr>
      <w:tr>
        <w:trPr>
          <w:trHeight w:val="202"/>
        </w:trPr>
        <w:tc>
          <w:tcPr>
            <w:tcW w:w="5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r>
      <w:tr>
        <w:trPr>
          <w:trHeight w:val="196"/>
        </w:trPr>
        <w:tc>
          <w:tcPr>
            <w:tcW w:w="5980" w:type="dxa"/>
            <w:vAlign w:val="bottom"/>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157.8</w:t>
            </w:r>
          </w:p>
        </w:tc>
        <w:tc>
          <w:tcPr>
            <w:tcW w:w="46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1,008.8</w:t>
            </w:r>
          </w:p>
        </w:tc>
        <w:tc>
          <w:tcPr>
            <w:tcW w:w="380" w:type="dxa"/>
            <w:vAlign w:val="bottom"/>
          </w:tcPr>
          <w:p>
            <w:pPr>
              <w:spacing w:after="0"/>
              <w:rPr>
                <w:sz w:val="17"/>
                <w:szCs w:val="17"/>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796.6</w:t>
            </w:r>
          </w:p>
        </w:tc>
        <w:tc>
          <w:tcPr>
            <w:tcW w:w="48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1,727.9</w:t>
            </w:r>
          </w:p>
        </w:tc>
      </w:tr>
      <w:tr>
        <w:trPr>
          <w:trHeight w:val="209"/>
        </w:trPr>
        <w:tc>
          <w:tcPr>
            <w:tcW w:w="5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Land</w:t>
            </w: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313.9</w:t>
            </w:r>
          </w:p>
        </w:tc>
        <w:tc>
          <w:tcPr>
            <w:tcW w:w="4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569.7</w:t>
            </w:r>
          </w:p>
        </w:tc>
        <w:tc>
          <w:tcPr>
            <w:tcW w:w="3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932.1</w:t>
            </w:r>
          </w:p>
        </w:tc>
        <w:tc>
          <w:tcPr>
            <w:tcW w:w="48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1,210.2</w:t>
            </w:r>
          </w:p>
        </w:tc>
      </w:tr>
      <w:tr>
        <w:trPr>
          <w:trHeight w:val="196"/>
        </w:trPr>
        <w:tc>
          <w:tcPr>
            <w:tcW w:w="59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285.0</w:t>
            </w:r>
          </w:p>
        </w:tc>
        <w:tc>
          <w:tcPr>
            <w:tcW w:w="4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736.3</w:t>
            </w:r>
          </w:p>
        </w:tc>
        <w:tc>
          <w:tcPr>
            <w:tcW w:w="3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896.2</w:t>
            </w:r>
          </w:p>
        </w:tc>
        <w:tc>
          <w:tcPr>
            <w:tcW w:w="4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1,391.1</w:t>
            </w:r>
          </w:p>
        </w:tc>
      </w:tr>
      <w:tr>
        <w:trPr>
          <w:trHeight w:val="196"/>
        </w:trPr>
        <w:tc>
          <w:tcPr>
            <w:tcW w:w="598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EMEA</w:t>
            </w:r>
          </w:p>
        </w:tc>
        <w:tc>
          <w:tcPr>
            <w:tcW w:w="2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756.7</w:t>
            </w:r>
          </w:p>
        </w:tc>
        <w:tc>
          <w:tcPr>
            <w:tcW w:w="46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2,314.9</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2,625.0</w:t>
            </w:r>
          </w:p>
        </w:tc>
        <w:tc>
          <w:tcPr>
            <w:tcW w:w="48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4,329.2</w:t>
            </w:r>
          </w:p>
        </w:tc>
      </w:tr>
      <w:tr>
        <w:trPr>
          <w:trHeight w:val="202"/>
        </w:trPr>
        <w:tc>
          <w:tcPr>
            <w:tcW w:w="5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03"/>
        </w:trPr>
        <w:tc>
          <w:tcPr>
            <w:tcW w:w="5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77.2</w:t>
            </w:r>
          </w:p>
        </w:tc>
        <w:tc>
          <w:tcPr>
            <w:tcW w:w="460" w:type="dxa"/>
            <w:vAlign w:val="bottom"/>
            <w:shd w:val="clear" w:color="auto" w:fill="CCEEFF"/>
          </w:tcPr>
          <w:p>
            <w:pPr>
              <w:spacing w:after="0"/>
              <w:rPr>
                <w:sz w:val="17"/>
                <w:szCs w:val="17"/>
                <w:color w:val="auto"/>
              </w:rPr>
            </w:pP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614.6</w:t>
            </w: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656.7</w:t>
            </w: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1,160.3</w:t>
            </w:r>
          </w:p>
        </w:tc>
      </w:tr>
      <w:tr>
        <w:trPr>
          <w:trHeight w:val="197"/>
        </w:trPr>
        <w:tc>
          <w:tcPr>
            <w:tcW w:w="5980" w:type="dxa"/>
            <w:vAlign w:val="bottom"/>
          </w:tcPr>
          <w:p>
            <w:pPr>
              <w:ind w:left="20"/>
              <w:spacing w:after="0"/>
              <w:rPr>
                <w:sz w:val="20"/>
                <w:szCs w:val="20"/>
                <w:color w:val="auto"/>
              </w:rPr>
            </w:pPr>
            <w:r>
              <w:rPr>
                <w:rFonts w:ascii="Arial" w:cs="Arial" w:eastAsia="Arial" w:hAnsi="Arial"/>
                <w:sz w:val="14"/>
                <w:szCs w:val="14"/>
                <w:color w:val="auto"/>
              </w:rPr>
              <w:t>Land</w:t>
            </w:r>
          </w:p>
        </w:tc>
        <w:tc>
          <w:tcPr>
            <w:tcW w:w="24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76.4</w:t>
            </w:r>
          </w:p>
        </w:tc>
        <w:tc>
          <w:tcPr>
            <w:tcW w:w="46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149.6</w:t>
            </w:r>
          </w:p>
        </w:tc>
        <w:tc>
          <w:tcPr>
            <w:tcW w:w="380" w:type="dxa"/>
            <w:vAlign w:val="bottom"/>
          </w:tcPr>
          <w:p>
            <w:pPr>
              <w:spacing w:after="0"/>
              <w:rPr>
                <w:sz w:val="17"/>
                <w:szCs w:val="17"/>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206.8</w:t>
            </w:r>
          </w:p>
        </w:tc>
        <w:tc>
          <w:tcPr>
            <w:tcW w:w="48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288.5</w:t>
            </w:r>
          </w:p>
        </w:tc>
      </w:tr>
      <w:tr>
        <w:trPr>
          <w:trHeight w:val="203"/>
        </w:trPr>
        <w:tc>
          <w:tcPr>
            <w:tcW w:w="59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83.1</w:t>
            </w:r>
          </w:p>
        </w:tc>
        <w:tc>
          <w:tcPr>
            <w:tcW w:w="46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143.4</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316.4</w:t>
            </w:r>
          </w:p>
        </w:tc>
        <w:tc>
          <w:tcPr>
            <w:tcW w:w="48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334.9</w:t>
            </w:r>
          </w:p>
        </w:tc>
      </w:tr>
      <w:tr>
        <w:trPr>
          <w:trHeight w:val="196"/>
        </w:trPr>
        <w:tc>
          <w:tcPr>
            <w:tcW w:w="598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LATAM</w:t>
            </w:r>
          </w:p>
        </w:tc>
        <w:tc>
          <w:tcPr>
            <w:tcW w:w="2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236.7</w:t>
            </w:r>
          </w:p>
        </w:tc>
        <w:tc>
          <w:tcPr>
            <w:tcW w:w="4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907.6</w:t>
            </w:r>
          </w:p>
        </w:tc>
        <w:tc>
          <w:tcPr>
            <w:tcW w:w="3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1,179.9</w:t>
            </w:r>
          </w:p>
        </w:tc>
        <w:tc>
          <w:tcPr>
            <w:tcW w:w="4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1,783.7</w:t>
            </w:r>
          </w:p>
        </w:tc>
      </w:tr>
      <w:tr>
        <w:trPr>
          <w:trHeight w:val="202"/>
        </w:trPr>
        <w:tc>
          <w:tcPr>
            <w:tcW w:w="59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r>
      <w:tr>
        <w:trPr>
          <w:trHeight w:val="197"/>
        </w:trPr>
        <w:tc>
          <w:tcPr>
            <w:tcW w:w="5980" w:type="dxa"/>
            <w:vAlign w:val="bottom"/>
          </w:tcPr>
          <w:p>
            <w:pPr>
              <w:ind w:left="20"/>
              <w:spacing w:after="0"/>
              <w:rPr>
                <w:sz w:val="20"/>
                <w:szCs w:val="20"/>
                <w:color w:val="auto"/>
              </w:rPr>
            </w:pPr>
            <w:r>
              <w:rPr>
                <w:rFonts w:ascii="Arial" w:cs="Arial" w:eastAsia="Arial" w:hAnsi="Arial"/>
                <w:sz w:val="14"/>
                <w:szCs w:val="14"/>
                <w:color w:val="auto"/>
              </w:rPr>
              <w:t>Aviation</w:t>
            </w:r>
          </w:p>
        </w:tc>
        <w:tc>
          <w:tcPr>
            <w:tcW w:w="24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500.6</w:t>
            </w:r>
          </w:p>
        </w:tc>
        <w:tc>
          <w:tcPr>
            <w:tcW w:w="46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2,828.5</w:t>
            </w:r>
          </w:p>
        </w:tc>
        <w:tc>
          <w:tcPr>
            <w:tcW w:w="380" w:type="dxa"/>
            <w:vAlign w:val="bottom"/>
          </w:tcPr>
          <w:p>
            <w:pPr>
              <w:spacing w:after="0"/>
              <w:rPr>
                <w:sz w:val="17"/>
                <w:szCs w:val="17"/>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2,607.1</w:t>
            </w:r>
          </w:p>
        </w:tc>
        <w:tc>
          <w:tcPr>
            <w:tcW w:w="48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5,476.5</w:t>
            </w:r>
          </w:p>
        </w:tc>
      </w:tr>
      <w:tr>
        <w:trPr>
          <w:trHeight w:val="208"/>
        </w:trPr>
        <w:tc>
          <w:tcPr>
            <w:tcW w:w="5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Land</w:t>
            </w: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804.9</w:t>
            </w:r>
          </w:p>
        </w:tc>
        <w:tc>
          <w:tcPr>
            <w:tcW w:w="46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1,884.6</w:t>
            </w:r>
          </w:p>
        </w:tc>
        <w:tc>
          <w:tcPr>
            <w:tcW w:w="3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2,134.2</w:t>
            </w:r>
          </w:p>
        </w:tc>
        <w:tc>
          <w:tcPr>
            <w:tcW w:w="48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3,519.0</w:t>
            </w:r>
          </w:p>
        </w:tc>
      </w:tr>
      <w:tr>
        <w:trPr>
          <w:trHeight w:val="197"/>
        </w:trPr>
        <w:tc>
          <w:tcPr>
            <w:tcW w:w="59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Marine</w:t>
            </w:r>
          </w:p>
        </w:tc>
        <w:tc>
          <w:tcPr>
            <w:tcW w:w="2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134.2</w:t>
            </w:r>
          </w:p>
        </w:tc>
        <w:tc>
          <w:tcPr>
            <w:tcW w:w="4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347.9</w:t>
            </w:r>
          </w:p>
        </w:tc>
        <w:tc>
          <w:tcPr>
            <w:tcW w:w="3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476.4</w:t>
            </w:r>
          </w:p>
        </w:tc>
        <w:tc>
          <w:tcPr>
            <w:tcW w:w="4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682.4</w:t>
            </w:r>
          </w:p>
        </w:tc>
      </w:tr>
      <w:tr>
        <w:trPr>
          <w:trHeight w:val="196"/>
        </w:trPr>
        <w:tc>
          <w:tcPr>
            <w:tcW w:w="598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North America</w:t>
            </w:r>
          </w:p>
        </w:tc>
        <w:tc>
          <w:tcPr>
            <w:tcW w:w="2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1,439.7</w:t>
            </w:r>
          </w:p>
        </w:tc>
        <w:tc>
          <w:tcPr>
            <w:tcW w:w="46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5,061.0</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5,217.7</w:t>
            </w:r>
          </w:p>
        </w:tc>
        <w:tc>
          <w:tcPr>
            <w:tcW w:w="48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9,677.9</w:t>
            </w:r>
          </w:p>
        </w:tc>
      </w:tr>
      <w:tr>
        <w:trPr>
          <w:trHeight w:val="202"/>
        </w:trPr>
        <w:tc>
          <w:tcPr>
            <w:tcW w:w="5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03"/>
        </w:trPr>
        <w:tc>
          <w:tcPr>
            <w:tcW w:w="5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Other revenues (excluded from ASC 606) </w:t>
            </w:r>
            <w:r>
              <w:rPr>
                <w:rFonts w:ascii="Arial" w:cs="Arial" w:eastAsia="Arial" w:hAnsi="Arial"/>
                <w:sz w:val="9"/>
                <w:szCs w:val="9"/>
                <w:color w:val="auto"/>
              </w:rPr>
              <w:t>(1)</w:t>
            </w:r>
          </w:p>
        </w:tc>
        <w:tc>
          <w:tcPr>
            <w:tcW w:w="240" w:type="dxa"/>
            <w:vAlign w:val="bottom"/>
            <w:shd w:val="clear" w:color="auto" w:fill="CCEEFF"/>
          </w:tcPr>
          <w:p>
            <w:pPr>
              <w:spacing w:after="0"/>
              <w:rPr>
                <w:sz w:val="17"/>
                <w:szCs w:val="17"/>
                <w:color w:val="auto"/>
              </w:rPr>
            </w:pP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179.6</w:t>
            </w:r>
          </w:p>
        </w:tc>
        <w:tc>
          <w:tcPr>
            <w:tcW w:w="460" w:type="dxa"/>
            <w:vAlign w:val="bottom"/>
            <w:shd w:val="clear" w:color="auto" w:fill="CCEEFF"/>
          </w:tcPr>
          <w:p>
            <w:pPr>
              <w:spacing w:after="0"/>
              <w:rPr>
                <w:sz w:val="17"/>
                <w:szCs w:val="17"/>
                <w:color w:val="auto"/>
              </w:rPr>
            </w:pP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111.3</w:t>
            </w: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421.9</w:t>
            </w: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204.8</w:t>
            </w:r>
          </w:p>
        </w:tc>
      </w:tr>
      <w:tr>
        <w:trPr>
          <w:trHeight w:val="216"/>
        </w:trPr>
        <w:tc>
          <w:tcPr>
            <w:tcW w:w="598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r>
      <w:tr>
        <w:trPr>
          <w:trHeight w:val="215"/>
        </w:trPr>
        <w:tc>
          <w:tcPr>
            <w:tcW w:w="5980" w:type="dxa"/>
            <w:vAlign w:val="bottom"/>
            <w:tcBorders>
              <w:bottom w:val="single" w:sz="8" w:color="auto"/>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3,158.3</w:t>
            </w:r>
          </w:p>
        </w:tc>
        <w:tc>
          <w:tcPr>
            <w:tcW w:w="4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9,459.4</w:t>
            </w:r>
          </w:p>
        </w:tc>
        <w:tc>
          <w:tcPr>
            <w:tcW w:w="3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11,173.5</w:t>
            </w:r>
          </w:p>
        </w:tc>
        <w:tc>
          <w:tcPr>
            <w:tcW w:w="4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18,138.2</w:t>
            </w:r>
          </w:p>
        </w:tc>
      </w:tr>
      <w:tr>
        <w:trPr>
          <w:trHeight w:val="20"/>
        </w:trPr>
        <w:tc>
          <w:tcPr>
            <w:tcW w:w="598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left="440" w:hanging="144"/>
        <w:spacing w:after="0"/>
        <w:tabs>
          <w:tab w:leader="none" w:pos="440" w:val="left"/>
        </w:tabs>
        <w:numPr>
          <w:ilvl w:val="0"/>
          <w:numId w:val="6"/>
        </w:numPr>
        <w:rPr>
          <w:rFonts w:ascii="Arial" w:cs="Arial" w:eastAsia="Arial" w:hAnsi="Arial"/>
          <w:sz w:val="9"/>
          <w:szCs w:val="9"/>
          <w:color w:val="auto"/>
        </w:rPr>
      </w:pPr>
      <w:r>
        <w:rPr>
          <w:rFonts w:ascii="Arial" w:cs="Arial" w:eastAsia="Arial" w:hAnsi="Arial"/>
          <w:sz w:val="14"/>
          <w:szCs w:val="14"/>
          <w:color w:val="auto"/>
        </w:rPr>
        <w:t>Includes revenue from leases and other transactions that we account for under separate guidance.</w:t>
      </w:r>
    </w:p>
    <w:p>
      <w:pPr>
        <w:spacing w:after="0" w:line="248"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The nature of the receivables related to revenue from contracts with customers and Other revenues (excluded from ASC 606) are substantially similar, as they are both generated from transactions with the same type of counterparties (e.g., separate fuel sales and storage lease with the same counterparty) and are entered into utilizing the same credit approval and monitoring procedures for all customers. As such, we believe the risk associated with the cash flows from the different types of receivables is not meaningful to separately disaggregate the accounts receivable balance presented on our Consolidated Balance Sheet. Furthermore, as of June 30, 2020 and December 31, 2019, the contract assets and contract liabilities recognized by the Company were not material.</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Business Segments</w:t>
      </w:r>
    </w:p>
    <w:p>
      <w:pPr>
        <w:spacing w:after="0" w:line="229"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operate in three reportable segments consisting of aviation, land and marine. Corporate expenses are allocated to the segments based on usage, where possible, or on other factors according to the nature of the activity. Our operating segments are determined based on the different markets in which we provide products and services, which are defined primarily by the customers and the products and services provided to those customers. Accordingly, our aviation, land and marine segments are organized based on the specific markets their functional business components serve, which are primarily businesses and governmental customers operating in those respective markets.</w:t>
      </w:r>
    </w:p>
    <w:p>
      <w:pPr>
        <w:spacing w:after="0" w:line="21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In our aviation segment, we offer fuel and related products and services to major commercial airlines, second and third-tier airlines, cargo carriers, regional and low cost carriers, airports, fixed based operators, corporate fleets, fractional operators, private aircraft. In addition, we supply products and services to U.S. and foreign government, intergovernmental and military customers, such as the North Atlantic Treaty Organization (NATO) and the U.S. Defense Logistics Agency.</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3" w:name="page24"/>
    <w:bookmarkEnd w:id="23"/>
    <w:p>
      <w:pPr>
        <w:jc w:val="both"/>
        <w:ind w:firstLine="324"/>
        <w:spacing w:after="0" w:line="263" w:lineRule="auto"/>
        <w:rPr>
          <w:sz w:val="20"/>
          <w:szCs w:val="20"/>
          <w:color w:val="auto"/>
        </w:rPr>
      </w:pPr>
      <w:r>
        <w:rPr>
          <w:rFonts w:ascii="Arial" w:cs="Arial" w:eastAsia="Arial" w:hAnsi="Arial"/>
          <w:sz w:val="18"/>
          <w:szCs w:val="18"/>
          <w:color w:val="auto"/>
        </w:rPr>
        <w:t>In our land segment, we offer fuel, lubricants, power and natural gas solutions through World Kinect global energy management brand, our energy management services platform, and related products and services to customers including petroleum distributors operating in the land transportation market, retail petroleum operators, and industrial, commercial, residential and government customers.</w:t>
      </w:r>
    </w:p>
    <w:p>
      <w:pPr>
        <w:spacing w:after="0" w:line="211" w:lineRule="exact"/>
        <w:rPr>
          <w:sz w:val="20"/>
          <w:szCs w:val="20"/>
          <w:color w:val="auto"/>
        </w:rPr>
      </w:pPr>
    </w:p>
    <w:p>
      <w:pPr>
        <w:jc w:val="both"/>
        <w:ind w:right="20" w:firstLine="324"/>
        <w:spacing w:after="0" w:line="263" w:lineRule="auto"/>
        <w:rPr>
          <w:sz w:val="20"/>
          <w:szCs w:val="20"/>
          <w:color w:val="auto"/>
        </w:rPr>
      </w:pPr>
      <w:r>
        <w:rPr>
          <w:rFonts w:ascii="Arial" w:cs="Arial" w:eastAsia="Arial" w:hAnsi="Arial"/>
          <w:sz w:val="18"/>
          <w:szCs w:val="18"/>
          <w:color w:val="auto"/>
        </w:rPr>
        <w:t>Our marine segment product and service offerings include fuel, lubricants and related products and services to a broad base of customers, including international container and tanker fleets, commercial cruise lines, yachts and time charter operators, offshore rig owners and operators, the U.S. and foreign governments as well as other fuel suppliers.</w:t>
      </w:r>
    </w:p>
    <w:p>
      <w:pPr>
        <w:spacing w:after="0" w:line="211"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Within each of our segments, we may enter into derivative contracts to mitigate the risk of market price fluctuations and also to offer our customers fuel pricing alternatives to meet their needs.</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Information concerning our revenue, gross profit and income from operations by reportable segment is as follows for the three and six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2020 and 2019 (in millions):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60" w:type="dxa"/>
            <w:vAlign w:val="bottom"/>
          </w:tcPr>
          <w:p>
            <w:pPr>
              <w:spacing w:after="0"/>
              <w:rPr>
                <w:sz w:val="16"/>
                <w:szCs w:val="16"/>
                <w:color w:val="auto"/>
              </w:rPr>
            </w:pPr>
          </w:p>
        </w:tc>
        <w:tc>
          <w:tcPr>
            <w:tcW w:w="2220" w:type="dxa"/>
            <w:vAlign w:val="bottom"/>
          </w:tcPr>
          <w:p>
            <w:pPr>
              <w:spacing w:after="0"/>
              <w:rPr>
                <w:sz w:val="16"/>
                <w:szCs w:val="16"/>
                <w:color w:val="auto"/>
              </w:rPr>
            </w:pPr>
          </w:p>
        </w:tc>
        <w:tc>
          <w:tcPr>
            <w:tcW w:w="2320" w:type="dxa"/>
            <w:vAlign w:val="bottom"/>
            <w:gridSpan w:val="3"/>
          </w:tcPr>
          <w:p>
            <w:pPr>
              <w:jc w:val="right"/>
              <w:ind w:right="308"/>
              <w:spacing w:after="0"/>
              <w:rPr>
                <w:sz w:val="20"/>
                <w:szCs w:val="20"/>
                <w:color w:val="auto"/>
              </w:rPr>
            </w:pPr>
            <w:r>
              <w:rPr>
                <w:rFonts w:ascii="Arial" w:cs="Arial" w:eastAsia="Arial" w:hAnsi="Arial"/>
                <w:sz w:val="14"/>
                <w:szCs w:val="14"/>
                <w:b w:val="1"/>
                <w:bCs w:val="1"/>
                <w:color w:val="auto"/>
              </w:rPr>
              <w:t>For the Three Months Ended</w:t>
            </w:r>
          </w:p>
        </w:tc>
        <w:tc>
          <w:tcPr>
            <w:tcW w:w="380" w:type="dxa"/>
            <w:vAlign w:val="bottom"/>
          </w:tcPr>
          <w:p>
            <w:pPr>
              <w:spacing w:after="0"/>
              <w:rPr>
                <w:sz w:val="16"/>
                <w:szCs w:val="16"/>
                <w:color w:val="auto"/>
              </w:rPr>
            </w:pPr>
          </w:p>
        </w:tc>
        <w:tc>
          <w:tcPr>
            <w:tcW w:w="2260" w:type="dxa"/>
            <w:vAlign w:val="bottom"/>
            <w:gridSpan w:val="3"/>
          </w:tcPr>
          <w:p>
            <w:pPr>
              <w:jc w:val="right"/>
              <w:ind w:right="388"/>
              <w:spacing w:after="0"/>
              <w:rPr>
                <w:sz w:val="20"/>
                <w:szCs w:val="20"/>
                <w:color w:val="auto"/>
              </w:rPr>
            </w:pPr>
            <w:r>
              <w:rPr>
                <w:rFonts w:ascii="Arial" w:cs="Arial" w:eastAsia="Arial" w:hAnsi="Arial"/>
                <w:sz w:val="14"/>
                <w:szCs w:val="14"/>
                <w:b w:val="1"/>
                <w:bCs w:val="1"/>
                <w:color w:val="auto"/>
              </w:rPr>
              <w:t>For the Six Months Ended</w:t>
            </w:r>
          </w:p>
        </w:tc>
      </w:tr>
      <w:tr>
        <w:trPr>
          <w:trHeight w:val="208"/>
        </w:trPr>
        <w:tc>
          <w:tcPr>
            <w:tcW w:w="4060" w:type="dxa"/>
            <w:vAlign w:val="bottom"/>
            <w:tcBorders>
              <w:bottom w:val="single" w:sz="8" w:color="auto"/>
            </w:tcBorders>
          </w:tcPr>
          <w:p>
            <w:pPr>
              <w:spacing w:after="0"/>
              <w:rPr>
                <w:sz w:val="18"/>
                <w:szCs w:val="18"/>
                <w:color w:val="auto"/>
              </w:rPr>
            </w:pPr>
          </w:p>
        </w:tc>
        <w:tc>
          <w:tcPr>
            <w:tcW w:w="222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9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18"/>
                <w:szCs w:val="18"/>
                <w:color w:val="auto"/>
              </w:rPr>
            </w:pPr>
          </w:p>
        </w:tc>
      </w:tr>
      <w:tr>
        <w:trPr>
          <w:trHeight w:val="196"/>
        </w:trPr>
        <w:tc>
          <w:tcPr>
            <w:tcW w:w="40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Revenue:</w:t>
            </w:r>
          </w:p>
        </w:tc>
        <w:tc>
          <w:tcPr>
            <w:tcW w:w="22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2019</w:t>
            </w:r>
          </w:p>
        </w:tc>
        <w:tc>
          <w:tcPr>
            <w:tcW w:w="3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r>
      <w:tr>
        <w:trPr>
          <w:trHeight w:val="202"/>
        </w:trPr>
        <w:tc>
          <w:tcPr>
            <w:tcW w:w="40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Aviation segment</w:t>
            </w:r>
          </w:p>
        </w:tc>
        <w:tc>
          <w:tcPr>
            <w:tcW w:w="2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1,020.6</w:t>
            </w:r>
          </w:p>
        </w:tc>
        <w:tc>
          <w:tcPr>
            <w:tcW w:w="4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4,785.0</w:t>
            </w:r>
          </w:p>
        </w:tc>
        <w:tc>
          <w:tcPr>
            <w:tcW w:w="3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4,784.8</w:t>
            </w:r>
          </w:p>
        </w:tc>
        <w:tc>
          <w:tcPr>
            <w:tcW w:w="4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9,037.7</w:t>
            </w:r>
          </w:p>
        </w:tc>
      </w:tr>
      <w:tr>
        <w:trPr>
          <w:trHeight w:val="197"/>
        </w:trPr>
        <w:tc>
          <w:tcPr>
            <w:tcW w:w="4060" w:type="dxa"/>
            <w:vAlign w:val="bottom"/>
          </w:tcPr>
          <w:p>
            <w:pPr>
              <w:ind w:left="120"/>
              <w:spacing w:after="0"/>
              <w:rPr>
                <w:sz w:val="20"/>
                <w:szCs w:val="20"/>
                <w:color w:val="auto"/>
              </w:rPr>
            </w:pPr>
            <w:r>
              <w:rPr>
                <w:rFonts w:ascii="Arial" w:cs="Arial" w:eastAsia="Arial" w:hAnsi="Arial"/>
                <w:sz w:val="14"/>
                <w:szCs w:val="14"/>
                <w:color w:val="auto"/>
              </w:rPr>
              <w:t>Land segment</w:t>
            </w:r>
          </w:p>
        </w:tc>
        <w:tc>
          <w:tcPr>
            <w:tcW w:w="222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1,197.6</w:t>
            </w:r>
          </w:p>
        </w:tc>
        <w:tc>
          <w:tcPr>
            <w:tcW w:w="44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2,663.0</w:t>
            </w:r>
          </w:p>
        </w:tc>
        <w:tc>
          <w:tcPr>
            <w:tcW w:w="38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3,303.6</w:t>
            </w:r>
          </w:p>
        </w:tc>
        <w:tc>
          <w:tcPr>
            <w:tcW w:w="44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5,156.6</w:t>
            </w:r>
          </w:p>
        </w:tc>
      </w:tr>
      <w:tr>
        <w:trPr>
          <w:trHeight w:val="203"/>
        </w:trPr>
        <w:tc>
          <w:tcPr>
            <w:tcW w:w="406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Marine segment</w:t>
            </w:r>
          </w:p>
        </w:tc>
        <w:tc>
          <w:tcPr>
            <w:tcW w:w="22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940.2</w:t>
            </w:r>
          </w:p>
        </w:tc>
        <w:tc>
          <w:tcPr>
            <w:tcW w:w="4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2,011.4</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3,085.2</w:t>
            </w:r>
          </w:p>
        </w:tc>
        <w:tc>
          <w:tcPr>
            <w:tcW w:w="4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3,943.9</w:t>
            </w:r>
          </w:p>
        </w:tc>
      </w:tr>
      <w:tr>
        <w:trPr>
          <w:trHeight w:val="196"/>
        </w:trPr>
        <w:tc>
          <w:tcPr>
            <w:tcW w:w="4060" w:type="dxa"/>
            <w:vAlign w:val="bottom"/>
            <w:tcBorders>
              <w:bottom w:val="single" w:sz="8" w:color="auto"/>
            </w:tcBorders>
          </w:tcPr>
          <w:p>
            <w:pPr>
              <w:spacing w:after="0"/>
              <w:rPr>
                <w:sz w:val="17"/>
                <w:szCs w:val="17"/>
                <w:color w:val="auto"/>
              </w:rPr>
            </w:pPr>
          </w:p>
        </w:tc>
        <w:tc>
          <w:tcPr>
            <w:tcW w:w="2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3,158.3</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9,459.4</w:t>
            </w:r>
          </w:p>
        </w:tc>
        <w:tc>
          <w:tcPr>
            <w:tcW w:w="3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11,173.5</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18,138.2</w:t>
            </w:r>
          </w:p>
        </w:tc>
      </w:tr>
      <w:tr>
        <w:trPr>
          <w:trHeight w:val="20"/>
        </w:trPr>
        <w:tc>
          <w:tcPr>
            <w:tcW w:w="4060" w:type="dxa"/>
            <w:vAlign w:val="bottom"/>
            <w:tcBorders>
              <w:bottom w:val="single" w:sz="8" w:color="auto"/>
            </w:tcBorders>
          </w:tcPr>
          <w:p>
            <w:pPr>
              <w:spacing w:after="0" w:line="20" w:lineRule="exact"/>
              <w:rPr>
                <w:sz w:val="1"/>
                <w:szCs w:val="1"/>
                <w:color w:val="auto"/>
              </w:rPr>
            </w:pPr>
          </w:p>
        </w:tc>
        <w:tc>
          <w:tcPr>
            <w:tcW w:w="2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43"/>
        </w:trPr>
        <w:tc>
          <w:tcPr>
            <w:tcW w:w="4060" w:type="dxa"/>
            <w:vAlign w:val="bottom"/>
            <w:shd w:val="clear" w:color="auto" w:fill="CCEEFF"/>
          </w:tcPr>
          <w:p>
            <w:pPr>
              <w:spacing w:after="0"/>
              <w:rPr>
                <w:sz w:val="21"/>
                <w:szCs w:val="21"/>
                <w:color w:val="auto"/>
              </w:rPr>
            </w:pPr>
          </w:p>
        </w:tc>
        <w:tc>
          <w:tcPr>
            <w:tcW w:w="222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r>
      <w:tr>
        <w:trPr>
          <w:trHeight w:val="196"/>
        </w:trPr>
        <w:tc>
          <w:tcPr>
            <w:tcW w:w="4060" w:type="dxa"/>
            <w:vAlign w:val="bottom"/>
          </w:tcPr>
          <w:p>
            <w:pPr>
              <w:ind w:left="20"/>
              <w:spacing w:after="0"/>
              <w:rPr>
                <w:sz w:val="20"/>
                <w:szCs w:val="20"/>
                <w:color w:val="auto"/>
              </w:rPr>
            </w:pPr>
            <w:r>
              <w:rPr>
                <w:rFonts w:ascii="Arial" w:cs="Arial" w:eastAsia="Arial" w:hAnsi="Arial"/>
                <w:sz w:val="14"/>
                <w:szCs w:val="14"/>
                <w:color w:val="auto"/>
              </w:rPr>
              <w:t>Gross profit:</w:t>
            </w:r>
          </w:p>
        </w:tc>
        <w:tc>
          <w:tcPr>
            <w:tcW w:w="22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09"/>
        </w:trPr>
        <w:tc>
          <w:tcPr>
            <w:tcW w:w="40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Aviation segment</w:t>
            </w:r>
          </w:p>
        </w:tc>
        <w:tc>
          <w:tcPr>
            <w:tcW w:w="2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91.9</w:t>
            </w:r>
          </w:p>
        </w:tc>
        <w:tc>
          <w:tcPr>
            <w:tcW w:w="4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140.5</w:t>
            </w:r>
          </w:p>
        </w:tc>
        <w:tc>
          <w:tcPr>
            <w:tcW w:w="3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185.0</w:t>
            </w:r>
          </w:p>
        </w:tc>
        <w:tc>
          <w:tcPr>
            <w:tcW w:w="4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254.8</w:t>
            </w:r>
          </w:p>
        </w:tc>
      </w:tr>
      <w:tr>
        <w:trPr>
          <w:trHeight w:val="196"/>
        </w:trPr>
        <w:tc>
          <w:tcPr>
            <w:tcW w:w="4060" w:type="dxa"/>
            <w:vAlign w:val="bottom"/>
          </w:tcPr>
          <w:p>
            <w:pPr>
              <w:ind w:left="120"/>
              <w:spacing w:after="0"/>
              <w:rPr>
                <w:sz w:val="20"/>
                <w:szCs w:val="20"/>
                <w:color w:val="auto"/>
              </w:rPr>
            </w:pPr>
            <w:r>
              <w:rPr>
                <w:rFonts w:ascii="Arial" w:cs="Arial" w:eastAsia="Arial" w:hAnsi="Arial"/>
                <w:sz w:val="14"/>
                <w:szCs w:val="14"/>
                <w:color w:val="auto"/>
              </w:rPr>
              <w:t>Land segment</w:t>
            </w:r>
          </w:p>
        </w:tc>
        <w:tc>
          <w:tcPr>
            <w:tcW w:w="222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84.8</w:t>
            </w:r>
          </w:p>
        </w:tc>
        <w:tc>
          <w:tcPr>
            <w:tcW w:w="44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91.7</w:t>
            </w:r>
          </w:p>
        </w:tc>
        <w:tc>
          <w:tcPr>
            <w:tcW w:w="38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191.0</w:t>
            </w:r>
          </w:p>
        </w:tc>
        <w:tc>
          <w:tcPr>
            <w:tcW w:w="44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193.2</w:t>
            </w:r>
          </w:p>
        </w:tc>
      </w:tr>
      <w:tr>
        <w:trPr>
          <w:trHeight w:val="203"/>
        </w:trPr>
        <w:tc>
          <w:tcPr>
            <w:tcW w:w="406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Marine segment</w:t>
            </w:r>
          </w:p>
        </w:tc>
        <w:tc>
          <w:tcPr>
            <w:tcW w:w="22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37.2</w:t>
            </w:r>
          </w:p>
        </w:tc>
        <w:tc>
          <w:tcPr>
            <w:tcW w:w="4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36.4</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96.6</w:t>
            </w:r>
          </w:p>
        </w:tc>
        <w:tc>
          <w:tcPr>
            <w:tcW w:w="4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71.6</w:t>
            </w:r>
          </w:p>
        </w:tc>
      </w:tr>
      <w:tr>
        <w:trPr>
          <w:trHeight w:val="175"/>
        </w:trPr>
        <w:tc>
          <w:tcPr>
            <w:tcW w:w="4060" w:type="dxa"/>
            <w:vAlign w:val="bottom"/>
            <w:tcBorders>
              <w:bottom w:val="single" w:sz="8" w:color="auto"/>
            </w:tcBorders>
          </w:tcPr>
          <w:p>
            <w:pPr>
              <w:spacing w:after="0"/>
              <w:rPr>
                <w:sz w:val="15"/>
                <w:szCs w:val="15"/>
                <w:color w:val="auto"/>
              </w:rPr>
            </w:pPr>
          </w:p>
        </w:tc>
        <w:tc>
          <w:tcPr>
            <w:tcW w:w="2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213.9</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268.6</w:t>
            </w:r>
          </w:p>
        </w:tc>
        <w:tc>
          <w:tcPr>
            <w:tcW w:w="3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472.6</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519.7</w:t>
            </w:r>
          </w:p>
        </w:tc>
      </w:tr>
      <w:tr>
        <w:trPr>
          <w:trHeight w:val="20"/>
        </w:trPr>
        <w:tc>
          <w:tcPr>
            <w:tcW w:w="4060" w:type="dxa"/>
            <w:vAlign w:val="bottom"/>
            <w:tcBorders>
              <w:bottom w:val="single" w:sz="8" w:color="auto"/>
            </w:tcBorders>
          </w:tcPr>
          <w:p>
            <w:pPr>
              <w:spacing w:after="0" w:line="20" w:lineRule="exact"/>
              <w:rPr>
                <w:sz w:val="1"/>
                <w:szCs w:val="1"/>
                <w:color w:val="auto"/>
              </w:rPr>
            </w:pPr>
          </w:p>
        </w:tc>
        <w:tc>
          <w:tcPr>
            <w:tcW w:w="2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37"/>
        </w:trPr>
        <w:tc>
          <w:tcPr>
            <w:tcW w:w="4060" w:type="dxa"/>
            <w:vAlign w:val="bottom"/>
            <w:shd w:val="clear" w:color="auto" w:fill="CCEEFF"/>
          </w:tcPr>
          <w:p>
            <w:pPr>
              <w:spacing w:after="0"/>
              <w:rPr>
                <w:sz w:val="20"/>
                <w:szCs w:val="20"/>
                <w:color w:val="auto"/>
              </w:rPr>
            </w:pPr>
          </w:p>
        </w:tc>
        <w:tc>
          <w:tcPr>
            <w:tcW w:w="2220" w:type="dxa"/>
            <w:vAlign w:val="bottom"/>
            <w:shd w:val="clear" w:color="auto" w:fill="CCEEFF"/>
          </w:tcPr>
          <w:p>
            <w:pPr>
              <w:spacing w:after="0"/>
              <w:rPr>
                <w:sz w:val="20"/>
                <w:szCs w:val="20"/>
                <w:color w:val="auto"/>
              </w:rPr>
            </w:pPr>
          </w:p>
        </w:tc>
        <w:tc>
          <w:tcPr>
            <w:tcW w:w="98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9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r>
      <w:tr>
        <w:trPr>
          <w:trHeight w:val="197"/>
        </w:trPr>
        <w:tc>
          <w:tcPr>
            <w:tcW w:w="4060" w:type="dxa"/>
            <w:vAlign w:val="bottom"/>
          </w:tcPr>
          <w:p>
            <w:pPr>
              <w:ind w:left="20"/>
              <w:spacing w:after="0"/>
              <w:rPr>
                <w:sz w:val="20"/>
                <w:szCs w:val="20"/>
                <w:color w:val="auto"/>
              </w:rPr>
            </w:pPr>
            <w:r>
              <w:rPr>
                <w:rFonts w:ascii="Arial" w:cs="Arial" w:eastAsia="Arial" w:hAnsi="Arial"/>
                <w:sz w:val="14"/>
                <w:szCs w:val="14"/>
                <w:color w:val="auto"/>
              </w:rPr>
              <w:t>Income from operations:</w:t>
            </w:r>
          </w:p>
        </w:tc>
        <w:tc>
          <w:tcPr>
            <w:tcW w:w="22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r>
      <w:tr>
        <w:trPr>
          <w:trHeight w:val="208"/>
        </w:trPr>
        <w:tc>
          <w:tcPr>
            <w:tcW w:w="406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Aviation segment</w:t>
            </w:r>
          </w:p>
        </w:tc>
        <w:tc>
          <w:tcPr>
            <w:tcW w:w="2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9.0</w:t>
            </w:r>
          </w:p>
        </w:tc>
        <w:tc>
          <w:tcPr>
            <w:tcW w:w="4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73.5</w:t>
            </w:r>
          </w:p>
        </w:tc>
        <w:tc>
          <w:tcPr>
            <w:tcW w:w="3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38.1</w:t>
            </w:r>
          </w:p>
        </w:tc>
        <w:tc>
          <w:tcPr>
            <w:tcW w:w="4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129.1</w:t>
            </w:r>
          </w:p>
        </w:tc>
      </w:tr>
      <w:tr>
        <w:trPr>
          <w:trHeight w:val="197"/>
        </w:trPr>
        <w:tc>
          <w:tcPr>
            <w:tcW w:w="4060" w:type="dxa"/>
            <w:vAlign w:val="bottom"/>
          </w:tcPr>
          <w:p>
            <w:pPr>
              <w:ind w:left="120"/>
              <w:spacing w:after="0"/>
              <w:rPr>
                <w:sz w:val="20"/>
                <w:szCs w:val="20"/>
                <w:color w:val="auto"/>
              </w:rPr>
            </w:pPr>
            <w:r>
              <w:rPr>
                <w:rFonts w:ascii="Arial" w:cs="Arial" w:eastAsia="Arial" w:hAnsi="Arial"/>
                <w:sz w:val="14"/>
                <w:szCs w:val="14"/>
                <w:color w:val="auto"/>
              </w:rPr>
              <w:t>Land segment</w:t>
            </w:r>
          </w:p>
        </w:tc>
        <w:tc>
          <w:tcPr>
            <w:tcW w:w="222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9.7</w:t>
            </w:r>
          </w:p>
        </w:tc>
        <w:tc>
          <w:tcPr>
            <w:tcW w:w="44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11.8</w:t>
            </w:r>
          </w:p>
        </w:tc>
        <w:tc>
          <w:tcPr>
            <w:tcW w:w="38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35.3</w:t>
            </w:r>
          </w:p>
        </w:tc>
        <w:tc>
          <w:tcPr>
            <w:tcW w:w="44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32.8</w:t>
            </w:r>
          </w:p>
        </w:tc>
      </w:tr>
      <w:tr>
        <w:trPr>
          <w:trHeight w:val="203"/>
        </w:trPr>
        <w:tc>
          <w:tcPr>
            <w:tcW w:w="406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Marine segment</w:t>
            </w:r>
          </w:p>
        </w:tc>
        <w:tc>
          <w:tcPr>
            <w:tcW w:w="22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13.3</w:t>
            </w:r>
          </w:p>
        </w:tc>
        <w:tc>
          <w:tcPr>
            <w:tcW w:w="4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10.1</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47.2</w:t>
            </w:r>
          </w:p>
        </w:tc>
        <w:tc>
          <w:tcPr>
            <w:tcW w:w="4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23.6</w:t>
            </w:r>
          </w:p>
        </w:tc>
      </w:tr>
      <w:tr>
        <w:trPr>
          <w:trHeight w:val="196"/>
        </w:trPr>
        <w:tc>
          <w:tcPr>
            <w:tcW w:w="4060" w:type="dxa"/>
            <w:vAlign w:val="bottom"/>
          </w:tcPr>
          <w:p>
            <w:pPr>
              <w:spacing w:after="0"/>
              <w:rPr>
                <w:sz w:val="17"/>
                <w:szCs w:val="17"/>
                <w:color w:val="auto"/>
              </w:rPr>
            </w:pPr>
          </w:p>
        </w:tc>
        <w:tc>
          <w:tcPr>
            <w:tcW w:w="222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32.0</w:t>
            </w:r>
          </w:p>
        </w:tc>
        <w:tc>
          <w:tcPr>
            <w:tcW w:w="440" w:type="dxa"/>
            <w:vAlign w:val="bottom"/>
          </w:tcPr>
          <w:p>
            <w:pPr>
              <w:spacing w:after="0"/>
              <w:rPr>
                <w:sz w:val="17"/>
                <w:szCs w:val="17"/>
                <w:color w:val="auto"/>
              </w:rPr>
            </w:pPr>
          </w:p>
        </w:tc>
        <w:tc>
          <w:tcPr>
            <w:tcW w:w="900" w:type="dxa"/>
            <w:vAlign w:val="bottom"/>
          </w:tcPr>
          <w:p>
            <w:pPr>
              <w:jc w:val="right"/>
              <w:ind w:right="68"/>
              <w:spacing w:after="0"/>
              <w:rPr>
                <w:sz w:val="20"/>
                <w:szCs w:val="20"/>
                <w:color w:val="auto"/>
              </w:rPr>
            </w:pPr>
            <w:r>
              <w:rPr>
                <w:rFonts w:ascii="Arial" w:cs="Arial" w:eastAsia="Arial" w:hAnsi="Arial"/>
                <w:sz w:val="14"/>
                <w:szCs w:val="14"/>
                <w:color w:val="auto"/>
              </w:rPr>
              <w:t>95.4</w:t>
            </w:r>
          </w:p>
        </w:tc>
        <w:tc>
          <w:tcPr>
            <w:tcW w:w="38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120.6</w:t>
            </w:r>
          </w:p>
        </w:tc>
        <w:tc>
          <w:tcPr>
            <w:tcW w:w="440" w:type="dxa"/>
            <w:vAlign w:val="bottom"/>
          </w:tcPr>
          <w:p>
            <w:pPr>
              <w:spacing w:after="0"/>
              <w:rPr>
                <w:sz w:val="17"/>
                <w:szCs w:val="17"/>
                <w:color w:val="auto"/>
              </w:rPr>
            </w:pPr>
          </w:p>
        </w:tc>
        <w:tc>
          <w:tcPr>
            <w:tcW w:w="880" w:type="dxa"/>
            <w:vAlign w:val="bottom"/>
          </w:tcPr>
          <w:p>
            <w:pPr>
              <w:jc w:val="right"/>
              <w:ind w:right="68"/>
              <w:spacing w:after="0"/>
              <w:rPr>
                <w:sz w:val="20"/>
                <w:szCs w:val="20"/>
                <w:color w:val="auto"/>
              </w:rPr>
            </w:pPr>
            <w:r>
              <w:rPr>
                <w:rFonts w:ascii="Arial" w:cs="Arial" w:eastAsia="Arial" w:hAnsi="Arial"/>
                <w:sz w:val="14"/>
                <w:szCs w:val="14"/>
                <w:color w:val="auto"/>
              </w:rPr>
              <w:t>185.5</w:t>
            </w:r>
          </w:p>
        </w:tc>
      </w:tr>
      <w:tr>
        <w:trPr>
          <w:trHeight w:val="203"/>
        </w:trPr>
        <w:tc>
          <w:tcPr>
            <w:tcW w:w="406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Corporate overhead - unallocated</w:t>
            </w:r>
          </w:p>
        </w:tc>
        <w:tc>
          <w:tcPr>
            <w:tcW w:w="22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(20.1)</w:t>
            </w:r>
          </w:p>
        </w:tc>
        <w:tc>
          <w:tcPr>
            <w:tcW w:w="4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(20.2)</w:t>
            </w:r>
          </w:p>
        </w:tc>
        <w:tc>
          <w:tcPr>
            <w:tcW w:w="3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(37.9)</w:t>
            </w:r>
          </w:p>
        </w:tc>
        <w:tc>
          <w:tcPr>
            <w:tcW w:w="4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(40.0)</w:t>
            </w:r>
          </w:p>
        </w:tc>
      </w:tr>
      <w:tr>
        <w:trPr>
          <w:trHeight w:val="196"/>
        </w:trPr>
        <w:tc>
          <w:tcPr>
            <w:tcW w:w="4060" w:type="dxa"/>
            <w:vAlign w:val="bottom"/>
            <w:tcBorders>
              <w:bottom w:val="single" w:sz="8" w:color="auto"/>
            </w:tcBorders>
          </w:tcPr>
          <w:p>
            <w:pPr>
              <w:spacing w:after="0"/>
              <w:rPr>
                <w:sz w:val="17"/>
                <w:szCs w:val="17"/>
                <w:color w:val="auto"/>
              </w:rPr>
            </w:pPr>
          </w:p>
        </w:tc>
        <w:tc>
          <w:tcPr>
            <w:tcW w:w="2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11.9</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75.2</w:t>
            </w:r>
          </w:p>
        </w:tc>
        <w:tc>
          <w:tcPr>
            <w:tcW w:w="3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82.7</w:t>
            </w:r>
          </w:p>
        </w:tc>
        <w:tc>
          <w:tcPr>
            <w:tcW w:w="4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145.6</w:t>
            </w:r>
          </w:p>
        </w:tc>
      </w:tr>
      <w:tr>
        <w:trPr>
          <w:trHeight w:val="27"/>
        </w:trPr>
        <w:tc>
          <w:tcPr>
            <w:tcW w:w="4060" w:type="dxa"/>
            <w:vAlign w:val="bottom"/>
            <w:tcBorders>
              <w:bottom w:val="single" w:sz="8" w:color="auto"/>
            </w:tcBorders>
          </w:tcPr>
          <w:p>
            <w:pPr>
              <w:spacing w:after="0"/>
              <w:rPr>
                <w:sz w:val="2"/>
                <w:szCs w:val="2"/>
                <w:color w:val="auto"/>
              </w:rPr>
            </w:pPr>
          </w:p>
        </w:tc>
        <w:tc>
          <w:tcPr>
            <w:tcW w:w="2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bl>
    <w:p>
      <w:pPr>
        <w:spacing w:after="0" w:line="28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Information concerning our accounts receivable, net and total assets by segment is as follows as of June 30, 2020 and December 31, 2019 (in millions):</w:t>
      </w:r>
    </w:p>
    <w:p>
      <w:pPr>
        <w:spacing w:after="0" w:line="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20" w:type="dxa"/>
            <w:vAlign w:val="bottom"/>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1"/>
              </w:rPr>
              <w:t>As of</w:t>
            </w:r>
          </w:p>
        </w:tc>
        <w:tc>
          <w:tcPr>
            <w:tcW w:w="14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762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b w:val="1"/>
                <w:bCs w:val="1"/>
                <w:color w:val="auto"/>
              </w:rPr>
              <w:t>June 30,</w:t>
            </w:r>
          </w:p>
        </w:tc>
        <w:tc>
          <w:tcPr>
            <w:tcW w:w="4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60" w:type="dxa"/>
            <w:vAlign w:val="bottom"/>
          </w:tcPr>
          <w:p>
            <w:pPr>
              <w:jc w:val="right"/>
              <w:ind w:right="408"/>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208"/>
        </w:trPr>
        <w:tc>
          <w:tcPr>
            <w:tcW w:w="76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02"/>
        </w:trPr>
        <w:tc>
          <w:tcPr>
            <w:tcW w:w="76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Accounts receivable, net:</w:t>
            </w:r>
          </w:p>
        </w:tc>
        <w:tc>
          <w:tcPr>
            <w:tcW w:w="11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7620" w:type="dxa"/>
            <w:vAlign w:val="bottom"/>
          </w:tcPr>
          <w:p>
            <w:pPr>
              <w:ind w:left="140"/>
              <w:spacing w:after="0" w:line="135" w:lineRule="exact"/>
              <w:rPr>
                <w:sz w:val="20"/>
                <w:szCs w:val="20"/>
                <w:color w:val="auto"/>
              </w:rPr>
            </w:pPr>
            <w:r>
              <w:rPr>
                <w:rFonts w:ascii="Arial" w:cs="Arial" w:eastAsia="Arial" w:hAnsi="Arial"/>
                <w:sz w:val="14"/>
                <w:szCs w:val="14"/>
                <w:color w:val="auto"/>
              </w:rPr>
              <w:t>Aviation segment, net of allowance for credit losses of $33.0 and $14.6 as of June 30, 2020 and December 31, 2019,</w:t>
            </w:r>
          </w:p>
        </w:tc>
        <w:tc>
          <w:tcPr>
            <w:tcW w:w="1140" w:type="dxa"/>
            <w:vAlign w:val="bottom"/>
            <w:vMerge w:val="restart"/>
          </w:tcPr>
          <w:p>
            <w:pPr>
              <w:jc w:val="right"/>
              <w:ind w:right="968"/>
              <w:spacing w:after="0"/>
              <w:rPr>
                <w:sz w:val="20"/>
                <w:szCs w:val="20"/>
                <w:color w:val="auto"/>
              </w:rPr>
            </w:pPr>
            <w:r>
              <w:rPr>
                <w:rFonts w:ascii="Arial" w:cs="Arial" w:eastAsia="Arial" w:hAnsi="Arial"/>
                <w:sz w:val="14"/>
                <w:szCs w:val="14"/>
                <w:color w:val="auto"/>
              </w:rPr>
              <w:t>$</w:t>
            </w:r>
          </w:p>
        </w:tc>
        <w:tc>
          <w:tcPr>
            <w:tcW w:w="480" w:type="dxa"/>
            <w:vAlign w:val="bottom"/>
            <w:vMerge w:val="restart"/>
          </w:tcPr>
          <w:p>
            <w:pPr>
              <w:jc w:val="right"/>
              <w:spacing w:after="0"/>
              <w:rPr>
                <w:sz w:val="20"/>
                <w:szCs w:val="20"/>
                <w:color w:val="auto"/>
              </w:rPr>
            </w:pPr>
            <w:r>
              <w:rPr>
                <w:rFonts w:ascii="Arial" w:cs="Arial" w:eastAsia="Arial" w:hAnsi="Arial"/>
                <w:sz w:val="14"/>
                <w:szCs w:val="14"/>
                <w:color w:val="auto"/>
              </w:rPr>
              <w:t>412.6</w:t>
            </w:r>
          </w:p>
        </w:tc>
        <w:tc>
          <w:tcPr>
            <w:tcW w:w="520" w:type="dxa"/>
            <w:vAlign w:val="bottom"/>
            <w:vMerge w:val="restart"/>
          </w:tcPr>
          <w:p>
            <w:pPr>
              <w:jc w:val="right"/>
              <w:ind w:right="128"/>
              <w:spacing w:after="0"/>
              <w:rPr>
                <w:sz w:val="20"/>
                <w:szCs w:val="20"/>
                <w:color w:val="auto"/>
              </w:rPr>
            </w:pPr>
            <w:r>
              <w:rPr>
                <w:rFonts w:ascii="Arial" w:cs="Arial" w:eastAsia="Arial" w:hAnsi="Arial"/>
                <w:sz w:val="14"/>
                <w:szCs w:val="14"/>
                <w:color w:val="auto"/>
              </w:rPr>
              <w:t>$</w:t>
            </w:r>
          </w:p>
        </w:tc>
        <w:tc>
          <w:tcPr>
            <w:tcW w:w="1460" w:type="dxa"/>
            <w:vAlign w:val="bottom"/>
            <w:vMerge w:val="restart"/>
          </w:tcPr>
          <w:p>
            <w:pPr>
              <w:jc w:val="right"/>
              <w:ind w:right="88"/>
              <w:spacing w:after="0"/>
              <w:rPr>
                <w:sz w:val="20"/>
                <w:szCs w:val="20"/>
                <w:color w:val="auto"/>
              </w:rPr>
            </w:pPr>
            <w:r>
              <w:rPr>
                <w:rFonts w:ascii="Arial" w:cs="Arial" w:eastAsia="Arial" w:hAnsi="Arial"/>
                <w:sz w:val="14"/>
                <w:szCs w:val="14"/>
                <w:color w:val="auto"/>
              </w:rPr>
              <w:t>1,098.2</w:t>
            </w:r>
          </w:p>
        </w:tc>
        <w:tc>
          <w:tcPr>
            <w:tcW w:w="0" w:type="dxa"/>
            <w:vAlign w:val="bottom"/>
          </w:tcPr>
          <w:p>
            <w:pPr>
              <w:spacing w:after="0"/>
              <w:rPr>
                <w:sz w:val="1"/>
                <w:szCs w:val="1"/>
                <w:color w:val="auto"/>
              </w:rPr>
            </w:pPr>
          </w:p>
        </w:tc>
      </w:tr>
      <w:tr>
        <w:trPr>
          <w:trHeight w:val="186"/>
        </w:trPr>
        <w:tc>
          <w:tcPr>
            <w:tcW w:w="7620" w:type="dxa"/>
            <w:vAlign w:val="bottom"/>
          </w:tcPr>
          <w:p>
            <w:pPr>
              <w:ind w:left="140"/>
              <w:spacing w:after="0"/>
              <w:rPr>
                <w:sz w:val="20"/>
                <w:szCs w:val="20"/>
                <w:color w:val="auto"/>
              </w:rPr>
            </w:pPr>
            <w:r>
              <w:rPr>
                <w:rFonts w:ascii="Arial" w:cs="Arial" w:eastAsia="Arial" w:hAnsi="Arial"/>
                <w:sz w:val="14"/>
                <w:szCs w:val="14"/>
                <w:color w:val="auto"/>
              </w:rPr>
              <w:t>respectively</w:t>
            </w:r>
          </w:p>
        </w:tc>
        <w:tc>
          <w:tcPr>
            <w:tcW w:w="1140" w:type="dxa"/>
            <w:vAlign w:val="bottom"/>
            <w:vMerge w:val="continue"/>
          </w:tcPr>
          <w:p>
            <w:pPr>
              <w:spacing w:after="0"/>
              <w:rPr>
                <w:sz w:val="16"/>
                <w:szCs w:val="16"/>
                <w:color w:val="auto"/>
              </w:rPr>
            </w:pPr>
          </w:p>
        </w:tc>
        <w:tc>
          <w:tcPr>
            <w:tcW w:w="480" w:type="dxa"/>
            <w:vAlign w:val="bottom"/>
            <w:vMerge w:val="continue"/>
          </w:tcPr>
          <w:p>
            <w:pPr>
              <w:spacing w:after="0"/>
              <w:rPr>
                <w:sz w:val="16"/>
                <w:szCs w:val="16"/>
                <w:color w:val="auto"/>
              </w:rPr>
            </w:pPr>
          </w:p>
        </w:tc>
        <w:tc>
          <w:tcPr>
            <w:tcW w:w="520" w:type="dxa"/>
            <w:vAlign w:val="bottom"/>
            <w:vMerge w:val="continue"/>
          </w:tcPr>
          <w:p>
            <w:pPr>
              <w:spacing w:after="0"/>
              <w:rPr>
                <w:sz w:val="16"/>
                <w:szCs w:val="16"/>
                <w:color w:val="auto"/>
              </w:rPr>
            </w:pPr>
          </w:p>
        </w:tc>
        <w:tc>
          <w:tcPr>
            <w:tcW w:w="14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762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7"/>
              </w:rPr>
              <w:t>Land segment, net of allowance for credit losses of $8.3 and $2.8 as of June 30, 2020 and December 31, 2019, respectively</w:t>
            </w:r>
          </w:p>
        </w:tc>
        <w:tc>
          <w:tcPr>
            <w:tcW w:w="1140" w:type="dxa"/>
            <w:vAlign w:val="bottom"/>
            <w:shd w:val="clear" w:color="auto" w:fill="CCEEFF"/>
          </w:tcPr>
          <w:p>
            <w:pPr>
              <w:spacing w:after="0"/>
              <w:rPr>
                <w:sz w:val="17"/>
                <w:szCs w:val="17"/>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590.9</w:t>
            </w:r>
          </w:p>
        </w:tc>
        <w:tc>
          <w:tcPr>
            <w:tcW w:w="520" w:type="dxa"/>
            <w:vAlign w:val="bottom"/>
            <w:shd w:val="clear" w:color="auto" w:fill="CCEEFF"/>
          </w:tcPr>
          <w:p>
            <w:pPr>
              <w:spacing w:after="0"/>
              <w:rPr>
                <w:sz w:val="17"/>
                <w:szCs w:val="17"/>
                <w:color w:val="auto"/>
              </w:rPr>
            </w:pPr>
          </w:p>
        </w:tc>
        <w:tc>
          <w:tcPr>
            <w:tcW w:w="14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863.2</w:t>
            </w:r>
          </w:p>
        </w:tc>
        <w:tc>
          <w:tcPr>
            <w:tcW w:w="0" w:type="dxa"/>
            <w:vAlign w:val="bottom"/>
          </w:tcPr>
          <w:p>
            <w:pPr>
              <w:spacing w:after="0"/>
              <w:rPr>
                <w:sz w:val="1"/>
                <w:szCs w:val="1"/>
                <w:color w:val="auto"/>
              </w:rPr>
            </w:pPr>
          </w:p>
        </w:tc>
      </w:tr>
      <w:tr>
        <w:trPr>
          <w:trHeight w:val="196"/>
        </w:trPr>
        <w:tc>
          <w:tcPr>
            <w:tcW w:w="7620" w:type="dxa"/>
            <w:vAlign w:val="bottom"/>
            <w:tcBorders>
              <w:bottom w:val="single" w:sz="8" w:color="auto"/>
            </w:tcBorders>
          </w:tcPr>
          <w:p>
            <w:pPr>
              <w:ind w:left="140"/>
              <w:spacing w:after="0"/>
              <w:rPr>
                <w:sz w:val="20"/>
                <w:szCs w:val="20"/>
                <w:color w:val="auto"/>
              </w:rPr>
            </w:pPr>
            <w:r>
              <w:rPr>
                <w:rFonts w:ascii="Arial" w:cs="Arial" w:eastAsia="Arial" w:hAnsi="Arial"/>
                <w:sz w:val="14"/>
                <w:szCs w:val="14"/>
                <w:color w:val="auto"/>
                <w:w w:val="94"/>
              </w:rPr>
              <w:t>Marine segment, net of allowance for credit losses of $4.3 and $18.0 as of June 30, 2020 and December 31, 2019, respectively</w:t>
            </w:r>
          </w:p>
        </w:tc>
        <w:tc>
          <w:tcPr>
            <w:tcW w:w="114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412.5</w:t>
            </w:r>
          </w:p>
        </w:tc>
        <w:tc>
          <w:tcPr>
            <w:tcW w:w="52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930.5</w:t>
            </w:r>
          </w:p>
        </w:tc>
        <w:tc>
          <w:tcPr>
            <w:tcW w:w="0" w:type="dxa"/>
            <w:vAlign w:val="bottom"/>
          </w:tcPr>
          <w:p>
            <w:pPr>
              <w:spacing w:after="0"/>
              <w:rPr>
                <w:sz w:val="1"/>
                <w:szCs w:val="1"/>
                <w:color w:val="auto"/>
              </w:rPr>
            </w:pPr>
          </w:p>
        </w:tc>
      </w:tr>
      <w:tr>
        <w:trPr>
          <w:trHeight w:val="221"/>
        </w:trPr>
        <w:tc>
          <w:tcPr>
            <w:tcW w:w="762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96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4"/>
              </w:rPr>
              <w:t>1,415.9</w:t>
            </w:r>
          </w:p>
        </w:tc>
        <w:tc>
          <w:tcPr>
            <w:tcW w:w="52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2,891.9</w:t>
            </w:r>
          </w:p>
        </w:tc>
        <w:tc>
          <w:tcPr>
            <w:tcW w:w="0" w:type="dxa"/>
            <w:vAlign w:val="bottom"/>
          </w:tcPr>
          <w:p>
            <w:pPr>
              <w:spacing w:after="0"/>
              <w:rPr>
                <w:sz w:val="1"/>
                <w:szCs w:val="1"/>
                <w:color w:val="auto"/>
              </w:rPr>
            </w:pPr>
          </w:p>
        </w:tc>
      </w:tr>
      <w:tr>
        <w:trPr>
          <w:trHeight w:val="20"/>
        </w:trPr>
        <w:tc>
          <w:tcPr>
            <w:tcW w:w="762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7620" w:type="dxa"/>
            <w:vAlign w:val="bottom"/>
          </w:tcPr>
          <w:p>
            <w:pPr>
              <w:ind w:left="20"/>
              <w:spacing w:after="0"/>
              <w:rPr>
                <w:sz w:val="20"/>
                <w:szCs w:val="20"/>
                <w:color w:val="auto"/>
              </w:rPr>
            </w:pPr>
            <w:r>
              <w:rPr>
                <w:rFonts w:ascii="Arial" w:cs="Arial" w:eastAsia="Arial" w:hAnsi="Arial"/>
                <w:sz w:val="14"/>
                <w:szCs w:val="14"/>
                <w:color w:val="auto"/>
              </w:rPr>
              <w:t>Total assets:</w:t>
            </w: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76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Aviation segment</w:t>
            </w:r>
          </w:p>
        </w:tc>
        <w:tc>
          <w:tcPr>
            <w:tcW w:w="1140" w:type="dxa"/>
            <w:vAlign w:val="bottom"/>
            <w:shd w:val="clear" w:color="auto" w:fill="CCEEFF"/>
          </w:tcPr>
          <w:p>
            <w:pPr>
              <w:jc w:val="right"/>
              <w:ind w:right="96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4"/>
              </w:rPr>
              <w:t>1,817.4</w:t>
            </w:r>
          </w:p>
        </w:tc>
        <w:tc>
          <w:tcPr>
            <w:tcW w:w="5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2,416.5</w:t>
            </w:r>
          </w:p>
        </w:tc>
        <w:tc>
          <w:tcPr>
            <w:tcW w:w="0" w:type="dxa"/>
            <w:vAlign w:val="bottom"/>
          </w:tcPr>
          <w:p>
            <w:pPr>
              <w:spacing w:after="0"/>
              <w:rPr>
                <w:sz w:val="1"/>
                <w:szCs w:val="1"/>
                <w:color w:val="auto"/>
              </w:rPr>
            </w:pPr>
          </w:p>
        </w:tc>
      </w:tr>
      <w:tr>
        <w:trPr>
          <w:trHeight w:val="197"/>
        </w:trPr>
        <w:tc>
          <w:tcPr>
            <w:tcW w:w="7620" w:type="dxa"/>
            <w:vAlign w:val="bottom"/>
          </w:tcPr>
          <w:p>
            <w:pPr>
              <w:ind w:left="120"/>
              <w:spacing w:after="0"/>
              <w:rPr>
                <w:sz w:val="20"/>
                <w:szCs w:val="20"/>
                <w:color w:val="auto"/>
              </w:rPr>
            </w:pPr>
            <w:r>
              <w:rPr>
                <w:rFonts w:ascii="Arial" w:cs="Arial" w:eastAsia="Arial" w:hAnsi="Arial"/>
                <w:sz w:val="14"/>
                <w:szCs w:val="14"/>
                <w:color w:val="auto"/>
              </w:rPr>
              <w:t>Land segment</w:t>
            </w:r>
          </w:p>
        </w:tc>
        <w:tc>
          <w:tcPr>
            <w:tcW w:w="1140" w:type="dxa"/>
            <w:vAlign w:val="bottom"/>
          </w:tcPr>
          <w:p>
            <w:pPr>
              <w:spacing w:after="0"/>
              <w:rPr>
                <w:sz w:val="17"/>
                <w:szCs w:val="17"/>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w w:val="94"/>
              </w:rPr>
              <w:t>1,881.6</w:t>
            </w:r>
          </w:p>
        </w:tc>
        <w:tc>
          <w:tcPr>
            <w:tcW w:w="520" w:type="dxa"/>
            <w:vAlign w:val="bottom"/>
          </w:tcPr>
          <w:p>
            <w:pPr>
              <w:spacing w:after="0"/>
              <w:rPr>
                <w:sz w:val="17"/>
                <w:szCs w:val="17"/>
                <w:color w:val="auto"/>
              </w:rPr>
            </w:pPr>
          </w:p>
        </w:tc>
        <w:tc>
          <w:tcPr>
            <w:tcW w:w="1460" w:type="dxa"/>
            <w:vAlign w:val="bottom"/>
          </w:tcPr>
          <w:p>
            <w:pPr>
              <w:jc w:val="right"/>
              <w:ind w:right="88"/>
              <w:spacing w:after="0"/>
              <w:rPr>
                <w:sz w:val="20"/>
                <w:szCs w:val="20"/>
                <w:color w:val="auto"/>
              </w:rPr>
            </w:pPr>
            <w:r>
              <w:rPr>
                <w:rFonts w:ascii="Arial" w:cs="Arial" w:eastAsia="Arial" w:hAnsi="Arial"/>
                <w:sz w:val="14"/>
                <w:szCs w:val="14"/>
                <w:color w:val="auto"/>
              </w:rPr>
              <w:t>2,089.4</w:t>
            </w:r>
          </w:p>
        </w:tc>
        <w:tc>
          <w:tcPr>
            <w:tcW w:w="0" w:type="dxa"/>
            <w:vAlign w:val="bottom"/>
          </w:tcPr>
          <w:p>
            <w:pPr>
              <w:spacing w:after="0"/>
              <w:rPr>
                <w:sz w:val="1"/>
                <w:szCs w:val="1"/>
                <w:color w:val="auto"/>
              </w:rPr>
            </w:pPr>
          </w:p>
        </w:tc>
      </w:tr>
      <w:tr>
        <w:trPr>
          <w:trHeight w:val="208"/>
        </w:trPr>
        <w:tc>
          <w:tcPr>
            <w:tcW w:w="76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Marine segment</w:t>
            </w:r>
          </w:p>
        </w:tc>
        <w:tc>
          <w:tcPr>
            <w:tcW w:w="11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812.6</w:t>
            </w:r>
          </w:p>
        </w:tc>
        <w:tc>
          <w:tcPr>
            <w:tcW w:w="5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1,189.7</w:t>
            </w:r>
          </w:p>
        </w:tc>
        <w:tc>
          <w:tcPr>
            <w:tcW w:w="0" w:type="dxa"/>
            <w:vAlign w:val="bottom"/>
          </w:tcPr>
          <w:p>
            <w:pPr>
              <w:spacing w:after="0"/>
              <w:rPr>
                <w:sz w:val="1"/>
                <w:szCs w:val="1"/>
                <w:color w:val="auto"/>
              </w:rPr>
            </w:pPr>
          </w:p>
        </w:tc>
      </w:tr>
      <w:tr>
        <w:trPr>
          <w:trHeight w:val="197"/>
        </w:trPr>
        <w:tc>
          <w:tcPr>
            <w:tcW w:w="762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Corporate</w:t>
            </w:r>
          </w:p>
        </w:tc>
        <w:tc>
          <w:tcPr>
            <w:tcW w:w="114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369.3</w:t>
            </w:r>
          </w:p>
        </w:tc>
        <w:tc>
          <w:tcPr>
            <w:tcW w:w="52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296.8</w:t>
            </w:r>
          </w:p>
        </w:tc>
        <w:tc>
          <w:tcPr>
            <w:tcW w:w="0" w:type="dxa"/>
            <w:vAlign w:val="bottom"/>
          </w:tcPr>
          <w:p>
            <w:pPr>
              <w:spacing w:after="0"/>
              <w:rPr>
                <w:sz w:val="1"/>
                <w:szCs w:val="1"/>
                <w:color w:val="auto"/>
              </w:rPr>
            </w:pPr>
          </w:p>
        </w:tc>
      </w:tr>
      <w:tr>
        <w:trPr>
          <w:trHeight w:val="221"/>
        </w:trPr>
        <w:tc>
          <w:tcPr>
            <w:tcW w:w="762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96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4"/>
              </w:rPr>
              <w:t>4,881.0</w:t>
            </w:r>
          </w:p>
        </w:tc>
        <w:tc>
          <w:tcPr>
            <w:tcW w:w="52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5,992.4</w:t>
            </w:r>
          </w:p>
        </w:tc>
        <w:tc>
          <w:tcPr>
            <w:tcW w:w="0" w:type="dxa"/>
            <w:vAlign w:val="bottom"/>
          </w:tcPr>
          <w:p>
            <w:pPr>
              <w:spacing w:after="0"/>
              <w:rPr>
                <w:sz w:val="1"/>
                <w:szCs w:val="1"/>
                <w:color w:val="auto"/>
              </w:rPr>
            </w:pPr>
          </w:p>
        </w:tc>
      </w:tr>
      <w:tr>
        <w:trPr>
          <w:trHeight w:val="20"/>
        </w:trPr>
        <w:tc>
          <w:tcPr>
            <w:tcW w:w="762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4" w:name="page25"/>
    <w:bookmarkEnd w:id="24"/>
    <w:p>
      <w:pPr>
        <w:jc w:val="both"/>
        <w:ind w:firstLine="452"/>
        <w:spacing w:after="0" w:line="271" w:lineRule="auto"/>
        <w:rPr>
          <w:sz w:val="20"/>
          <w:szCs w:val="20"/>
          <w:color w:val="auto"/>
        </w:rPr>
      </w:pPr>
      <w:r>
        <w:rPr>
          <w:rFonts w:ascii="Arial" w:cs="Arial" w:eastAsia="Arial" w:hAnsi="Arial"/>
          <w:sz w:val="17"/>
          <w:szCs w:val="17"/>
          <w:color w:val="auto"/>
        </w:rPr>
        <w:t>During each of the periods presented on the Consolidated Statements of Income and Comprehensive Income, none of our customers accounted for more than 10% of total consolidated revenue. Sales to government customers, which principally consist of sales to NATO in support of military operations in Afghanistan, have accounted for a material portion of our profitability in recent years. The profitability associated with our government business can be significantly impacted by supply disruptions, border closures, road blockages, hostility-related product losses, inventory shortages and other logistical difficulties that can arise when sourcing and delivering fuel in areas that are actively engaged in war or other military conflicts. Our sales to government customers may fluctuate significantly from time to time as a result of the foregoing factors, as well as the level of troop deployments and related activity in a particular region or area or the commencement, extension, renewal or completion of existing and new government contracts. See Item 1A. Risk Factors of our 2019 10-K Report for more information.</w:t>
      </w: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Earnings per Common Share</w:t>
      </w:r>
    </w:p>
    <w:p>
      <w:pPr>
        <w:spacing w:after="0" w:line="229" w:lineRule="exact"/>
        <w:rPr>
          <w:sz w:val="20"/>
          <w:szCs w:val="20"/>
          <w:color w:val="auto"/>
        </w:rPr>
      </w:pPr>
    </w:p>
    <w:p>
      <w:pPr>
        <w:jc w:val="both"/>
        <w:ind w:firstLine="324"/>
        <w:spacing w:after="0" w:line="276" w:lineRule="auto"/>
        <w:rPr>
          <w:sz w:val="20"/>
          <w:szCs w:val="20"/>
          <w:color w:val="auto"/>
        </w:rPr>
      </w:pPr>
      <w:r>
        <w:rPr>
          <w:rFonts w:ascii="Arial" w:cs="Arial" w:eastAsia="Arial" w:hAnsi="Arial"/>
          <w:sz w:val="18"/>
          <w:szCs w:val="18"/>
          <w:color w:val="auto"/>
        </w:rPr>
        <w:t>The following table sets forth the computation of basic and diluted earnings per common share for the periods presented (in millions, except per share amounts):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720" w:type="dxa"/>
            <w:vAlign w:val="bottom"/>
          </w:tcPr>
          <w:p>
            <w:pPr>
              <w:spacing w:after="0"/>
              <w:rPr>
                <w:sz w:val="16"/>
                <w:szCs w:val="16"/>
                <w:color w:val="auto"/>
              </w:rPr>
            </w:pPr>
          </w:p>
        </w:tc>
        <w:tc>
          <w:tcPr>
            <w:tcW w:w="228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4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400" w:type="dxa"/>
            <w:vAlign w:val="bottom"/>
            <w:gridSpan w:val="3"/>
          </w:tcPr>
          <w:p>
            <w:pPr>
              <w:jc w:val="right"/>
              <w:ind w:right="468"/>
              <w:spacing w:after="0"/>
              <w:rPr>
                <w:sz w:val="20"/>
                <w:szCs w:val="20"/>
                <w:color w:val="auto"/>
              </w:rPr>
            </w:pPr>
            <w:r>
              <w:rPr>
                <w:rFonts w:ascii="Arial" w:cs="Arial" w:eastAsia="Arial" w:hAnsi="Arial"/>
                <w:sz w:val="14"/>
                <w:szCs w:val="14"/>
                <w:b w:val="1"/>
                <w:bCs w:val="1"/>
                <w:color w:val="auto"/>
              </w:rPr>
              <w:t>For the Six Months Ended</w:t>
            </w:r>
          </w:p>
        </w:tc>
      </w:tr>
      <w:tr>
        <w:trPr>
          <w:trHeight w:val="208"/>
        </w:trPr>
        <w:tc>
          <w:tcPr>
            <w:tcW w:w="5720" w:type="dxa"/>
            <w:vAlign w:val="bottom"/>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588"/>
              <w:spacing w:after="0"/>
              <w:rPr>
                <w:sz w:val="20"/>
                <w:szCs w:val="20"/>
                <w:color w:val="auto"/>
              </w:rPr>
            </w:pPr>
            <w:r>
              <w:rPr>
                <w:rFonts w:ascii="Arial" w:cs="Arial" w:eastAsia="Arial" w:hAnsi="Arial"/>
                <w:sz w:val="14"/>
                <w:szCs w:val="14"/>
                <w:b w:val="1"/>
                <w:bCs w:val="1"/>
                <w:color w:val="auto"/>
              </w:rPr>
              <w:t>June 30,</w:t>
            </w:r>
          </w:p>
        </w:tc>
        <w:tc>
          <w:tcPr>
            <w:tcW w:w="42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18"/>
                <w:szCs w:val="18"/>
                <w:color w:val="auto"/>
              </w:rPr>
            </w:pPr>
          </w:p>
        </w:tc>
      </w:tr>
      <w:tr>
        <w:trPr>
          <w:trHeight w:val="196"/>
        </w:trPr>
        <w:tc>
          <w:tcPr>
            <w:tcW w:w="57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2019</w:t>
            </w:r>
          </w:p>
        </w:tc>
        <w:tc>
          <w:tcPr>
            <w:tcW w:w="42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r>
      <w:tr>
        <w:trPr>
          <w:trHeight w:val="202"/>
        </w:trPr>
        <w:tc>
          <w:tcPr>
            <w:tcW w:w="5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Numerator:</w:t>
            </w:r>
          </w:p>
        </w:tc>
        <w:tc>
          <w:tcPr>
            <w:tcW w:w="8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r>
      <w:tr>
        <w:trPr>
          <w:trHeight w:val="197"/>
        </w:trPr>
        <w:tc>
          <w:tcPr>
            <w:tcW w:w="572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Net income attributable to World Fuel</w:t>
            </w:r>
          </w:p>
        </w:tc>
        <w:tc>
          <w:tcPr>
            <w:tcW w:w="82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color w:val="auto"/>
                <w:w w:val="76"/>
              </w:rPr>
              <w:t>$</w:t>
            </w:r>
          </w:p>
        </w:tc>
        <w:tc>
          <w:tcPr>
            <w:tcW w:w="4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92"/>
              </w:rPr>
              <w:t>(10.2)</w:t>
            </w:r>
          </w:p>
        </w:tc>
        <w:tc>
          <w:tcPr>
            <w:tcW w:w="980" w:type="dxa"/>
            <w:vAlign w:val="bottom"/>
            <w:tcBorders>
              <w:bottom w:val="single" w:sz="8" w:color="auto"/>
            </w:tcBorders>
          </w:tcPr>
          <w:p>
            <w:pPr>
              <w:jc w:val="right"/>
              <w:ind w:right="70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95"/>
              </w:rPr>
              <w:t>37.0</w:t>
            </w:r>
          </w:p>
        </w:tc>
        <w:tc>
          <w:tcPr>
            <w:tcW w:w="4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31.2</w:t>
            </w:r>
          </w:p>
        </w:tc>
        <w:tc>
          <w:tcPr>
            <w:tcW w:w="4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74.2</w:t>
            </w:r>
          </w:p>
        </w:tc>
      </w:tr>
      <w:tr>
        <w:trPr>
          <w:trHeight w:val="202"/>
        </w:trPr>
        <w:tc>
          <w:tcPr>
            <w:tcW w:w="5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Denominator:</w:t>
            </w:r>
          </w:p>
        </w:tc>
        <w:tc>
          <w:tcPr>
            <w:tcW w:w="8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r>
      <w:tr>
        <w:trPr>
          <w:trHeight w:val="196"/>
        </w:trPr>
        <w:tc>
          <w:tcPr>
            <w:tcW w:w="5720" w:type="dxa"/>
            <w:vAlign w:val="bottom"/>
          </w:tcPr>
          <w:p>
            <w:pPr>
              <w:ind w:left="120"/>
              <w:spacing w:after="0"/>
              <w:rPr>
                <w:sz w:val="20"/>
                <w:szCs w:val="20"/>
                <w:color w:val="auto"/>
              </w:rPr>
            </w:pPr>
            <w:r>
              <w:rPr>
                <w:rFonts w:ascii="Arial" w:cs="Arial" w:eastAsia="Arial" w:hAnsi="Arial"/>
                <w:sz w:val="14"/>
                <w:szCs w:val="14"/>
                <w:color w:val="auto"/>
              </w:rPr>
              <w:t>Weighted average common shares for basic earnings per common share</w:t>
            </w:r>
          </w:p>
        </w:tc>
        <w:tc>
          <w:tcPr>
            <w:tcW w:w="820" w:type="dxa"/>
            <w:vAlign w:val="bottom"/>
          </w:tcPr>
          <w:p>
            <w:pPr>
              <w:spacing w:after="0"/>
              <w:rPr>
                <w:sz w:val="17"/>
                <w:szCs w:val="17"/>
                <w:color w:val="auto"/>
              </w:rPr>
            </w:pPr>
          </w:p>
        </w:tc>
        <w:tc>
          <w:tcPr>
            <w:tcW w:w="480" w:type="dxa"/>
            <w:vAlign w:val="bottom"/>
          </w:tcPr>
          <w:p>
            <w:pPr>
              <w:jc w:val="right"/>
              <w:ind w:right="68"/>
              <w:spacing w:after="0"/>
              <w:rPr>
                <w:sz w:val="20"/>
                <w:szCs w:val="20"/>
                <w:color w:val="auto"/>
              </w:rPr>
            </w:pPr>
            <w:r>
              <w:rPr>
                <w:rFonts w:ascii="Arial" w:cs="Arial" w:eastAsia="Arial" w:hAnsi="Arial"/>
                <w:sz w:val="14"/>
                <w:szCs w:val="14"/>
                <w:color w:val="auto"/>
              </w:rPr>
              <w:t>63.3</w:t>
            </w:r>
          </w:p>
        </w:tc>
        <w:tc>
          <w:tcPr>
            <w:tcW w:w="980" w:type="dxa"/>
            <w:vAlign w:val="bottom"/>
          </w:tcPr>
          <w:p>
            <w:pPr>
              <w:spacing w:after="0"/>
              <w:rPr>
                <w:sz w:val="17"/>
                <w:szCs w:val="17"/>
                <w:color w:val="auto"/>
              </w:rPr>
            </w:pPr>
          </w:p>
        </w:tc>
        <w:tc>
          <w:tcPr>
            <w:tcW w:w="420" w:type="dxa"/>
            <w:vAlign w:val="bottom"/>
          </w:tcPr>
          <w:p>
            <w:pPr>
              <w:jc w:val="right"/>
              <w:ind w:right="68"/>
              <w:spacing w:after="0"/>
              <w:rPr>
                <w:sz w:val="20"/>
                <w:szCs w:val="20"/>
                <w:color w:val="auto"/>
              </w:rPr>
            </w:pPr>
            <w:r>
              <w:rPr>
                <w:rFonts w:ascii="Arial" w:cs="Arial" w:eastAsia="Arial" w:hAnsi="Arial"/>
                <w:sz w:val="14"/>
                <w:szCs w:val="14"/>
                <w:color w:val="auto"/>
                <w:w w:val="95"/>
              </w:rPr>
              <w:t>66.7</w:t>
            </w:r>
          </w:p>
        </w:tc>
        <w:tc>
          <w:tcPr>
            <w:tcW w:w="420" w:type="dxa"/>
            <w:vAlign w:val="bottom"/>
          </w:tcPr>
          <w:p>
            <w:pPr>
              <w:spacing w:after="0"/>
              <w:rPr>
                <w:sz w:val="17"/>
                <w:szCs w:val="17"/>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64.1</w:t>
            </w:r>
          </w:p>
        </w:tc>
        <w:tc>
          <w:tcPr>
            <w:tcW w:w="48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66.9</w:t>
            </w:r>
          </w:p>
        </w:tc>
      </w:tr>
      <w:tr>
        <w:trPr>
          <w:trHeight w:val="203"/>
        </w:trPr>
        <w:tc>
          <w:tcPr>
            <w:tcW w:w="572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Effect of dilutive securities</w:t>
            </w:r>
          </w:p>
        </w:tc>
        <w:tc>
          <w:tcPr>
            <w:tcW w:w="82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spacing w:after="0"/>
              <w:rPr>
                <w:sz w:val="17"/>
                <w:szCs w:val="17"/>
                <w:color w:val="auto"/>
              </w:rPr>
            </w:pPr>
          </w:p>
        </w:tc>
        <w:tc>
          <w:tcPr>
            <w:tcW w:w="4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0.3</w:t>
            </w:r>
          </w:p>
        </w:tc>
        <w:tc>
          <w:tcPr>
            <w:tcW w:w="42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0.3</w:t>
            </w:r>
          </w:p>
        </w:tc>
        <w:tc>
          <w:tcPr>
            <w:tcW w:w="48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0.3</w:t>
            </w:r>
          </w:p>
        </w:tc>
      </w:tr>
      <w:tr>
        <w:trPr>
          <w:trHeight w:val="196"/>
        </w:trPr>
        <w:tc>
          <w:tcPr>
            <w:tcW w:w="5720" w:type="dxa"/>
            <w:vAlign w:val="bottom"/>
            <w:tcBorders>
              <w:bottom w:val="single" w:sz="8" w:color="auto"/>
            </w:tcBorders>
          </w:tcPr>
          <w:p>
            <w:pPr>
              <w:ind w:left="120"/>
              <w:spacing w:after="0"/>
              <w:rPr>
                <w:sz w:val="20"/>
                <w:szCs w:val="20"/>
                <w:color w:val="auto"/>
              </w:rPr>
            </w:pPr>
            <w:r>
              <w:rPr>
                <w:rFonts w:ascii="Arial" w:cs="Arial" w:eastAsia="Arial" w:hAnsi="Arial"/>
                <w:sz w:val="14"/>
                <w:szCs w:val="14"/>
                <w:color w:val="auto"/>
              </w:rPr>
              <w:t>Weighted average common shares for diluted earnings per common share</w:t>
            </w:r>
          </w:p>
        </w:tc>
        <w:tc>
          <w:tcPr>
            <w:tcW w:w="82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63.3</w:t>
            </w:r>
          </w:p>
        </w:tc>
        <w:tc>
          <w:tcPr>
            <w:tcW w:w="98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95"/>
              </w:rPr>
              <w:t>67.0</w:t>
            </w:r>
          </w:p>
        </w:tc>
        <w:tc>
          <w:tcPr>
            <w:tcW w:w="4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64.4</w:t>
            </w:r>
          </w:p>
        </w:tc>
        <w:tc>
          <w:tcPr>
            <w:tcW w:w="4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67.2</w:t>
            </w:r>
          </w:p>
        </w:tc>
      </w:tr>
      <w:tr>
        <w:trPr>
          <w:trHeight w:val="20"/>
        </w:trPr>
        <w:tc>
          <w:tcPr>
            <w:tcW w:w="57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243"/>
        </w:trPr>
        <w:tc>
          <w:tcPr>
            <w:tcW w:w="57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spacing w:after="0"/>
              <w:rPr>
                <w:sz w:val="21"/>
                <w:szCs w:val="21"/>
                <w:color w:val="auto"/>
              </w:rPr>
            </w:pPr>
          </w:p>
        </w:tc>
      </w:tr>
      <w:tr>
        <w:trPr>
          <w:trHeight w:val="150"/>
        </w:trPr>
        <w:tc>
          <w:tcPr>
            <w:tcW w:w="5720" w:type="dxa"/>
            <w:vAlign w:val="bottom"/>
          </w:tcPr>
          <w:p>
            <w:pPr>
              <w:ind w:left="20"/>
              <w:spacing w:after="0" w:line="151" w:lineRule="exact"/>
              <w:rPr>
                <w:sz w:val="20"/>
                <w:szCs w:val="20"/>
                <w:color w:val="auto"/>
              </w:rPr>
            </w:pPr>
            <w:r>
              <w:rPr>
                <w:rFonts w:ascii="Arial" w:cs="Arial" w:eastAsia="Arial" w:hAnsi="Arial"/>
                <w:sz w:val="14"/>
                <w:szCs w:val="14"/>
                <w:color w:val="auto"/>
                <w:w w:val="99"/>
              </w:rPr>
              <w:t>Weighted average securities which are not included in the calculation of diluted earnings per</w:t>
            </w:r>
          </w:p>
        </w:tc>
        <w:tc>
          <w:tcPr>
            <w:tcW w:w="8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40" w:type="dxa"/>
            <w:vAlign w:val="bottom"/>
          </w:tcPr>
          <w:p>
            <w:pPr>
              <w:spacing w:after="0"/>
              <w:rPr>
                <w:sz w:val="13"/>
                <w:szCs w:val="13"/>
                <w:color w:val="auto"/>
              </w:rPr>
            </w:pPr>
          </w:p>
        </w:tc>
      </w:tr>
      <w:tr>
        <w:trPr>
          <w:trHeight w:val="149"/>
        </w:trPr>
        <w:tc>
          <w:tcPr>
            <w:tcW w:w="5720" w:type="dxa"/>
            <w:vAlign w:val="bottom"/>
          </w:tcPr>
          <w:p>
            <w:pPr>
              <w:ind w:left="20"/>
              <w:spacing w:after="0" w:line="149" w:lineRule="exact"/>
              <w:rPr>
                <w:sz w:val="20"/>
                <w:szCs w:val="20"/>
                <w:color w:val="auto"/>
              </w:rPr>
            </w:pPr>
            <w:r>
              <w:rPr>
                <w:rFonts w:ascii="Arial" w:cs="Arial" w:eastAsia="Arial" w:hAnsi="Arial"/>
                <w:sz w:val="14"/>
                <w:szCs w:val="14"/>
                <w:color w:val="auto"/>
                <w:w w:val="99"/>
              </w:rPr>
              <w:t>common share because their impact is anti-dilutive or their performance conditions have not</w:t>
            </w:r>
          </w:p>
        </w:tc>
        <w:tc>
          <w:tcPr>
            <w:tcW w:w="8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40" w:type="dxa"/>
            <w:vAlign w:val="bottom"/>
          </w:tcPr>
          <w:p>
            <w:pPr>
              <w:spacing w:after="0"/>
              <w:rPr>
                <w:sz w:val="12"/>
                <w:szCs w:val="12"/>
                <w:color w:val="auto"/>
              </w:rPr>
            </w:pPr>
          </w:p>
        </w:tc>
      </w:tr>
      <w:tr>
        <w:trPr>
          <w:trHeight w:val="188"/>
        </w:trPr>
        <w:tc>
          <w:tcPr>
            <w:tcW w:w="57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been met</w:t>
            </w:r>
          </w:p>
        </w:tc>
        <w:tc>
          <w:tcPr>
            <w:tcW w:w="82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3.4</w:t>
            </w:r>
          </w:p>
        </w:tc>
        <w:tc>
          <w:tcPr>
            <w:tcW w:w="98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1.5</w:t>
            </w:r>
          </w:p>
        </w:tc>
        <w:tc>
          <w:tcPr>
            <w:tcW w:w="4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w:t>
            </w:r>
          </w:p>
        </w:tc>
        <w:tc>
          <w:tcPr>
            <w:tcW w:w="4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2.3</w:t>
            </w:r>
          </w:p>
        </w:tc>
      </w:tr>
      <w:tr>
        <w:trPr>
          <w:trHeight w:val="20"/>
        </w:trPr>
        <w:tc>
          <w:tcPr>
            <w:tcW w:w="57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89"/>
        </w:trPr>
        <w:tc>
          <w:tcPr>
            <w:tcW w:w="57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97"/>
        </w:trPr>
        <w:tc>
          <w:tcPr>
            <w:tcW w:w="57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Basic earnings per common share</w:t>
            </w:r>
          </w:p>
        </w:tc>
        <w:tc>
          <w:tcPr>
            <w:tcW w:w="82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color w:val="auto"/>
                <w:w w:val="76"/>
              </w:rPr>
              <w:t>$</w:t>
            </w:r>
          </w:p>
        </w:tc>
        <w:tc>
          <w:tcPr>
            <w:tcW w:w="4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92"/>
              </w:rPr>
              <w:t>(0.16)</w:t>
            </w:r>
          </w:p>
        </w:tc>
        <w:tc>
          <w:tcPr>
            <w:tcW w:w="980" w:type="dxa"/>
            <w:vAlign w:val="bottom"/>
            <w:tcBorders>
              <w:bottom w:val="single" w:sz="8" w:color="auto"/>
            </w:tcBorders>
          </w:tcPr>
          <w:p>
            <w:pPr>
              <w:jc w:val="right"/>
              <w:ind w:right="70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95"/>
              </w:rPr>
              <w:t>0.56</w:t>
            </w:r>
          </w:p>
        </w:tc>
        <w:tc>
          <w:tcPr>
            <w:tcW w:w="4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0.49</w:t>
            </w:r>
          </w:p>
        </w:tc>
        <w:tc>
          <w:tcPr>
            <w:tcW w:w="4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1.11</w:t>
            </w:r>
          </w:p>
        </w:tc>
      </w:tr>
      <w:tr>
        <w:trPr>
          <w:trHeight w:val="20"/>
        </w:trPr>
        <w:tc>
          <w:tcPr>
            <w:tcW w:w="57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189"/>
        </w:trPr>
        <w:tc>
          <w:tcPr>
            <w:tcW w:w="57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97"/>
        </w:trPr>
        <w:tc>
          <w:tcPr>
            <w:tcW w:w="57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Diluted earnings per common share</w:t>
            </w:r>
          </w:p>
        </w:tc>
        <w:tc>
          <w:tcPr>
            <w:tcW w:w="82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color w:val="auto"/>
                <w:w w:val="76"/>
              </w:rPr>
              <w:t>$</w:t>
            </w:r>
          </w:p>
        </w:tc>
        <w:tc>
          <w:tcPr>
            <w:tcW w:w="4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92"/>
              </w:rPr>
              <w:t>(0.16)</w:t>
            </w:r>
          </w:p>
        </w:tc>
        <w:tc>
          <w:tcPr>
            <w:tcW w:w="980" w:type="dxa"/>
            <w:vAlign w:val="bottom"/>
            <w:tcBorders>
              <w:bottom w:val="single" w:sz="8" w:color="auto"/>
            </w:tcBorders>
          </w:tcPr>
          <w:p>
            <w:pPr>
              <w:jc w:val="right"/>
              <w:ind w:right="70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95"/>
              </w:rPr>
              <w:t>0.55</w:t>
            </w:r>
          </w:p>
        </w:tc>
        <w:tc>
          <w:tcPr>
            <w:tcW w:w="4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0.48</w:t>
            </w:r>
          </w:p>
        </w:tc>
        <w:tc>
          <w:tcPr>
            <w:tcW w:w="4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1.10</w:t>
            </w:r>
          </w:p>
        </w:tc>
      </w:tr>
      <w:tr>
        <w:trPr>
          <w:trHeight w:val="26"/>
        </w:trPr>
        <w:tc>
          <w:tcPr>
            <w:tcW w:w="57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bl>
    <w:p>
      <w:pPr>
        <w:spacing w:after="0" w:line="252" w:lineRule="exact"/>
        <w:rPr>
          <w:sz w:val="20"/>
          <w:szCs w:val="20"/>
          <w:color w:val="auto"/>
        </w:rPr>
      </w:pPr>
    </w:p>
    <w:p>
      <w:pPr>
        <w:ind w:left="340" w:right="8420" w:hanging="332"/>
        <w:spacing w:after="0" w:line="503" w:lineRule="auto"/>
        <w:tabs>
          <w:tab w:leader="none" w:pos="286"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 Tax Matters</w:t>
      </w:r>
    </w:p>
    <w:p>
      <w:pPr>
        <w:jc w:val="both"/>
        <w:ind w:firstLine="379"/>
        <w:spacing w:after="0" w:line="263" w:lineRule="auto"/>
        <w:rPr>
          <w:sz w:val="20"/>
          <w:szCs w:val="20"/>
          <w:color w:val="auto"/>
        </w:rPr>
      </w:pPr>
      <w:r>
        <w:rPr>
          <w:rFonts w:ascii="Arial" w:cs="Arial" w:eastAsia="Arial" w:hAnsi="Arial"/>
          <w:sz w:val="18"/>
          <w:szCs w:val="18"/>
          <w:color w:val="auto"/>
        </w:rPr>
        <w:t>From time to time, we are under review by various domestic and foreign tax authorities with regard to indirect tax matters and are involved in various challenges and litigation in a number of countries, including, in particular, Brazil and South Korea, where the amounts under controversy may be material. We believe that these assessments are without merit and are currently appealing the actions.</w:t>
      </w:r>
    </w:p>
    <w:p>
      <w:pPr>
        <w:spacing w:after="0" w:line="184"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During the quarter ended December 31, 2016, the Korean branch of one of our subsidiaries received assessments of approximately $9.4 million (KRW 11.3 billion) and during the quarter ended June 30, 2017, an assessment for an additional $16.8 million (KRW 20.1 billion) from the regional tax authorities of Seoul, South Korea. The assessments primarily consist of fines and penalties for allegedly failing to issue Value Added Tax ("VAT") invoices and report certain transactions during the period 2011-2014. These assessments do not involve failure to pay or collect VAT. We believe that these assessments are without merit and are currently appealing the actions.</w:t>
      </w:r>
    </w:p>
    <w:p>
      <w:pPr>
        <w:spacing w:after="0" w:line="188"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are also involved in a number of tax disputes with federal, state and municipal tax authorities in Brazil, relating primarily to a VAT tax known as ICMS. These disputes are at various stages of the legal process, including the administrative review phase and the collection action phase, and include assessments of fixed amounts of principal and penalties, plus interest. One of our Brazilian subsidiaries is currently appealing an assessment of approximately $9.0 million (BRL 49.1 million) from the Brazilian tax authorities relating to the ICMS rate used for certain transactions. The assessment primarily consists of</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color w:val="auto"/>
        </w:rPr>
        <w:t>interest and penalties. We believe that the assessment is without merit and are pursuing our remedies in the judicial court system.</w:t>
      </w:r>
    </w:p>
    <w:p>
      <w:pPr>
        <w:spacing w:after="0" w:line="225" w:lineRule="exact"/>
        <w:rPr>
          <w:sz w:val="20"/>
          <w:szCs w:val="20"/>
          <w:color w:val="auto"/>
        </w:rPr>
      </w:pPr>
    </w:p>
    <w:p>
      <w:pPr>
        <w:jc w:val="both"/>
        <w:ind w:firstLine="506"/>
        <w:spacing w:after="0" w:line="273" w:lineRule="auto"/>
        <w:rPr>
          <w:sz w:val="20"/>
          <w:szCs w:val="20"/>
          <w:color w:val="auto"/>
        </w:rPr>
      </w:pPr>
      <w:r>
        <w:rPr>
          <w:rFonts w:ascii="Arial" w:cs="Arial" w:eastAsia="Arial" w:hAnsi="Arial"/>
          <w:sz w:val="17"/>
          <w:szCs w:val="17"/>
          <w:color w:val="auto"/>
        </w:rPr>
        <w:t>When we deem it appropriate and the amounts are reasonably estimable, we establish reserves for potential adjustments to our provision for the accrual of indirect taxes that may result from examinations or other actions by tax authorities. If events occur which indicate payment of these amounts is unnecessary, the reversal of the liabilities will result in the recognition of benefits in the period we determine the liabilities are no longer necessary. If our estimates of any of our federal, state, and foreign indirect tax liabilities are less than the ultimate assessment, it could result in a further charge to expense. Except with respect to the matters described above, we believe that the final outcome of any pending examinations, agreements, administrative or judicial proceedings will not have a material effect on our results of operations or cash flows.</w:t>
      </w:r>
    </w:p>
    <w:p>
      <w:pPr>
        <w:spacing w:after="0" w:line="20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Other Matters</w:t>
      </w:r>
    </w:p>
    <w:p>
      <w:pPr>
        <w:spacing w:after="0" w:line="256" w:lineRule="exact"/>
        <w:rPr>
          <w:sz w:val="20"/>
          <w:szCs w:val="20"/>
          <w:color w:val="auto"/>
        </w:rPr>
      </w:pPr>
    </w:p>
    <w:p>
      <w:pPr>
        <w:jc w:val="both"/>
        <w:ind w:firstLine="545"/>
        <w:spacing w:after="0" w:line="290" w:lineRule="auto"/>
        <w:rPr>
          <w:sz w:val="20"/>
          <w:szCs w:val="20"/>
          <w:color w:val="auto"/>
        </w:rPr>
      </w:pPr>
      <w:r>
        <w:rPr>
          <w:rFonts w:ascii="Arial" w:cs="Arial" w:eastAsia="Arial" w:hAnsi="Arial"/>
          <w:sz w:val="16"/>
          <w:szCs w:val="16"/>
          <w:color w:val="auto"/>
        </w:rPr>
        <w:t>We are also a party to various claims, complaints and proceedings arising in the ordinary course of our business including, but not limited to, environmental claims, commercial and governmental contract claims, such as property damage, demurrage, personal injury, billing and fuel quality claims, as well as bankruptcy preference claims and tax and administrative claims. We have established loss provisions for these ordinary course claims as well as other matters in which losses are probable and can be reasonably estimated. As of June 30, 2020, we had recorded certain reserves that were not material. For those matters where a reserve has not been established and for which we believe a loss is reasonably possible, as well as for matters where a reserve has been recorded but for which exposure to loss in excess of the amount accrued is reasonably possible, we believe that such losses will not have a material adverse effect on our Consolidated Financial Statements. However, any adverse resolution of one or more such claims, complaints or proceedings during a particular period could have a material adverse effect on our Consolidated Financial Statements or disclosures for that period.</w:t>
      </w:r>
    </w:p>
    <w:p>
      <w:pPr>
        <w:spacing w:after="0" w:line="165" w:lineRule="exact"/>
        <w:rPr>
          <w:sz w:val="20"/>
          <w:szCs w:val="20"/>
          <w:color w:val="auto"/>
        </w:rPr>
      </w:pPr>
    </w:p>
    <w:p>
      <w:pPr>
        <w:jc w:val="both"/>
        <w:ind w:firstLine="580"/>
        <w:spacing w:after="0" w:line="286" w:lineRule="auto"/>
        <w:rPr>
          <w:sz w:val="20"/>
          <w:szCs w:val="20"/>
          <w:color w:val="auto"/>
        </w:rPr>
      </w:pPr>
      <w:r>
        <w:rPr>
          <w:rFonts w:ascii="Arial" w:cs="Arial" w:eastAsia="Arial" w:hAnsi="Arial"/>
          <w:sz w:val="17"/>
          <w:szCs w:val="17"/>
          <w:color w:val="auto"/>
        </w:rPr>
        <w:t>Our estimates regarding potential losses and materiality are based on our judgment and assessment of the claims utilizing currently available information. Although we will continue to reassess our reserves and estimates based on future developments, our objective assessment of the legal merits of such claims may not always be predictive of the outcome and actual results may vary from our current estimates.</w:t>
      </w: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Restructuring</w:t>
      </w:r>
    </w:p>
    <w:p>
      <w:pPr>
        <w:spacing w:after="0" w:line="256"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As a result of the continued review of our land business and changes in the overall economic landscape for all reportable segments as a result of the COVID-19 pandemic, we are implementing a restructuring initiative focused on further streamlining our operations and sharpening our deployment of resources in 2020. While the company took several actions during the second quarter of 2020, we continue to evaluate and define the overall restructuring plan as the full impact of COVID-19 on our business and our customers is unknown.</w:t>
      </w:r>
    </w:p>
    <w:p>
      <w:pPr>
        <w:spacing w:after="0" w:line="214"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For the six months ended June 30, 2020, we incurred $4.8 million in restructuring costs, comprised principally of certain severance costs included in Restructuring charges in our Consolidated Statements of Income and Comprehensive Income. Our accrued restructuring charges as of June 30, 2020 are included in Accrued expenses and other current liabilities on our Consolidated Balance Sheet.</w:t>
      </w:r>
    </w:p>
    <w:p>
      <w:pPr>
        <w:spacing w:after="0" w:line="14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provides a summary of our restructuring activities during the six months ended June 30, 2020 (in millions):</w:t>
      </w:r>
    </w:p>
    <w:p>
      <w:pPr>
        <w:spacing w:after="0" w:line="244"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5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w w:val="94"/>
              </w:rPr>
              <w:t>Aviation</w:t>
            </w:r>
          </w:p>
        </w:tc>
        <w:tc>
          <w:tcPr>
            <w:tcW w:w="5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ind w:left="460"/>
              <w:spacing w:after="0"/>
              <w:rPr>
                <w:sz w:val="20"/>
                <w:szCs w:val="20"/>
                <w:color w:val="auto"/>
              </w:rPr>
            </w:pPr>
            <w:r>
              <w:rPr>
                <w:rFonts w:ascii="Arial" w:cs="Arial" w:eastAsia="Arial" w:hAnsi="Arial"/>
                <w:sz w:val="14"/>
                <w:szCs w:val="14"/>
                <w:b w:val="1"/>
                <w:bCs w:val="1"/>
                <w:color w:val="auto"/>
                <w:w w:val="95"/>
              </w:rPr>
              <w:t>Land</w:t>
            </w:r>
          </w:p>
        </w:tc>
        <w:tc>
          <w:tcPr>
            <w:tcW w:w="4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left="288"/>
              <w:spacing w:after="0"/>
              <w:rPr>
                <w:sz w:val="20"/>
                <w:szCs w:val="20"/>
                <w:color w:val="auto"/>
              </w:rPr>
            </w:pPr>
            <w:r>
              <w:rPr>
                <w:rFonts w:ascii="Arial" w:cs="Arial" w:eastAsia="Arial" w:hAnsi="Arial"/>
                <w:sz w:val="14"/>
                <w:szCs w:val="14"/>
                <w:b w:val="1"/>
                <w:bCs w:val="1"/>
                <w:color w:val="auto"/>
              </w:rPr>
              <w:t>Marine</w:t>
            </w:r>
          </w:p>
        </w:tc>
        <w:tc>
          <w:tcPr>
            <w:tcW w:w="3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ind w:left="280"/>
              <w:spacing w:after="0"/>
              <w:rPr>
                <w:sz w:val="20"/>
                <w:szCs w:val="20"/>
                <w:color w:val="auto"/>
              </w:rPr>
            </w:pPr>
            <w:r>
              <w:rPr>
                <w:rFonts w:ascii="Arial" w:cs="Arial" w:eastAsia="Arial" w:hAnsi="Arial"/>
                <w:sz w:val="14"/>
                <w:szCs w:val="14"/>
                <w:b w:val="1"/>
                <w:bCs w:val="1"/>
                <w:color w:val="auto"/>
                <w:w w:val="95"/>
              </w:rPr>
              <w:t>Corporate</w:t>
            </w:r>
          </w:p>
        </w:tc>
        <w:tc>
          <w:tcPr>
            <w:tcW w:w="3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w w:val="90"/>
              </w:rPr>
              <w:t>Consolidated</w:t>
            </w:r>
          </w:p>
        </w:tc>
      </w:tr>
      <w:tr>
        <w:trPr>
          <w:trHeight w:val="202"/>
        </w:trPr>
        <w:tc>
          <w:tcPr>
            <w:tcW w:w="356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December 31, 2019</w:t>
            </w:r>
          </w:p>
        </w:tc>
        <w:tc>
          <w:tcPr>
            <w:tcW w:w="152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center"/>
              <w:ind w:left="348"/>
              <w:spacing w:after="0"/>
              <w:rPr>
                <w:sz w:val="20"/>
                <w:szCs w:val="20"/>
                <w:color w:val="auto"/>
              </w:rPr>
            </w:pPr>
            <w:r>
              <w:rPr>
                <w:rFonts w:ascii="Arial" w:cs="Arial" w:eastAsia="Arial" w:hAnsi="Arial"/>
                <w:sz w:val="14"/>
                <w:szCs w:val="14"/>
                <w:color w:val="auto"/>
                <w:w w:val="92"/>
              </w:rPr>
              <w:t>0.5</w:t>
            </w:r>
          </w:p>
        </w:tc>
        <w:tc>
          <w:tcPr>
            <w:tcW w:w="500" w:type="dxa"/>
            <w:vAlign w:val="bottom"/>
            <w:shd w:val="clear" w:color="auto" w:fill="CCEEFF"/>
          </w:tcPr>
          <w:p>
            <w:pPr>
              <w:jc w:val="right"/>
              <w:ind w:right="34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center"/>
              <w:ind w:left="268"/>
              <w:spacing w:after="0"/>
              <w:rPr>
                <w:sz w:val="20"/>
                <w:szCs w:val="20"/>
                <w:color w:val="auto"/>
              </w:rPr>
            </w:pPr>
            <w:r>
              <w:rPr>
                <w:rFonts w:ascii="Arial" w:cs="Arial" w:eastAsia="Arial" w:hAnsi="Arial"/>
                <w:sz w:val="14"/>
                <w:szCs w:val="14"/>
                <w:color w:val="auto"/>
                <w:w w:val="92"/>
              </w:rPr>
              <w:t>7.5</w:t>
            </w: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center"/>
              <w:ind w:left="328"/>
              <w:spacing w:after="0"/>
              <w:rPr>
                <w:sz w:val="20"/>
                <w:szCs w:val="20"/>
                <w:color w:val="auto"/>
              </w:rPr>
            </w:pPr>
            <w:r>
              <w:rPr>
                <w:rFonts w:ascii="Arial" w:cs="Arial" w:eastAsia="Arial" w:hAnsi="Arial"/>
                <w:sz w:val="14"/>
                <w:szCs w:val="14"/>
                <w:color w:val="auto"/>
                <w:w w:val="92"/>
              </w:rPr>
              <w:t>1.3</w:t>
            </w:r>
          </w:p>
        </w:tc>
        <w:tc>
          <w:tcPr>
            <w:tcW w:w="36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center"/>
              <w:ind w:left="408"/>
              <w:spacing w:after="0"/>
              <w:rPr>
                <w:sz w:val="20"/>
                <w:szCs w:val="20"/>
                <w:color w:val="auto"/>
              </w:rPr>
            </w:pPr>
            <w:r>
              <w:rPr>
                <w:rFonts w:ascii="Arial" w:cs="Arial" w:eastAsia="Arial" w:hAnsi="Arial"/>
                <w:sz w:val="14"/>
                <w:szCs w:val="14"/>
                <w:color w:val="auto"/>
                <w:w w:val="92"/>
              </w:rPr>
              <w:t>0.2</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center"/>
              <w:ind w:left="448"/>
              <w:spacing w:after="0"/>
              <w:rPr>
                <w:sz w:val="20"/>
                <w:szCs w:val="20"/>
                <w:color w:val="auto"/>
              </w:rPr>
            </w:pPr>
            <w:r>
              <w:rPr>
                <w:rFonts w:ascii="Arial" w:cs="Arial" w:eastAsia="Arial" w:hAnsi="Arial"/>
                <w:sz w:val="14"/>
                <w:szCs w:val="14"/>
                <w:color w:val="auto"/>
                <w:w w:val="92"/>
              </w:rPr>
              <w:t>9.5</w:t>
            </w:r>
          </w:p>
        </w:tc>
      </w:tr>
      <w:tr>
        <w:trPr>
          <w:trHeight w:val="197"/>
        </w:trPr>
        <w:tc>
          <w:tcPr>
            <w:tcW w:w="3560" w:type="dxa"/>
            <w:vAlign w:val="bottom"/>
          </w:tcPr>
          <w:p>
            <w:pPr>
              <w:ind w:left="20"/>
              <w:spacing w:after="0"/>
              <w:rPr>
                <w:sz w:val="20"/>
                <w:szCs w:val="20"/>
                <w:color w:val="auto"/>
              </w:rPr>
            </w:pPr>
            <w:r>
              <w:rPr>
                <w:rFonts w:ascii="Arial" w:cs="Arial" w:eastAsia="Arial" w:hAnsi="Arial"/>
                <w:sz w:val="14"/>
                <w:szCs w:val="14"/>
                <w:color w:val="auto"/>
              </w:rPr>
              <w:t>Severance costs</w:t>
            </w:r>
          </w:p>
        </w:tc>
        <w:tc>
          <w:tcPr>
            <w:tcW w:w="1520" w:type="dxa"/>
            <w:vAlign w:val="bottom"/>
          </w:tcPr>
          <w:p>
            <w:pPr>
              <w:spacing w:after="0"/>
              <w:rPr>
                <w:sz w:val="17"/>
                <w:szCs w:val="17"/>
                <w:color w:val="auto"/>
              </w:rPr>
            </w:pPr>
          </w:p>
        </w:tc>
        <w:tc>
          <w:tcPr>
            <w:tcW w:w="880" w:type="dxa"/>
            <w:vAlign w:val="bottom"/>
          </w:tcPr>
          <w:p>
            <w:pPr>
              <w:jc w:val="center"/>
              <w:ind w:left="348"/>
              <w:spacing w:after="0"/>
              <w:rPr>
                <w:sz w:val="20"/>
                <w:szCs w:val="20"/>
                <w:color w:val="auto"/>
              </w:rPr>
            </w:pPr>
            <w:r>
              <w:rPr>
                <w:rFonts w:ascii="Arial" w:cs="Arial" w:eastAsia="Arial" w:hAnsi="Arial"/>
                <w:sz w:val="14"/>
                <w:szCs w:val="14"/>
                <w:color w:val="auto"/>
                <w:w w:val="92"/>
              </w:rPr>
              <w:t>0.7</w:t>
            </w:r>
          </w:p>
        </w:tc>
        <w:tc>
          <w:tcPr>
            <w:tcW w:w="500" w:type="dxa"/>
            <w:vAlign w:val="bottom"/>
          </w:tcPr>
          <w:p>
            <w:pPr>
              <w:spacing w:after="0"/>
              <w:rPr>
                <w:sz w:val="17"/>
                <w:szCs w:val="17"/>
                <w:color w:val="auto"/>
              </w:rPr>
            </w:pPr>
          </w:p>
        </w:tc>
        <w:tc>
          <w:tcPr>
            <w:tcW w:w="800" w:type="dxa"/>
            <w:vAlign w:val="bottom"/>
          </w:tcPr>
          <w:p>
            <w:pPr>
              <w:jc w:val="center"/>
              <w:ind w:left="268"/>
              <w:spacing w:after="0"/>
              <w:rPr>
                <w:sz w:val="20"/>
                <w:szCs w:val="20"/>
                <w:color w:val="auto"/>
              </w:rPr>
            </w:pPr>
            <w:r>
              <w:rPr>
                <w:rFonts w:ascii="Arial" w:cs="Arial" w:eastAsia="Arial" w:hAnsi="Arial"/>
                <w:sz w:val="14"/>
                <w:szCs w:val="14"/>
                <w:color w:val="auto"/>
                <w:w w:val="92"/>
              </w:rPr>
              <w:t>2.7</w:t>
            </w:r>
          </w:p>
        </w:tc>
        <w:tc>
          <w:tcPr>
            <w:tcW w:w="460" w:type="dxa"/>
            <w:vAlign w:val="bottom"/>
          </w:tcPr>
          <w:p>
            <w:pPr>
              <w:spacing w:after="0"/>
              <w:rPr>
                <w:sz w:val="17"/>
                <w:szCs w:val="17"/>
                <w:color w:val="auto"/>
              </w:rPr>
            </w:pPr>
          </w:p>
        </w:tc>
        <w:tc>
          <w:tcPr>
            <w:tcW w:w="860" w:type="dxa"/>
            <w:vAlign w:val="bottom"/>
          </w:tcPr>
          <w:p>
            <w:pPr>
              <w:jc w:val="center"/>
              <w:ind w:left="328"/>
              <w:spacing w:after="0"/>
              <w:rPr>
                <w:sz w:val="20"/>
                <w:szCs w:val="20"/>
                <w:color w:val="auto"/>
              </w:rPr>
            </w:pPr>
            <w:r>
              <w:rPr>
                <w:rFonts w:ascii="Arial" w:cs="Arial" w:eastAsia="Arial" w:hAnsi="Arial"/>
                <w:sz w:val="14"/>
                <w:szCs w:val="14"/>
                <w:color w:val="auto"/>
                <w:w w:val="92"/>
              </w:rPr>
              <w:t>0.4</w:t>
            </w:r>
          </w:p>
        </w:tc>
        <w:tc>
          <w:tcPr>
            <w:tcW w:w="360" w:type="dxa"/>
            <w:vAlign w:val="bottom"/>
          </w:tcPr>
          <w:p>
            <w:pPr>
              <w:spacing w:after="0"/>
              <w:rPr>
                <w:sz w:val="17"/>
                <w:szCs w:val="17"/>
                <w:color w:val="auto"/>
              </w:rPr>
            </w:pPr>
          </w:p>
        </w:tc>
        <w:tc>
          <w:tcPr>
            <w:tcW w:w="940" w:type="dxa"/>
            <w:vAlign w:val="bottom"/>
          </w:tcPr>
          <w:p>
            <w:pPr>
              <w:jc w:val="center"/>
              <w:ind w:left="408"/>
              <w:spacing w:after="0"/>
              <w:rPr>
                <w:sz w:val="20"/>
                <w:szCs w:val="20"/>
                <w:color w:val="auto"/>
              </w:rPr>
            </w:pPr>
            <w:r>
              <w:rPr>
                <w:rFonts w:ascii="Arial" w:cs="Arial" w:eastAsia="Arial" w:hAnsi="Arial"/>
                <w:sz w:val="14"/>
                <w:szCs w:val="14"/>
                <w:color w:val="auto"/>
                <w:w w:val="92"/>
              </w:rPr>
              <w:t>1.0</w:t>
            </w:r>
          </w:p>
        </w:tc>
        <w:tc>
          <w:tcPr>
            <w:tcW w:w="300" w:type="dxa"/>
            <w:vAlign w:val="bottom"/>
          </w:tcPr>
          <w:p>
            <w:pPr>
              <w:spacing w:after="0"/>
              <w:rPr>
                <w:sz w:val="17"/>
                <w:szCs w:val="17"/>
                <w:color w:val="auto"/>
              </w:rPr>
            </w:pPr>
          </w:p>
        </w:tc>
        <w:tc>
          <w:tcPr>
            <w:tcW w:w="1020" w:type="dxa"/>
            <w:vAlign w:val="bottom"/>
          </w:tcPr>
          <w:p>
            <w:pPr>
              <w:jc w:val="center"/>
              <w:ind w:left="448"/>
              <w:spacing w:after="0"/>
              <w:rPr>
                <w:sz w:val="20"/>
                <w:szCs w:val="20"/>
                <w:color w:val="auto"/>
              </w:rPr>
            </w:pPr>
            <w:r>
              <w:rPr>
                <w:rFonts w:ascii="Arial" w:cs="Arial" w:eastAsia="Arial" w:hAnsi="Arial"/>
                <w:sz w:val="14"/>
                <w:szCs w:val="14"/>
                <w:color w:val="auto"/>
                <w:w w:val="92"/>
              </w:rPr>
              <w:t>4.8</w:t>
            </w:r>
          </w:p>
        </w:tc>
      </w:tr>
      <w:tr>
        <w:trPr>
          <w:trHeight w:val="203"/>
        </w:trPr>
        <w:tc>
          <w:tcPr>
            <w:tcW w:w="35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Payments</w:t>
            </w:r>
          </w:p>
        </w:tc>
        <w:tc>
          <w:tcPr>
            <w:tcW w:w="152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center"/>
              <w:ind w:left="308"/>
              <w:spacing w:after="0"/>
              <w:rPr>
                <w:sz w:val="20"/>
                <w:szCs w:val="20"/>
                <w:color w:val="auto"/>
              </w:rPr>
            </w:pPr>
            <w:r>
              <w:rPr>
                <w:rFonts w:ascii="Arial" w:cs="Arial" w:eastAsia="Arial" w:hAnsi="Arial"/>
                <w:sz w:val="14"/>
                <w:szCs w:val="14"/>
                <w:color w:val="auto"/>
                <w:w w:val="90"/>
              </w:rPr>
              <w:t>(0.5)</w:t>
            </w:r>
          </w:p>
        </w:tc>
        <w:tc>
          <w:tcPr>
            <w:tcW w:w="5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center"/>
              <w:ind w:left="248"/>
              <w:spacing w:after="0"/>
              <w:rPr>
                <w:sz w:val="20"/>
                <w:szCs w:val="20"/>
                <w:color w:val="auto"/>
              </w:rPr>
            </w:pPr>
            <w:r>
              <w:rPr>
                <w:rFonts w:ascii="Arial" w:cs="Arial" w:eastAsia="Arial" w:hAnsi="Arial"/>
                <w:sz w:val="14"/>
                <w:szCs w:val="14"/>
                <w:color w:val="auto"/>
                <w:w w:val="97"/>
              </w:rPr>
              <w:t>(4.5)</w:t>
            </w:r>
          </w:p>
        </w:tc>
        <w:tc>
          <w:tcPr>
            <w:tcW w:w="46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center"/>
              <w:ind w:left="288"/>
              <w:spacing w:after="0"/>
              <w:rPr>
                <w:sz w:val="20"/>
                <w:szCs w:val="20"/>
                <w:color w:val="auto"/>
              </w:rPr>
            </w:pPr>
            <w:r>
              <w:rPr>
                <w:rFonts w:ascii="Arial" w:cs="Arial" w:eastAsia="Arial" w:hAnsi="Arial"/>
                <w:sz w:val="14"/>
                <w:szCs w:val="14"/>
                <w:color w:val="auto"/>
                <w:w w:val="90"/>
              </w:rPr>
              <w:t>(1.0)</w:t>
            </w:r>
          </w:p>
        </w:tc>
        <w:tc>
          <w:tcPr>
            <w:tcW w:w="36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center"/>
              <w:ind w:left="388"/>
              <w:spacing w:after="0"/>
              <w:rPr>
                <w:sz w:val="20"/>
                <w:szCs w:val="20"/>
                <w:color w:val="auto"/>
              </w:rPr>
            </w:pPr>
            <w:r>
              <w:rPr>
                <w:rFonts w:ascii="Arial" w:cs="Arial" w:eastAsia="Arial" w:hAnsi="Arial"/>
                <w:sz w:val="14"/>
                <w:szCs w:val="14"/>
                <w:color w:val="auto"/>
                <w:w w:val="97"/>
              </w:rPr>
              <w:t>(0.5)</w:t>
            </w:r>
          </w:p>
        </w:tc>
        <w:tc>
          <w:tcPr>
            <w:tcW w:w="3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center"/>
              <w:ind w:left="428"/>
              <w:spacing w:after="0"/>
              <w:rPr>
                <w:sz w:val="20"/>
                <w:szCs w:val="20"/>
                <w:color w:val="auto"/>
              </w:rPr>
            </w:pPr>
            <w:r>
              <w:rPr>
                <w:rFonts w:ascii="Arial" w:cs="Arial" w:eastAsia="Arial" w:hAnsi="Arial"/>
                <w:sz w:val="14"/>
                <w:szCs w:val="14"/>
                <w:color w:val="auto"/>
                <w:w w:val="97"/>
              </w:rPr>
              <w:t>(6.5)</w:t>
            </w:r>
          </w:p>
        </w:tc>
      </w:tr>
      <w:tr>
        <w:trPr>
          <w:trHeight w:val="196"/>
        </w:trPr>
        <w:tc>
          <w:tcPr>
            <w:tcW w:w="35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Restructuring charges as of June 30, 2020</w:t>
            </w:r>
          </w:p>
        </w:tc>
        <w:tc>
          <w:tcPr>
            <w:tcW w:w="152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center"/>
              <w:ind w:left="348"/>
              <w:spacing w:after="0"/>
              <w:rPr>
                <w:sz w:val="20"/>
                <w:szCs w:val="20"/>
                <w:color w:val="auto"/>
              </w:rPr>
            </w:pPr>
            <w:r>
              <w:rPr>
                <w:rFonts w:ascii="Arial" w:cs="Arial" w:eastAsia="Arial" w:hAnsi="Arial"/>
                <w:sz w:val="14"/>
                <w:szCs w:val="14"/>
                <w:color w:val="auto"/>
                <w:w w:val="92"/>
              </w:rPr>
              <w:t>0.7</w:t>
            </w:r>
          </w:p>
        </w:tc>
        <w:tc>
          <w:tcPr>
            <w:tcW w:w="5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color w:val="auto"/>
                <w:w w:val="92"/>
              </w:rPr>
              <w:t>5.7</w:t>
            </w:r>
          </w:p>
        </w:tc>
        <w:tc>
          <w:tcPr>
            <w:tcW w:w="4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center"/>
              <w:ind w:left="328"/>
              <w:spacing w:after="0"/>
              <w:rPr>
                <w:sz w:val="20"/>
                <w:szCs w:val="20"/>
                <w:color w:val="auto"/>
              </w:rPr>
            </w:pPr>
            <w:r>
              <w:rPr>
                <w:rFonts w:ascii="Arial" w:cs="Arial" w:eastAsia="Arial" w:hAnsi="Arial"/>
                <w:sz w:val="14"/>
                <w:szCs w:val="14"/>
                <w:color w:val="auto"/>
                <w:w w:val="92"/>
              </w:rPr>
              <w:t>0.7</w:t>
            </w:r>
          </w:p>
        </w:tc>
        <w:tc>
          <w:tcPr>
            <w:tcW w:w="3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center"/>
              <w:ind w:left="408"/>
              <w:spacing w:after="0"/>
              <w:rPr>
                <w:sz w:val="20"/>
                <w:szCs w:val="20"/>
                <w:color w:val="auto"/>
              </w:rPr>
            </w:pPr>
            <w:r>
              <w:rPr>
                <w:rFonts w:ascii="Arial" w:cs="Arial" w:eastAsia="Arial" w:hAnsi="Arial"/>
                <w:sz w:val="14"/>
                <w:szCs w:val="14"/>
                <w:color w:val="auto"/>
                <w:w w:val="92"/>
              </w:rPr>
              <w:t>0.8</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center"/>
              <w:ind w:left="448"/>
              <w:spacing w:after="0"/>
              <w:rPr>
                <w:sz w:val="20"/>
                <w:szCs w:val="20"/>
                <w:color w:val="auto"/>
              </w:rPr>
            </w:pPr>
            <w:r>
              <w:rPr>
                <w:rFonts w:ascii="Arial" w:cs="Arial" w:eastAsia="Arial" w:hAnsi="Arial"/>
                <w:sz w:val="14"/>
                <w:szCs w:val="14"/>
                <w:color w:val="auto"/>
                <w:w w:val="92"/>
              </w:rPr>
              <w:t>7.9</w:t>
            </w:r>
          </w:p>
        </w:tc>
      </w:tr>
      <w:tr>
        <w:trPr>
          <w:trHeight w:val="27"/>
        </w:trPr>
        <w:tc>
          <w:tcPr>
            <w:tcW w:w="35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94" w:lineRule="exact"/>
        <w:rPr>
          <w:sz w:val="20"/>
          <w:szCs w:val="20"/>
          <w:color w:val="auto"/>
        </w:rPr>
      </w:pPr>
    </w:p>
    <w:p>
      <w:pPr>
        <w:jc w:val="both"/>
        <w:ind w:firstLine="324"/>
        <w:spacing w:after="0" w:line="296" w:lineRule="auto"/>
        <w:rPr>
          <w:sz w:val="20"/>
          <w:szCs w:val="20"/>
          <w:color w:val="auto"/>
        </w:rPr>
      </w:pPr>
      <w:r>
        <w:rPr>
          <w:rFonts w:ascii="Arial" w:cs="Arial" w:eastAsia="Arial" w:hAnsi="Arial"/>
          <w:sz w:val="16"/>
          <w:szCs w:val="16"/>
          <w:color w:val="auto"/>
        </w:rPr>
        <w:t>During the second quarter of 2020, we implemented a cost reduction initiative to rationalize our global office footprint and approved the abandonment of certain office leases, including the transition of select offices to smaller or more cost-effective locations. These asset groups, consisting mainly of right-of-use assets and leasehold improvements, were tested for impairment. We concluded that the carrying amounts of these asset groups were not recoverable and the fair value determined was concluded to be nominal based on a discounted cash flow model. As a result, an $18.6 million impairment charge was recognized and is included within Asset impairments on our Consolidated Statements of Income and Comprehensive Income.</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6" w:name="page27"/>
    <w:bookmarkEnd w:id="26"/>
    <w:p>
      <w:pPr>
        <w:ind w:left="340"/>
        <w:spacing w:after="0"/>
        <w:rPr>
          <w:sz w:val="20"/>
          <w:szCs w:val="20"/>
          <w:color w:val="auto"/>
        </w:rPr>
      </w:pPr>
      <w:r>
        <w:rPr>
          <w:rFonts w:ascii="Arial" w:cs="Arial" w:eastAsia="Arial" w:hAnsi="Arial"/>
          <w:sz w:val="18"/>
          <w:szCs w:val="18"/>
          <w:color w:val="auto"/>
        </w:rPr>
        <w:t>The following table provides a summary of this impairment by reportable business segment (in millions):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0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Aviation</w:t>
            </w:r>
          </w:p>
        </w:tc>
        <w:tc>
          <w:tcPr>
            <w:tcW w:w="5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Land</w:t>
            </w:r>
          </w:p>
        </w:tc>
        <w:tc>
          <w:tcPr>
            <w:tcW w:w="4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b w:val="1"/>
                <w:bCs w:val="1"/>
                <w:color w:val="auto"/>
              </w:rPr>
              <w:t>Marine</w:t>
            </w:r>
          </w:p>
        </w:tc>
        <w:tc>
          <w:tcPr>
            <w:tcW w:w="3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Corporate</w:t>
            </w:r>
          </w:p>
        </w:tc>
        <w:tc>
          <w:tcPr>
            <w:tcW w:w="2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Consolidated</w:t>
            </w:r>
          </w:p>
        </w:tc>
      </w:tr>
      <w:tr>
        <w:trPr>
          <w:trHeight w:val="221"/>
        </w:trPr>
        <w:tc>
          <w:tcPr>
            <w:tcW w:w="2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Asset impairments</w:t>
            </w:r>
          </w:p>
        </w:tc>
        <w:tc>
          <w:tcPr>
            <w:tcW w:w="220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6.9</w:t>
            </w:r>
          </w:p>
        </w:tc>
        <w:tc>
          <w:tcPr>
            <w:tcW w:w="52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5.9</w:t>
            </w:r>
          </w:p>
        </w:tc>
        <w:tc>
          <w:tcPr>
            <w:tcW w:w="460" w:type="dxa"/>
            <w:vAlign w:val="bottom"/>
            <w:tcBorders>
              <w:bottom w:val="single" w:sz="8" w:color="auto"/>
            </w:tcBorders>
            <w:shd w:val="clear" w:color="auto" w:fill="CCEEFF"/>
          </w:tcPr>
          <w:p>
            <w:pPr>
              <w:jc w:val="right"/>
              <w:ind w:right="30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4.0</w:t>
            </w:r>
          </w:p>
        </w:tc>
        <w:tc>
          <w:tcPr>
            <w:tcW w:w="38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1.8</w:t>
            </w:r>
          </w:p>
        </w:tc>
        <w:tc>
          <w:tcPr>
            <w:tcW w:w="2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18.6</w:t>
            </w:r>
          </w:p>
        </w:tc>
      </w:tr>
      <w:tr>
        <w:trPr>
          <w:trHeight w:val="20"/>
        </w:trPr>
        <w:tc>
          <w:tcPr>
            <w:tcW w:w="2900" w:type="dxa"/>
            <w:vAlign w:val="bottom"/>
            <w:tcBorders>
              <w:top w:val="single" w:sz="8" w:color="CCEEFF"/>
              <w:bottom w:val="single" w:sz="8" w:color="auto"/>
            </w:tcBorders>
          </w:tcPr>
          <w:p>
            <w:pPr>
              <w:spacing w:after="0" w:line="20" w:lineRule="exact"/>
              <w:rPr>
                <w:sz w:val="1"/>
                <w:szCs w:val="1"/>
                <w:color w:val="auto"/>
              </w:rPr>
            </w:pPr>
          </w:p>
        </w:tc>
        <w:tc>
          <w:tcPr>
            <w:tcW w:w="2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Subsequent Events</w:t>
      </w:r>
    </w:p>
    <w:p>
      <w:pPr>
        <w:spacing w:after="0" w:line="229"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On July 30, 2020, we entered into a definitive agreement to sell our Multi Service payment solutions business. Subject to certain closing adjustments, we will receive a total of approximately $350.0 million in cash, consisting of approximately $275.0 million at closing and $75.0 million deferred for future payment, of which $50.0 million will be conditioned on MSTS' achievement of financial targets in 2021 and 2022. The closing is subject to customary conditions, including regulatory approvals. We expect the sale to be completed within 90 days from the date of the agreement. Multi Service, which is mainly reported within the land segment, did not qualify as held for sale as of June 30, 2020 and will not meet the criteria to be reported as a discontinued operation. The net carrying amount of Multi Service as of June 30, 2020 was $222.5 million.</w:t>
      </w:r>
    </w:p>
    <w:p>
      <w:pPr>
        <w:spacing w:after="0" w:line="200" w:lineRule="exact"/>
        <w:rPr>
          <w:sz w:val="20"/>
          <w:szCs w:val="20"/>
          <w:color w:val="auto"/>
        </w:rPr>
      </w:pPr>
    </w:p>
    <w:p>
      <w:pPr>
        <w:spacing w:after="0" w:line="3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81" w:right="3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The following discussion should be read in conjunction with our 2019 10-K Report and the Consolidated Financial Statements and related notes in Item 1 — Financial Statements appearing elsewhere in this 10-Q Report. The following discussion may contain forward-looking statements, and our actual results may differ materially from the results suggested by these forward-looking statements. Some factors that may cause our results to differ are disclosed in Item 1A - Risk Factors of our 2019 10-K Report as updated and supplemented by Part II - Item 1A of this 10-Q Report.</w:t>
      </w:r>
    </w:p>
    <w:p>
      <w:pPr>
        <w:spacing w:after="0" w:line="19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20" w:firstLine="324"/>
        <w:spacing w:after="0" w:line="251" w:lineRule="auto"/>
        <w:rPr>
          <w:sz w:val="20"/>
          <w:szCs w:val="20"/>
          <w:color w:val="auto"/>
        </w:rPr>
      </w:pPr>
      <w:r>
        <w:rPr>
          <w:rFonts w:ascii="Arial" w:cs="Arial" w:eastAsia="Arial" w:hAnsi="Arial"/>
          <w:sz w:val="17"/>
          <w:szCs w:val="17"/>
          <w:color w:val="auto"/>
        </w:rPr>
        <w:t>This 10-Q Report and the information incorporated by reference in it, or made by us in other reports, filings with the SEC, press releases, teleconferences, industry conferences or otherwise, contain “forward-looking statements” within the meaning of the Private Securities Litigation Reform Act of 1995. The forward-looking statements include, without limitation, any statement that may predict, forecast, indicate or imply future results, performance or achievements, and may contain the words “believe,” “anticipate,” “expect,” “estimate,” “project,” “could,” “would,” “will,” “will be,” “will continue,” “will likely result,” “plan,” or words or phrases of similar meaning. Specifically, this 10-Q Report includes forward-looking statements about (i) the impact of COVID-19 on us and our customers, including our expectations about demand, volume, profitability and the impact of fuel prices, (ii) our expectations regarding the conditions in the aviation, land, and marine markets and their impact on our business, (iii) our expectations regarding government-related activity in Afghanistan with the North Atlantic Treaty Organization (NATO) and the impact of the U.S. troop withdrawal, as well as the related profit contribution, (iv) our estimates regarding the expected benefits from our actions to reduce cost and our restructuring initiatives, including the rationalization of our global office footprint, (v) our expectations regarding our working capital, liquidity, capital expenditure requirements, (vi) our expectations and estimates regarding certain tax, legal and accounting matters, including the impact on our financial statements, (vii) our expectations regarding the financial impact and other benefits of previous acquisitions, including estimates of future expenses and our ability to realize estimated synergies, and (viii) estimates regarding the financial impact of our derivative contracts. These forward-looking statements are qualified in their entirety by cautionary statements and risk factor disclosures contained in our SEC filings.</w:t>
      </w:r>
    </w:p>
    <w:p>
      <w:pPr>
        <w:spacing w:after="0" w:line="216"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These forward-looking statements are estimates and projections reflecting our best judgment and involve risks, uncertainties or other factors relating to our operations and business environment, all of which are difficult to predict and many of which are beyond our control. Although we believe that the estimates and projections reflected in the forward-looking statements are reasonable, our expectations may prove to be incorrect. Our actual results may differ materially from the future results, performance or achievements expressed or implied by the forward-looking statements.</w:t>
      </w:r>
    </w:p>
    <w:p>
      <w:pPr>
        <w:spacing w:after="0" w:line="171"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Important factors that could cause actual results to differ materially from the results and events anticipated or implied by such forward-looking statements include, but are not limited to:</w:t>
      </w:r>
    </w:p>
    <w:p>
      <w:pPr>
        <w:spacing w:after="0" w:line="170" w:lineRule="exact"/>
        <w:rPr>
          <w:sz w:val="20"/>
          <w:szCs w:val="20"/>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customer and counterparty creditworthiness and our ability to collect accounts receivable and settle derivative contracts, particularly for those customers most significantly impacted by the COVID-19 pandemic;</w:t>
      </w:r>
    </w:p>
    <w:p>
      <w:pPr>
        <w:spacing w:after="0" w:line="8"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extent of the impact of the pandemic, including the duration, spread, severity and scope of related government orders and restrictions, on ours and our customers' sales, profitability, operations and supply chains;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loss of, or reduced sales to a significant government customer, such as NATO;</w:t>
      </w:r>
    </w:p>
    <w:p>
      <w:pPr>
        <w:spacing w:after="0" w:line="63" w:lineRule="exact"/>
        <w:rPr>
          <w:rFonts w:ascii="Arial" w:cs="Arial" w:eastAsia="Arial" w:hAnsi="Arial"/>
          <w:sz w:val="18"/>
          <w:szCs w:val="18"/>
          <w:color w:val="auto"/>
        </w:rPr>
      </w:pPr>
    </w:p>
    <w:p>
      <w:pPr>
        <w:ind w:left="660" w:right="2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availability of cash and sufficient liquidity to fund our working capital and strategic investment needs, particularly in light of the impact of the pandemic on the financial markets;</w:t>
      </w:r>
    </w:p>
    <w:p>
      <w:pPr>
        <w:spacing w:after="0" w:line="8"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adverse conditions in the industries in which our customers operate such as the current global economic environment as a result of the coronavirus pandemic;</w:t>
      </w:r>
    </w:p>
    <w:p>
      <w:pPr>
        <w:spacing w:after="0" w:line="8" w:lineRule="exact"/>
        <w:rPr>
          <w:rFonts w:ascii="Arial" w:cs="Arial" w:eastAsia="Arial" w:hAnsi="Arial"/>
          <w:sz w:val="18"/>
          <w:szCs w:val="18"/>
          <w:color w:val="auto"/>
        </w:rPr>
      </w:pPr>
    </w:p>
    <w:p>
      <w:pPr>
        <w:ind w:left="660" w:right="20" w:hanging="328"/>
        <w:spacing w:after="0" w:line="316" w:lineRule="auto"/>
        <w:tabs>
          <w:tab w:leader="none" w:pos="655" w:val="left"/>
        </w:tabs>
        <w:numPr>
          <w:ilvl w:val="0"/>
          <w:numId w:val="8"/>
        </w:numPr>
        <w:rPr>
          <w:rFonts w:ascii="Arial" w:cs="Arial" w:eastAsia="Arial" w:hAnsi="Arial"/>
          <w:sz w:val="16"/>
          <w:szCs w:val="16"/>
          <w:color w:val="auto"/>
        </w:rPr>
      </w:pPr>
      <w:r>
        <w:rPr>
          <w:rFonts w:ascii="Arial" w:cs="Arial" w:eastAsia="Arial" w:hAnsi="Arial"/>
          <w:sz w:val="16"/>
          <w:szCs w:val="16"/>
          <w:color w:val="auto"/>
        </w:rPr>
        <w:t>sudden changes in the market price of fuel or extremely high or low fuel prices that continue for an extended period of time, including as a result of disagreements between the OPEC members and other oil producing countries such as Russia and the impact of the pandemic on fuel demand;</w:t>
      </w:r>
    </w:p>
    <w:p>
      <w:pPr>
        <w:spacing w:after="0" w:line="1" w:lineRule="exact"/>
        <w:rPr>
          <w:rFonts w:ascii="Arial" w:cs="Arial" w:eastAsia="Arial" w:hAnsi="Arial"/>
          <w:sz w:val="16"/>
          <w:szCs w:val="16"/>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failure to comply with restrictions and covenants in our senior revolving credit facility (“Credit Facility”) and our senior term loans (“Term Loans”), including our financial covenants;</w:t>
      </w:r>
    </w:p>
    <w:p>
      <w:pPr>
        <w:spacing w:after="0" w:line="8"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the political, economic or regulatory environment generally and in the markets in which we operate, such as IMO 2020 (defined below);</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failure to effectively hedge certain financial risks and other risks associated with derivatives;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credit terms extended to us from our suppliers;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non-performance of suppliers on their sale commitments and customers on their purchase commitments;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non-performance of third-party service providers;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8" w:name="page29"/>
    <w:bookmarkEnd w:id="28"/>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meet financial forecasts associated with our operating plan;</w:t>
      </w:r>
    </w:p>
    <w:p>
      <w:pPr>
        <w:spacing w:after="0" w:line="63" w:lineRule="exact"/>
        <w:rPr>
          <w:rFonts w:ascii="Arial" w:cs="Arial" w:eastAsia="Arial" w:hAnsi="Arial"/>
          <w:sz w:val="18"/>
          <w:szCs w:val="18"/>
          <w:color w:val="auto"/>
        </w:rPr>
      </w:pPr>
    </w:p>
    <w:p>
      <w:pPr>
        <w:ind w:left="660" w:right="20" w:hanging="328"/>
        <w:spacing w:after="0" w:line="277"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lower than expected valuations associated with our cash flows and revenues, which could impair our ability to realize the value of recorded intangible assets and goodwill;</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impact of cyber and other information security-related incidents;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currency exchange fluctuations and the impacts associated with Brexit;</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ability to effectively leverage technology and operating systems and realize the anticipated benefits;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failure of fuel and other products we sell to meet specifications;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effectively integrate and derive benefits from acquired businesses;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achieve the expected level of benefit from our restructuring activities and cost reduction initiatives;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environmental and other risks associated with the storage, transportation and delivery of petroleum products;</w:t>
      </w:r>
    </w:p>
    <w:p>
      <w:pPr>
        <w:spacing w:after="0" w:line="63"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risks associated with operating in high-risk locations, including supply disruptions, border closures and other logistical difficulties that arise when working in these areas;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uninsured losses;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impact of natural disasters, such as earthquakes and hurricanes;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seasonal variability that adversely affects our revenues and operating results;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declines in the value and liquidity of cash equivalents and investments;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retain and attract senior management and other key employees;</w:t>
      </w:r>
    </w:p>
    <w:p>
      <w:pPr>
        <w:spacing w:after="0" w:line="63"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U.S. or foreign tax laws (including the Tax Cuts and Jobs Act), interpretations of such laws, changes in the mix of taxable income among different tax jurisdictions, or adverse results of tax audits, assessments, or disputes;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our failure to generate sufficient future taxable income in jurisdictions with material deferred tax assets and net operating loss carryforwards;</w:t>
      </w:r>
    </w:p>
    <w:p>
      <w:pPr>
        <w:spacing w:after="0" w:line="74" w:lineRule="exact"/>
        <w:rPr>
          <w:rFonts w:ascii="Arial" w:cs="Arial" w:eastAsia="Arial" w:hAnsi="Arial"/>
          <w:sz w:val="17"/>
          <w:szCs w:val="17"/>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impact of the U.K.’s exit from the European Union, known as Brexit, on our business, operations and financial condition;</w:t>
      </w:r>
    </w:p>
    <w:p>
      <w:pPr>
        <w:spacing w:after="0" w:line="63" w:lineRule="exact"/>
        <w:rPr>
          <w:rFonts w:ascii="Arial" w:cs="Arial" w:eastAsia="Arial" w:hAnsi="Arial"/>
          <w:sz w:val="18"/>
          <w:szCs w:val="18"/>
          <w:color w:val="auto"/>
        </w:rPr>
      </w:pPr>
    </w:p>
    <w:p>
      <w:pPr>
        <w:ind w:left="660" w:right="20" w:hanging="328"/>
        <w:spacing w:after="0" w:line="277"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comply with U.S. and international laws and regulations including those related to anti-corruption, economic sanction programs and environmental matters;</w:t>
      </w:r>
    </w:p>
    <w:p>
      <w:pPr>
        <w:spacing w:after="0" w:line="8"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outcome of litigation and other proceedings, including the costs associated in defending any actions;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increases in interest rates; and</w:t>
      </w:r>
    </w:p>
    <w:p>
      <w:pPr>
        <w:spacing w:after="0" w:line="63" w:lineRule="exact"/>
        <w:rPr>
          <w:rFonts w:ascii="Arial" w:cs="Arial" w:eastAsia="Arial" w:hAnsi="Arial"/>
          <w:sz w:val="18"/>
          <w:szCs w:val="18"/>
          <w:color w:val="auto"/>
        </w:rPr>
      </w:pPr>
    </w:p>
    <w:p>
      <w:pPr>
        <w:ind w:left="660" w:right="300" w:hanging="328"/>
        <w:spacing w:after="0" w:line="277"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18"/>
          <w:szCs w:val="18"/>
          <w:color w:val="auto"/>
        </w:rPr>
        <w:t>other risks, including those described in Item 1A - Risk Factors in our 2019 10-K Report, Part II, Item 1A of this 10-Q Report, as well as those described from time to time in our other filings with the SEC.</w:t>
      </w:r>
    </w:p>
    <w:p>
      <w:pPr>
        <w:spacing w:after="0" w:line="170"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We operate in a very competitive and rapidly changing environment. New risks emerge from time to time. It is not possible for us to predict all of those risks, nor can we assess the impact of all of those risks on our business or the extent to which any factor may cause actual results to differ materially from those contained in any forward-looking statement. Further, forward-looking statements speak only as of the date they are made, and unless required by law, we expressly disclaim any obligation or undertaking to publicly update any of them in light of new information, future events, or otherwise. Any public statements or disclosures by us following this report that modify or impact any of the forward-looking statements contained in or accompanying this 10-Q Report will be deemed to modify or supersede such forward-looking statements.</w:t>
      </w:r>
    </w:p>
    <w:p>
      <w:pPr>
        <w:spacing w:after="0" w:line="17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For these statements, we claim the protection of the safe harbor for forward-looking statements contained in Section 27A of the Securities Act of 1933, as amended, and Section 21E of the Securities Exchange Act, as amended (the “Exchange Act”).</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9" w:name="page30"/>
    <w:bookmarkEnd w:id="29"/>
    <w:p>
      <w:pPr>
        <w:ind w:left="340"/>
        <w:spacing w:after="0"/>
        <w:rPr>
          <w:sz w:val="20"/>
          <w:szCs w:val="20"/>
          <w:color w:val="auto"/>
        </w:rPr>
      </w:pPr>
      <w:r>
        <w:rPr>
          <w:rFonts w:ascii="Arial" w:cs="Arial" w:eastAsia="Arial" w:hAnsi="Arial"/>
          <w:sz w:val="18"/>
          <w:szCs w:val="18"/>
          <w:b w:val="1"/>
          <w:bCs w:val="1"/>
          <w:color w:val="auto"/>
        </w:rPr>
        <w:t>Business Overview</w:t>
      </w:r>
    </w:p>
    <w:p>
      <w:pPr>
        <w:spacing w:after="0" w:line="229" w:lineRule="exact"/>
        <w:rPr>
          <w:sz w:val="20"/>
          <w:szCs w:val="20"/>
          <w:color w:val="auto"/>
        </w:rPr>
      </w:pPr>
    </w:p>
    <w:p>
      <w:pPr>
        <w:jc w:val="both"/>
        <w:ind w:firstLine="324"/>
        <w:spacing w:after="0" w:line="291" w:lineRule="auto"/>
        <w:rPr>
          <w:sz w:val="20"/>
          <w:szCs w:val="20"/>
          <w:color w:val="auto"/>
        </w:rPr>
      </w:pPr>
      <w:r>
        <w:rPr>
          <w:rFonts w:ascii="Arial" w:cs="Arial" w:eastAsia="Arial" w:hAnsi="Arial"/>
          <w:sz w:val="16"/>
          <w:szCs w:val="16"/>
          <w:color w:val="auto"/>
        </w:rPr>
        <w:t>We are a leading global fuel services company, principally engaged in the distribution of fuel and related products and services in the aviation, land and marine transportation industries. In recent years, we have expanded our product and service offerings to include energy advisory services and supply fulfillment for natural gas and power and transaction and payment management solutions to commercial and industrial customers. Our intention is to become a leading global energy management company offering a full suite of energy advisory, management and fulfillment services, technology solutions, as well as sustainability products and services across the energy product spectrum. We also offer payment management solutions to commercial and industrial customers, principally in the aviation, land and marine transportation industries. We will continue to focus on enhancing the portfolio of products and services we provide based on changes in customer demand, including sustainability offerings and renewable fuel products.</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COVID-19</w:t>
      </w:r>
    </w:p>
    <w:p>
      <w:pPr>
        <w:spacing w:after="0" w:line="256"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Beginning in the first quarter of 2020 and through the date of this filing, the aviation, marine and land transportation industries, along with global economic conditions, have been significantly impacted by the COVID-19 pandemic. A large number of our customers in these industries have experienced substantial reductions in their operations, especially commercial airlines and cruise lines, which have been particularly impacted by the travel restrictions and stay-at-home orders. Customers in our marine and land segments have also been adversely affected by these restrictions, as well as the extended shutdown of various businesses in affected regions.</w:t>
      </w:r>
    </w:p>
    <w:p>
      <w:pPr>
        <w:spacing w:after="0" w:line="215" w:lineRule="exact"/>
        <w:rPr>
          <w:sz w:val="20"/>
          <w:szCs w:val="20"/>
          <w:color w:val="auto"/>
        </w:rPr>
      </w:pPr>
    </w:p>
    <w:p>
      <w:pPr>
        <w:jc w:val="both"/>
        <w:ind w:firstLine="324"/>
        <w:spacing w:after="0" w:line="268" w:lineRule="auto"/>
        <w:rPr>
          <w:sz w:val="20"/>
          <w:szCs w:val="20"/>
          <w:color w:val="auto"/>
        </w:rPr>
      </w:pPr>
      <w:r>
        <w:rPr>
          <w:rFonts w:ascii="Arial" w:cs="Arial" w:eastAsia="Arial" w:hAnsi="Arial"/>
          <w:sz w:val="17"/>
          <w:szCs w:val="17"/>
          <w:color w:val="auto"/>
        </w:rPr>
        <w:t>While the pandemic and associated impacts on economic activity had a limited adverse effect on our results of operations and financial condition for the first quarter of 2020, we have since seen a sharp decline in demand and related sales as large sectors of the global economy have been adversely impacted by the crisis. Accordingly, our results of operations during the second quarter of 2020 were significantly impacted as a result of the effects of the pandemic as described in greater detail below. Since the level of activity in our business and that of our customers has historically been driven by the level of economic activity globally, we generally expect these negative impacts to continue through the third quarter as the recent increases in COVID-19 cases have further delayed the reopening of various economies around the world.</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Aviation Segment</w:t>
      </w:r>
    </w:p>
    <w:p>
      <w:pPr>
        <w:spacing w:after="0" w:line="238"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Our aviation segment has benefited from growth in our fuel and related services offerings, as well as our improving logistics capability and the impact of our expanded aviation fueling operations footprint into additional international airport locations. However, as a result of COVID-19, the overall aviation market, principally commercial passenger airlines, has been significantly impacted by the travel restrictions and a sharp decrease in demand for air travel. Accordingly, during the second quarter of 2020, we experienced a material volume decline in our commercial aviation business and, to a somewhat lesser extent, a significant reduction in our business and general aviation activities. Our results of operations in these lines of business for the balance of 2020 will be highly contingent on the timing and extent to which the restrictions on air travel are lifted and the global economy begins to recover from the effects of the current crisis.</w:t>
      </w:r>
    </w:p>
    <w:p>
      <w:pPr>
        <w:spacing w:after="0" w:line="222" w:lineRule="exact"/>
        <w:rPr>
          <w:sz w:val="20"/>
          <w:szCs w:val="20"/>
          <w:color w:val="auto"/>
        </w:rPr>
      </w:pPr>
    </w:p>
    <w:p>
      <w:pPr>
        <w:jc w:val="both"/>
        <w:ind w:firstLine="324"/>
        <w:spacing w:after="0" w:line="288" w:lineRule="auto"/>
        <w:rPr>
          <w:sz w:val="20"/>
          <w:szCs w:val="20"/>
          <w:color w:val="auto"/>
        </w:rPr>
      </w:pPr>
      <w:r>
        <w:rPr>
          <w:rFonts w:ascii="Arial" w:cs="Arial" w:eastAsia="Arial" w:hAnsi="Arial"/>
          <w:sz w:val="16"/>
          <w:szCs w:val="16"/>
          <w:color w:val="auto"/>
        </w:rPr>
        <w:t>Furthermore, our aviation segment has benefited from significant sales to NATO in Afghanistan, which accounts for a material portion of our aviation segment's profitability. The current contract for these sales to NATO has been renewed through December 2020 and has two additional one-year renewal options at NATO's discretion. Global events and military-related activities, as well as the level of troop deployments, can cause our government customer sales to vary significantly from period to period and materially impact our results of operations. The U.S. government has announced its intention to significantly reduce the level of U.S. troops in the Middle East, including the troops supporting NATO in Afghanistan. In connection therewith, in the early part of 2020, the U.S. entered into an agreement with the Taliban where it agreed to reduce the level of troops and negotiate a full withdrawal by 2021, subject to various conditions including a peace agreement being reached between the government of Afghanistan and the Taliban. In June 2020, the U.S. government publicly confirmed that it had completed the initial reduction in the level of troops in accordance with the terms of the agreement. While the exact timing and full impact of the troop withdrawal remains uncertain, we began to see a decline in demand at the end of the first quarter of 2020, which continued in the second quarter, and expect to experience additional material reductions in demand over the balance of the year and into 2021.</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0" w:name="page31"/>
    <w:bookmarkEnd w:id="30"/>
    <w:p>
      <w:pPr>
        <w:ind w:left="340"/>
        <w:spacing w:after="0"/>
        <w:rPr>
          <w:sz w:val="20"/>
          <w:szCs w:val="20"/>
          <w:color w:val="auto"/>
        </w:rPr>
      </w:pPr>
      <w:r>
        <w:rPr>
          <w:rFonts w:ascii="Arial" w:cs="Arial" w:eastAsia="Arial" w:hAnsi="Arial"/>
          <w:sz w:val="18"/>
          <w:szCs w:val="18"/>
          <w:b w:val="1"/>
          <w:bCs w:val="1"/>
          <w:color w:val="auto"/>
        </w:rPr>
        <w:t>Land Segment</w:t>
      </w:r>
    </w:p>
    <w:p>
      <w:pPr>
        <w:spacing w:after="0" w:line="256"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Our land segment primarily consists of land fuel distribution in the U.S. and the U.K., further complemented by our expansion into energy advisory, brokerage and fulfillment solutions with respect to power, natural gas and other energy products. We also offer sustainability consulting, renewable fuel products, and carbon management and renewable energy solutions through our World Kinect global energy management brand. Due to the diverse portfolio of customers, businesses and activities within our land segment, the COVID-19 related impacts are more difficult to predict. For example, during the second quarter of 2020, our operating results in our land segment benefited from improvements in the U.K. However, this increase was largely offset by a decline in profitability in North America, primarily due to a material decrease in sales to retail, commercial and industrial customers in connection with the continued negative impacts of the pandemic, particularly throughout much of the U.S. The extent of any improvements in these activities will continue to be dependent on the timing and extent to which quarantine restrictions are lifted and local business activity resumes. Furthermore, for the same reasons as those described above, we experienced a decline in government-related activity in Afghanistan during the second quarter of 2020 and expect to continue to see a decline in this activity through the balance of 2020 and into 2021.</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Marine Segment</w:t>
      </w:r>
    </w:p>
    <w:p>
      <w:pPr>
        <w:spacing w:after="0" w:line="256"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Our marine segment has posted strong quarterly comparative results in recent periods despite challenging conditions within the global shipping and offshore exploration markets. Overall, throughout 2019 and into early 2020, higher average fuel prices, combined with our focus on reshaping our portfolio and cost management, improved profitability. In addition, the implementation of the IMO 2020 mandatory low sulfur regulations that went into effect on January 1, 2020 resulted in certain supply imbalances and price volatility in late 2019 and through much of the first quarter of 2020 that positively impacted our operating results in those periods. However, in the latter part of the first quarter of 2020, we began to experience a decline in volume and profitability due to the effects of the pandemic coupled with the significant decline in fuel prices, which continued into the second quarter. We expect our marine segment’s volume and profitability to continue to be negatively impacted by the effects of the pandemic for the balance of the year, particularly with respect to cruise lines and certain sectors of the shipping industry, as well as lower fuel prices. However, we still expect our results for the third quarter of 2020 to be generally consistent with the third quarter of 2019.</w:t>
      </w:r>
    </w:p>
    <w:p>
      <w:pPr>
        <w:spacing w:after="0" w:line="20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Other Actions</w:t>
      </w:r>
    </w:p>
    <w:p>
      <w:pPr>
        <w:spacing w:after="0" w:line="256"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With respect to our own operations, we have implemented our business continuity and emergency response plans in alignment with mandates from local authorities. To ensure the safety of our employees who are continuing to work, we have provided instructions on how to work safely in light of the pandemic and elevated our cleaning protocols for our offices, facilities and equipment. We are maximizing remote work throughout our global offices and our employees are collaborating virtually with our customers, suppliers and each other using the information sharing tools and technology that we have invested in during the last several years.</w:t>
      </w:r>
    </w:p>
    <w:p>
      <w:pPr>
        <w:spacing w:after="0" w:line="215"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Due to the ongoing and expected adverse impacts of the COVID-19 crisis, we immediately made cost-related decisions as the pandemic began impacting our business activities. For example, we immediately instituted a hiring freeze and implemented travel restrictions for our employees across the organization, postponed or eliminated all non-essential capital expenditures and other projects and initiatives, significantly reduced or deferred professional fees, marketing expenses and other similar costs. In addition, while we have continued to focus on improving operating efficiencies and returns, we have also concentrated on lowering our operating costs, including those of our land segment, which has historically had a higher expense ratio than other parts of our business. Accordingly, during the first quarter of 2020, we commenced a restructuring initiative focused on further streamlining our operations and sharpening our deployment of resources, not only in our land segment but also in our other segments due to the adverse impacts of the pandemic. During the second quarter of 2020, we expanded this restructuring to include the rationalization of our global office footprint and approved the abandonment of certain office leases, including the transition of select offices to smaller or more cost-effective locations. See note 13 of the financial statements included in Part I of this 10-Q Report for additional information regarding this restructuring.</w:t>
      </w:r>
    </w:p>
    <w:p>
      <w:pPr>
        <w:spacing w:after="0" w:line="212"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ultimate duration and impact of the COVID-19 pandemic on our business and our customers' operations continue to be unclear. Furthermore, the extent to which we or our customers will ultimately be impacted by the pandemic is not fully ascertainable as it is closely related to the timing and extent to which the global economy, and the aviation land and marine transportation industries, in particular, recover from the crisis. For additional discussion on the risks relating to the pandemic, see Item 1A. Risk Factors in Part II of this 10-Q Report.</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1" w:name="page32"/>
    <w:bookmarkEnd w:id="31"/>
    <w:p>
      <w:pPr>
        <w:ind w:left="340"/>
        <w:spacing w:after="0"/>
        <w:rPr>
          <w:sz w:val="20"/>
          <w:szCs w:val="20"/>
          <w:color w:val="auto"/>
        </w:rPr>
      </w:pPr>
      <w:r>
        <w:rPr>
          <w:rFonts w:ascii="Arial" w:cs="Arial" w:eastAsia="Arial" w:hAnsi="Arial"/>
          <w:sz w:val="18"/>
          <w:szCs w:val="18"/>
          <w:b w:val="1"/>
          <w:bCs w:val="1"/>
          <w:color w:val="auto"/>
        </w:rPr>
        <w:t>Reportable Segments</w:t>
      </w:r>
    </w:p>
    <w:p>
      <w:pPr>
        <w:spacing w:after="0" w:line="229"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We operate in three reportable segments consisting of aviation, land and marine, where we offer fuel and related products and services to commercial and industrial customers in each of these transportation industries. Within each of our segments, we may enter into derivative contracts to mitigate the risk of market price fluctuations and also to offer our customers fuel pricing alternatives to meet their needs.</w:t>
      </w:r>
    </w:p>
    <w:p>
      <w:pPr>
        <w:spacing w:after="0" w:line="184"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our aviation and land segments, we primarily purchase and resell fuel and other products. Profit from our aviation and land segments is primarily determined by the volume and the gross profit achieved on fuel sales and related services. In our marine segment, we primarily purchase and resell fuel and also act as brokers for others. Profit from our marine segment is determined mostly by the volume and gross profit achieved on fuel resales and by the volume and commission rate of the brokering business. Profitability in our segments also depends on our operating expenses, which may be materially affected to the extent that we are required to provide for potential bad debt.</w:t>
      </w:r>
    </w:p>
    <w:p>
      <w:pPr>
        <w:spacing w:after="0" w:line="188" w:lineRule="exact"/>
        <w:rPr>
          <w:sz w:val="20"/>
          <w:szCs w:val="20"/>
          <w:color w:val="auto"/>
        </w:rPr>
      </w:pPr>
    </w:p>
    <w:p>
      <w:pPr>
        <w:jc w:val="both"/>
        <w:ind w:firstLine="324"/>
        <w:spacing w:after="0" w:line="311" w:lineRule="auto"/>
        <w:rPr>
          <w:rFonts w:ascii="Arial" w:cs="Arial" w:eastAsia="Arial" w:hAnsi="Arial"/>
          <w:sz w:val="16"/>
          <w:szCs w:val="16"/>
          <w:color w:val="auto"/>
        </w:rPr>
      </w:pPr>
      <w:r>
        <w:rPr>
          <w:rFonts w:ascii="Arial" w:cs="Arial" w:eastAsia="Arial" w:hAnsi="Arial"/>
          <w:sz w:val="16"/>
          <w:szCs w:val="16"/>
          <w:color w:val="auto"/>
        </w:rPr>
        <w:t xml:space="preserve">Corporate expenses are allocated to each segment based on usage, where possible, or other factors according to the nature of the activity. We evaluate and manage our business segments using the performance measurement of income from operations. Selected financial information with respect to our business segments is provided in Note </w:t>
      </w:r>
      <w:hyperlink w:anchor="page23">
        <w:r>
          <w:rPr>
            <w:rFonts w:ascii="Arial" w:cs="Arial" w:eastAsia="Arial" w:hAnsi="Arial"/>
            <w:sz w:val="16"/>
            <w:szCs w:val="16"/>
            <w:color w:val="auto"/>
          </w:rPr>
          <w:t xml:space="preserve">10. </w:t>
        </w:r>
      </w:hyperlink>
      <w:r>
        <w:rPr>
          <w:rFonts w:ascii="Arial" w:cs="Arial" w:eastAsia="Arial" w:hAnsi="Arial"/>
          <w:sz w:val="16"/>
          <w:szCs w:val="16"/>
          <w:color w:val="auto"/>
        </w:rPr>
        <w:t>Business Segments accompanying the Consolidated Financial Statements included in this 10-Q Report.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2" w:name="page33"/>
    <w:bookmarkEnd w:id="32"/>
    <w:p>
      <w:pPr>
        <w:ind w:left="340"/>
        <w:spacing w:after="0"/>
        <w:rPr>
          <w:sz w:val="20"/>
          <w:szCs w:val="20"/>
          <w:color w:val="auto"/>
        </w:rPr>
      </w:pPr>
      <w:r>
        <w:rPr>
          <w:rFonts w:ascii="Arial" w:cs="Arial" w:eastAsia="Arial" w:hAnsi="Arial"/>
          <w:sz w:val="18"/>
          <w:szCs w:val="18"/>
          <w:b w:val="1"/>
          <w:bCs w:val="1"/>
          <w:color w:val="auto"/>
        </w:rPr>
        <w:t>Results of Operations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Three Months Ended June 30, 2020 Compared to Three Months Ended June 30, 2019</w:t>
      </w:r>
    </w:p>
    <w:p>
      <w:pPr>
        <w:spacing w:after="0" w:line="256"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i w:val="1"/>
          <w:iCs w:val="1"/>
          <w:color w:val="auto"/>
        </w:rPr>
        <w:t xml:space="preserve">Revenue. </w:t>
      </w:r>
      <w:r>
        <w:rPr>
          <w:rFonts w:ascii="Arial" w:cs="Arial" w:eastAsia="Arial" w:hAnsi="Arial"/>
          <w:sz w:val="18"/>
          <w:szCs w:val="18"/>
          <w:color w:val="auto"/>
        </w:rPr>
        <w:t>Our revenue for the second quarter of 2020 was $3.2 billion, a decrease of $6.3 billion, or 67%, as compared to the second quarter of</w:t>
      </w:r>
      <w:r>
        <w:rPr>
          <w:rFonts w:ascii="Arial" w:cs="Arial" w:eastAsia="Arial" w:hAnsi="Arial"/>
          <w:sz w:val="18"/>
          <w:szCs w:val="18"/>
          <w:i w:val="1"/>
          <w:iCs w:val="1"/>
          <w:color w:val="auto"/>
        </w:rPr>
        <w:t xml:space="preserve"> </w:t>
      </w:r>
      <w:r>
        <w:rPr>
          <w:rFonts w:ascii="Arial" w:cs="Arial" w:eastAsia="Arial" w:hAnsi="Arial"/>
          <w:sz w:val="18"/>
          <w:szCs w:val="18"/>
          <w:color w:val="auto"/>
        </w:rPr>
        <w:t>2019. Our revenue during these periods was attributable to the following segments (in millions):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400" w:type="dxa"/>
            <w:vAlign w:val="bottom"/>
            <w:gridSpan w:val="3"/>
          </w:tcPr>
          <w:p>
            <w:pPr>
              <w:jc w:val="right"/>
              <w:ind w:right="368"/>
              <w:spacing w:after="0"/>
              <w:rPr>
                <w:sz w:val="20"/>
                <w:szCs w:val="20"/>
                <w:color w:val="auto"/>
              </w:rPr>
            </w:pPr>
            <w:r>
              <w:rPr>
                <w:rFonts w:ascii="Arial" w:cs="Arial" w:eastAsia="Arial" w:hAnsi="Arial"/>
                <w:sz w:val="14"/>
                <w:szCs w:val="14"/>
                <w:b w:val="1"/>
                <w:bCs w:val="1"/>
                <w:color w:val="auto"/>
              </w:rPr>
              <w:t>For the Three Months Ended</w:t>
            </w: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08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6"/>
        </w:trPr>
        <w:tc>
          <w:tcPr>
            <w:tcW w:w="708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3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1,020.6</w:t>
            </w:r>
          </w:p>
        </w:tc>
        <w:tc>
          <w:tcPr>
            <w:tcW w:w="4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4,785.0</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(3,764.4)</w:t>
            </w:r>
          </w:p>
        </w:tc>
      </w:tr>
      <w:tr>
        <w:trPr>
          <w:trHeight w:val="197"/>
        </w:trPr>
        <w:tc>
          <w:tcPr>
            <w:tcW w:w="708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380" w:type="dxa"/>
            <w:vAlign w:val="bottom"/>
          </w:tcPr>
          <w:p>
            <w:pPr>
              <w:spacing w:after="0"/>
              <w:rPr>
                <w:sz w:val="17"/>
                <w:szCs w:val="17"/>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color w:val="auto"/>
              </w:rPr>
              <w:t>1,197.6</w:t>
            </w:r>
          </w:p>
        </w:tc>
        <w:tc>
          <w:tcPr>
            <w:tcW w:w="480" w:type="dxa"/>
            <w:vAlign w:val="bottom"/>
          </w:tcPr>
          <w:p>
            <w:pPr>
              <w:spacing w:after="0"/>
              <w:rPr>
                <w:sz w:val="17"/>
                <w:szCs w:val="17"/>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2,663.0</w:t>
            </w:r>
          </w:p>
        </w:tc>
        <w:tc>
          <w:tcPr>
            <w:tcW w:w="320" w:type="dxa"/>
            <w:vAlign w:val="bottom"/>
          </w:tcPr>
          <w:p>
            <w:pPr>
              <w:spacing w:after="0"/>
              <w:rPr>
                <w:sz w:val="17"/>
                <w:szCs w:val="17"/>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(1,465.4)</w:t>
            </w:r>
          </w:p>
        </w:tc>
      </w:tr>
      <w:tr>
        <w:trPr>
          <w:trHeight w:val="203"/>
        </w:trPr>
        <w:tc>
          <w:tcPr>
            <w:tcW w:w="7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3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940.2</w:t>
            </w:r>
          </w:p>
        </w:tc>
        <w:tc>
          <w:tcPr>
            <w:tcW w:w="4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2,011.4</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(1,071.2)</w:t>
            </w:r>
          </w:p>
        </w:tc>
      </w:tr>
      <w:tr>
        <w:trPr>
          <w:trHeight w:val="196"/>
        </w:trPr>
        <w:tc>
          <w:tcPr>
            <w:tcW w:w="708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3,158.3</w:t>
            </w:r>
          </w:p>
        </w:tc>
        <w:tc>
          <w:tcPr>
            <w:tcW w:w="4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9,459.4</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(6,301.0)</w:t>
            </w:r>
          </w:p>
        </w:tc>
      </w:tr>
      <w:tr>
        <w:trPr>
          <w:trHeight w:val="27"/>
        </w:trPr>
        <w:tc>
          <w:tcPr>
            <w:tcW w:w="70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229" w:lineRule="exact"/>
        <w:rPr>
          <w:sz w:val="20"/>
          <w:szCs w:val="20"/>
          <w:color w:val="auto"/>
        </w:rPr>
      </w:pPr>
    </w:p>
    <w:p>
      <w:pPr>
        <w:jc w:val="both"/>
        <w:ind w:firstLine="324"/>
        <w:spacing w:after="0" w:line="275" w:lineRule="auto"/>
        <w:rPr>
          <w:sz w:val="20"/>
          <w:szCs w:val="20"/>
          <w:color w:val="auto"/>
        </w:rPr>
      </w:pPr>
      <w:r>
        <w:rPr>
          <w:rFonts w:ascii="Arial" w:cs="Arial" w:eastAsia="Arial" w:hAnsi="Arial"/>
          <w:sz w:val="17"/>
          <w:szCs w:val="17"/>
          <w:color w:val="auto"/>
        </w:rPr>
        <w:t>Revenues in our aviation segment were $1.0 billion for the second quarter of 2020, a decrease of $3.8 billion, or 79% as compared to the second quarter of 2019. Lower average jet fuel prices drove much of the decrease in aviation revenue in the second quarter of 2020, where the average price per gallon sold was $1.04, as compared to $2.10 in the second quarter of 2019. Additionally, as compared to the prior-year period, total aviation volumes for the second quarter of 2020 decreased by 1.5 billion or 68% to 688.1 million gallons. The volume reduction was due to the significant decline in activity in our commercial aviation business as a result of the impact of the COVID-19 pandemic on air travel.</w:t>
      </w:r>
    </w:p>
    <w:p>
      <w:pPr>
        <w:spacing w:after="0" w:line="203" w:lineRule="exact"/>
        <w:rPr>
          <w:sz w:val="20"/>
          <w:szCs w:val="20"/>
          <w:color w:val="auto"/>
        </w:rPr>
      </w:pPr>
    </w:p>
    <w:p>
      <w:pPr>
        <w:jc w:val="both"/>
        <w:ind w:firstLine="324"/>
        <w:spacing w:after="0" w:line="301" w:lineRule="auto"/>
        <w:rPr>
          <w:sz w:val="20"/>
          <w:szCs w:val="20"/>
          <w:color w:val="auto"/>
        </w:rPr>
      </w:pPr>
      <w:r>
        <w:rPr>
          <w:rFonts w:ascii="Arial" w:cs="Arial" w:eastAsia="Arial" w:hAnsi="Arial"/>
          <w:sz w:val="16"/>
          <w:szCs w:val="16"/>
          <w:color w:val="auto"/>
        </w:rPr>
        <w:t>Revenues in our land segment were $1.2 billion for the second quarter of 2020, a decrease of $1.5 billion, or 55%, as compared to the second quarter of 2019. The decrease in revenue was due to lower average fuel prices in the second quarter of 2020, as compared to the second quarter of 2019, where the average price per gallon or gallon equivalent sold was $1.01 in 2020, as compared to $1.99 in 2019. Volumes in our land segment for the second quarter of 2020 decreased by 161.2 million or 12.1% to 1.2 billion gallons as a result of stay-at-home restrictions and other pandemic-related impacts.</w:t>
      </w:r>
    </w:p>
    <w:p>
      <w:pPr>
        <w:spacing w:after="0" w:line="184"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Revenues in our marine segment were $940.2 million for the second quarter of 2020, a decrease of $1.1 billion, or 53%, as compared to the second quarter of 2019. The decrease in revenues was mainly attributable to a 40% decrease in the average price per metric ton of bunker fuel sold to $234.9 in the second quarter of 2020 as compared to $393.6 in the second quarter of 2019. Volumes in our marine segment declined by 1.1 million metric tons, or 22% to 4.0 million metric tons in the second quarter of 2020, as compared to 2019. The volume decline was a result of the effects of the pandemic on demand, combined with a continuing effort to exit activities that generate a low economic return, particularly in light of the elevated credit risk environment in the wake of the pandemic.</w:t>
      </w:r>
    </w:p>
    <w:p>
      <w:pPr>
        <w:spacing w:after="0" w:line="219" w:lineRule="exact"/>
        <w:rPr>
          <w:sz w:val="20"/>
          <w:szCs w:val="20"/>
          <w:color w:val="auto"/>
        </w:rPr>
      </w:pPr>
    </w:p>
    <w:p>
      <w:pPr>
        <w:jc w:val="both"/>
        <w:ind w:firstLine="324"/>
        <w:spacing w:after="0" w:line="258" w:lineRule="auto"/>
        <w:rPr>
          <w:sz w:val="20"/>
          <w:szCs w:val="20"/>
          <w:color w:val="auto"/>
        </w:rPr>
      </w:pPr>
      <w:r>
        <w:rPr>
          <w:rFonts w:ascii="Arial" w:cs="Arial" w:eastAsia="Arial" w:hAnsi="Arial"/>
          <w:sz w:val="18"/>
          <w:szCs w:val="18"/>
          <w:i w:val="1"/>
          <w:iCs w:val="1"/>
          <w:color w:val="auto"/>
        </w:rPr>
        <w:t xml:space="preserve">Gross Profit. </w:t>
      </w:r>
      <w:r>
        <w:rPr>
          <w:rFonts w:ascii="Arial" w:cs="Arial" w:eastAsia="Arial" w:hAnsi="Arial"/>
          <w:sz w:val="18"/>
          <w:szCs w:val="18"/>
          <w:color w:val="auto"/>
        </w:rPr>
        <w:t>Our gross profit for the second quarter of 2020 was $213.9 million, a decrease of $54.7 million, or 20%, as compared to the second</w:t>
      </w:r>
      <w:r>
        <w:rPr>
          <w:rFonts w:ascii="Arial" w:cs="Arial" w:eastAsia="Arial" w:hAnsi="Arial"/>
          <w:sz w:val="18"/>
          <w:szCs w:val="18"/>
          <w:i w:val="1"/>
          <w:iCs w:val="1"/>
          <w:color w:val="auto"/>
        </w:rPr>
        <w:t xml:space="preserve"> </w:t>
      </w:r>
      <w:r>
        <w:rPr>
          <w:rFonts w:ascii="Arial" w:cs="Arial" w:eastAsia="Arial" w:hAnsi="Arial"/>
          <w:sz w:val="18"/>
          <w:szCs w:val="18"/>
          <w:color w:val="auto"/>
        </w:rPr>
        <w:t>quarter of 2019.</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gross profit during these periods was attributable to the following segments (in millions):</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80" w:type="dxa"/>
            <w:vAlign w:val="bottom"/>
          </w:tcPr>
          <w:p>
            <w:pPr>
              <w:spacing w:after="0"/>
              <w:rPr>
                <w:sz w:val="16"/>
                <w:szCs w:val="16"/>
                <w:color w:val="auto"/>
              </w:rPr>
            </w:pPr>
          </w:p>
        </w:tc>
        <w:tc>
          <w:tcPr>
            <w:tcW w:w="2780" w:type="dxa"/>
            <w:vAlign w:val="bottom"/>
            <w:gridSpan w:val="4"/>
          </w:tcPr>
          <w:p>
            <w:pPr>
              <w:jc w:val="right"/>
              <w:ind w:right="368"/>
              <w:spacing w:after="0"/>
              <w:rPr>
                <w:sz w:val="20"/>
                <w:szCs w:val="20"/>
                <w:color w:val="auto"/>
              </w:rPr>
            </w:pPr>
            <w:r>
              <w:rPr>
                <w:rFonts w:ascii="Arial" w:cs="Arial" w:eastAsia="Arial" w:hAnsi="Arial"/>
                <w:sz w:val="14"/>
                <w:szCs w:val="14"/>
                <w:b w:val="1"/>
                <w:bCs w:val="1"/>
                <w:color w:val="auto"/>
              </w:rPr>
              <w:t>For the Three Months Ended</w:t>
            </w: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08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6"/>
        </w:trPr>
        <w:tc>
          <w:tcPr>
            <w:tcW w:w="70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9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91.9</w:t>
            </w:r>
          </w:p>
        </w:tc>
        <w:tc>
          <w:tcPr>
            <w:tcW w:w="4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140.5</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(48.6)</w:t>
            </w:r>
          </w:p>
        </w:tc>
      </w:tr>
      <w:tr>
        <w:trPr>
          <w:trHeight w:val="196"/>
        </w:trPr>
        <w:tc>
          <w:tcPr>
            <w:tcW w:w="708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920" w:type="dxa"/>
            <w:vAlign w:val="bottom"/>
          </w:tcPr>
          <w:p>
            <w:pPr>
              <w:spacing w:after="0"/>
              <w:rPr>
                <w:sz w:val="17"/>
                <w:szCs w:val="17"/>
                <w:color w:val="auto"/>
              </w:rPr>
            </w:pPr>
          </w:p>
        </w:tc>
        <w:tc>
          <w:tcPr>
            <w:tcW w:w="460" w:type="dxa"/>
            <w:vAlign w:val="bottom"/>
          </w:tcPr>
          <w:p>
            <w:pPr>
              <w:jc w:val="right"/>
              <w:ind w:right="68"/>
              <w:spacing w:after="0"/>
              <w:rPr>
                <w:sz w:val="20"/>
                <w:szCs w:val="20"/>
                <w:color w:val="auto"/>
              </w:rPr>
            </w:pPr>
            <w:r>
              <w:rPr>
                <w:rFonts w:ascii="Arial" w:cs="Arial" w:eastAsia="Arial" w:hAnsi="Arial"/>
                <w:sz w:val="14"/>
                <w:szCs w:val="14"/>
                <w:color w:val="auto"/>
              </w:rPr>
              <w:t>84.8</w:t>
            </w:r>
          </w:p>
        </w:tc>
        <w:tc>
          <w:tcPr>
            <w:tcW w:w="480" w:type="dxa"/>
            <w:vAlign w:val="bottom"/>
          </w:tcPr>
          <w:p>
            <w:pPr>
              <w:spacing w:after="0"/>
              <w:rPr>
                <w:sz w:val="17"/>
                <w:szCs w:val="17"/>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91.7</w:t>
            </w:r>
          </w:p>
        </w:tc>
        <w:tc>
          <w:tcPr>
            <w:tcW w:w="320" w:type="dxa"/>
            <w:vAlign w:val="bottom"/>
          </w:tcPr>
          <w:p>
            <w:pPr>
              <w:spacing w:after="0"/>
              <w:rPr>
                <w:sz w:val="17"/>
                <w:szCs w:val="17"/>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(7.0)</w:t>
            </w:r>
          </w:p>
        </w:tc>
      </w:tr>
      <w:tr>
        <w:trPr>
          <w:trHeight w:val="203"/>
        </w:trPr>
        <w:tc>
          <w:tcPr>
            <w:tcW w:w="7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92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37.2</w:t>
            </w:r>
          </w:p>
        </w:tc>
        <w:tc>
          <w:tcPr>
            <w:tcW w:w="4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36.4</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0.9</w:t>
            </w:r>
          </w:p>
        </w:tc>
      </w:tr>
      <w:tr>
        <w:trPr>
          <w:trHeight w:val="196"/>
        </w:trPr>
        <w:tc>
          <w:tcPr>
            <w:tcW w:w="70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85"/>
              </w:rPr>
              <w:t>213.9</w:t>
            </w:r>
          </w:p>
        </w:tc>
        <w:tc>
          <w:tcPr>
            <w:tcW w:w="4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268.6</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(54.7)</w:t>
            </w:r>
          </w:p>
        </w:tc>
      </w:tr>
      <w:tr>
        <w:trPr>
          <w:trHeight w:val="26"/>
        </w:trPr>
        <w:tc>
          <w:tcPr>
            <w:tcW w:w="70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Our aviation segment gross profit for the second quarter of 2020 was $91.9 million, a decrease of $48.6 million, or 35%, as compared to the second quarter of 2019. The decrease in aviation gross profit was primarily due to a 68% decline in volume as a consequence of the significant decline in air travel due to the COVID-19 pandemic, together with a reduction in our government-related activity in Afghanistan as a result of the ongoing drawdown of troops. Partially offsetting the volume-related impact on gross profit were certain situation-specific, nontraditional activity arising from the pandemic, such as repatriation flights and the repositioning of aircraft, as well as physical supply gains associated with the historic volatility in jet fuel prices during the second quarter.</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3" w:name="page34"/>
    <w:bookmarkEnd w:id="33"/>
    <w:p>
      <w:pPr>
        <w:jc w:val="both"/>
        <w:ind w:firstLine="324"/>
        <w:spacing w:after="0" w:line="311" w:lineRule="auto"/>
        <w:rPr>
          <w:sz w:val="20"/>
          <w:szCs w:val="20"/>
          <w:color w:val="auto"/>
        </w:rPr>
      </w:pPr>
      <w:r>
        <w:rPr>
          <w:rFonts w:ascii="Arial" w:cs="Arial" w:eastAsia="Arial" w:hAnsi="Arial"/>
          <w:sz w:val="16"/>
          <w:szCs w:val="16"/>
          <w:color w:val="auto"/>
        </w:rPr>
        <w:t>Our land segment gross profit for the second quarter of 2020 was $84.8 million, a decrease of $7.0 million, or 8%, as compared to the second quarter of 2019. The decrease in land segment gross profit was primarily attributable to lower volumes as a result of the pandemic, particularly in our retail, commercial and industrial activities in North America and our government-related activities in Afghanistan, partly offset by continued strength in the U.K.</w:t>
      </w:r>
    </w:p>
    <w:p>
      <w:pPr>
        <w:spacing w:after="0" w:line="176"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Our marine segment gross profit for the second quarter of 2020 was $37.2 million, an increase of $0.9 million, or 2%, as compared to the second quarter of 2019. The gross profit increase was related to improved performance in our core resale business, offset by significantly lower volume due to a decline in activity in connection with the pandemic.</w:t>
      </w:r>
    </w:p>
    <w:p>
      <w:pPr>
        <w:spacing w:after="0" w:line="211"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i w:val="1"/>
          <w:iCs w:val="1"/>
          <w:color w:val="auto"/>
        </w:rPr>
        <w:t xml:space="preserve">Operating Expenses. </w:t>
      </w:r>
      <w:r>
        <w:rPr>
          <w:rFonts w:ascii="Arial" w:cs="Arial" w:eastAsia="Arial" w:hAnsi="Arial"/>
          <w:sz w:val="18"/>
          <w:szCs w:val="18"/>
          <w:color w:val="auto"/>
        </w:rPr>
        <w:t>Total operating expenses for the second quarter of 2020 were $202.0 million, an increase of $8.6 million, or 4%,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the second quarter of 2019. As part of our cost-reduction initiatives, we significantly reduced certain general and administrative expenses during the second quarter of 2020, which were effectively offset by a higher provision for bad debt, principally due to the effects of the pandemic on the aviation industry. Furthermore, despite lower compensation costs, including lower incentive compensation, total operating expenses were higher as a result of an impairment charge of $18.6 million during the second quarter of 2020 associated with our decision to rationalize our global office footprint. The following table sets forth our expense categories (in millions):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80" w:type="dxa"/>
            <w:vAlign w:val="bottom"/>
          </w:tcPr>
          <w:p>
            <w:pPr>
              <w:spacing w:after="0"/>
              <w:rPr>
                <w:sz w:val="16"/>
                <w:szCs w:val="16"/>
                <w:color w:val="auto"/>
              </w:rPr>
            </w:pPr>
          </w:p>
        </w:tc>
        <w:tc>
          <w:tcPr>
            <w:tcW w:w="2780" w:type="dxa"/>
            <w:vAlign w:val="bottom"/>
            <w:gridSpan w:val="4"/>
          </w:tcPr>
          <w:p>
            <w:pPr>
              <w:jc w:val="right"/>
              <w:ind w:right="368"/>
              <w:spacing w:after="0"/>
              <w:rPr>
                <w:sz w:val="20"/>
                <w:szCs w:val="20"/>
                <w:color w:val="auto"/>
              </w:rPr>
            </w:pPr>
            <w:r>
              <w:rPr>
                <w:rFonts w:ascii="Arial" w:cs="Arial" w:eastAsia="Arial" w:hAnsi="Arial"/>
                <w:sz w:val="14"/>
                <w:szCs w:val="14"/>
                <w:b w:val="1"/>
                <w:bCs w:val="1"/>
                <w:color w:val="auto"/>
              </w:rPr>
              <w:t>For the Three Months Ended</w:t>
            </w: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08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7"/>
        </w:trPr>
        <w:tc>
          <w:tcPr>
            <w:tcW w:w="70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Compensation and employee benefits</w:t>
            </w:r>
          </w:p>
        </w:tc>
        <w:tc>
          <w:tcPr>
            <w:tcW w:w="9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95.9</w:t>
            </w:r>
          </w:p>
        </w:tc>
        <w:tc>
          <w:tcPr>
            <w:tcW w:w="4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112.0</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(16.1)</w:t>
            </w:r>
          </w:p>
        </w:tc>
      </w:tr>
      <w:tr>
        <w:trPr>
          <w:trHeight w:val="196"/>
        </w:trPr>
        <w:tc>
          <w:tcPr>
            <w:tcW w:w="7080" w:type="dxa"/>
            <w:vAlign w:val="bottom"/>
          </w:tcPr>
          <w:p>
            <w:pPr>
              <w:ind w:left="20"/>
              <w:spacing w:after="0"/>
              <w:rPr>
                <w:sz w:val="20"/>
                <w:szCs w:val="20"/>
                <w:color w:val="auto"/>
              </w:rPr>
            </w:pPr>
            <w:r>
              <w:rPr>
                <w:rFonts w:ascii="Arial" w:cs="Arial" w:eastAsia="Arial" w:hAnsi="Arial"/>
                <w:sz w:val="14"/>
                <w:szCs w:val="14"/>
                <w:color w:val="auto"/>
              </w:rPr>
              <w:t>General and administrative</w:t>
            </w:r>
          </w:p>
        </w:tc>
        <w:tc>
          <w:tcPr>
            <w:tcW w:w="920" w:type="dxa"/>
            <w:vAlign w:val="bottom"/>
          </w:tcPr>
          <w:p>
            <w:pPr>
              <w:spacing w:after="0"/>
              <w:rPr>
                <w:sz w:val="17"/>
                <w:szCs w:val="17"/>
                <w:color w:val="auto"/>
              </w:rPr>
            </w:pPr>
          </w:p>
        </w:tc>
        <w:tc>
          <w:tcPr>
            <w:tcW w:w="460" w:type="dxa"/>
            <w:vAlign w:val="bottom"/>
          </w:tcPr>
          <w:p>
            <w:pPr>
              <w:jc w:val="right"/>
              <w:ind w:right="68"/>
              <w:spacing w:after="0"/>
              <w:rPr>
                <w:sz w:val="20"/>
                <w:szCs w:val="20"/>
                <w:color w:val="auto"/>
              </w:rPr>
            </w:pPr>
            <w:r>
              <w:rPr>
                <w:rFonts w:ascii="Arial" w:cs="Arial" w:eastAsia="Arial" w:hAnsi="Arial"/>
                <w:sz w:val="14"/>
                <w:szCs w:val="14"/>
                <w:color w:val="auto"/>
              </w:rPr>
              <w:t>84.4</w:t>
            </w:r>
          </w:p>
        </w:tc>
        <w:tc>
          <w:tcPr>
            <w:tcW w:w="480" w:type="dxa"/>
            <w:vAlign w:val="bottom"/>
          </w:tcPr>
          <w:p>
            <w:pPr>
              <w:spacing w:after="0"/>
              <w:rPr>
                <w:sz w:val="17"/>
                <w:szCs w:val="17"/>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79.5</w:t>
            </w:r>
          </w:p>
        </w:tc>
        <w:tc>
          <w:tcPr>
            <w:tcW w:w="320" w:type="dxa"/>
            <w:vAlign w:val="bottom"/>
          </w:tcPr>
          <w:p>
            <w:pPr>
              <w:spacing w:after="0"/>
              <w:rPr>
                <w:sz w:val="17"/>
                <w:szCs w:val="17"/>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4.9</w:t>
            </w:r>
          </w:p>
        </w:tc>
      </w:tr>
      <w:tr>
        <w:trPr>
          <w:trHeight w:val="209"/>
        </w:trPr>
        <w:tc>
          <w:tcPr>
            <w:tcW w:w="7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Asset impairments</w:t>
            </w:r>
          </w:p>
        </w:tc>
        <w:tc>
          <w:tcPr>
            <w:tcW w:w="92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18.6</w:t>
            </w:r>
          </w:p>
        </w:tc>
        <w:tc>
          <w:tcPr>
            <w:tcW w:w="48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18.6</w:t>
            </w:r>
          </w:p>
        </w:tc>
      </w:tr>
      <w:tr>
        <w:trPr>
          <w:trHeight w:val="196"/>
        </w:trPr>
        <w:tc>
          <w:tcPr>
            <w:tcW w:w="708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Restructuring charges</w:t>
            </w:r>
          </w:p>
        </w:tc>
        <w:tc>
          <w:tcPr>
            <w:tcW w:w="92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3.1</w:t>
            </w:r>
          </w:p>
        </w:tc>
        <w:tc>
          <w:tcPr>
            <w:tcW w:w="4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1.9</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1.2</w:t>
            </w:r>
          </w:p>
        </w:tc>
      </w:tr>
      <w:tr>
        <w:trPr>
          <w:trHeight w:val="221"/>
        </w:trPr>
        <w:tc>
          <w:tcPr>
            <w:tcW w:w="70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85"/>
              </w:rPr>
              <w:t>202.0</w:t>
            </w:r>
          </w:p>
        </w:tc>
        <w:tc>
          <w:tcPr>
            <w:tcW w:w="4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193.4</w:t>
            </w: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8.6</w:t>
            </w:r>
          </w:p>
        </w:tc>
      </w:tr>
      <w:tr>
        <w:trPr>
          <w:trHeight w:val="20"/>
        </w:trPr>
        <w:tc>
          <w:tcPr>
            <w:tcW w:w="70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Income from Operations</w:t>
      </w:r>
      <w:r>
        <w:rPr>
          <w:rFonts w:ascii="Arial" w:cs="Arial" w:eastAsia="Arial" w:hAnsi="Arial"/>
          <w:sz w:val="18"/>
          <w:szCs w:val="18"/>
          <w:color w:val="auto"/>
        </w:rPr>
        <w:t>. Income from operations during these periods was attributable to the following segments (in millions):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400" w:type="dxa"/>
            <w:vAlign w:val="bottom"/>
            <w:gridSpan w:val="3"/>
          </w:tcPr>
          <w:p>
            <w:pPr>
              <w:jc w:val="right"/>
              <w:ind w:right="368"/>
              <w:spacing w:after="0"/>
              <w:rPr>
                <w:sz w:val="20"/>
                <w:szCs w:val="20"/>
                <w:color w:val="auto"/>
              </w:rPr>
            </w:pPr>
            <w:r>
              <w:rPr>
                <w:rFonts w:ascii="Arial" w:cs="Arial" w:eastAsia="Arial" w:hAnsi="Arial"/>
                <w:sz w:val="14"/>
                <w:szCs w:val="14"/>
                <w:b w:val="1"/>
                <w:bCs w:val="1"/>
                <w:color w:val="auto"/>
              </w:rPr>
              <w:t>For the Three Months Ended</w:t>
            </w: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08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7"/>
        </w:trPr>
        <w:tc>
          <w:tcPr>
            <w:tcW w:w="708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3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9.0</w:t>
            </w:r>
          </w:p>
        </w:tc>
        <w:tc>
          <w:tcPr>
            <w:tcW w:w="4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center"/>
              <w:ind w:left="308"/>
              <w:spacing w:after="0"/>
              <w:rPr>
                <w:sz w:val="20"/>
                <w:szCs w:val="20"/>
                <w:color w:val="auto"/>
              </w:rPr>
            </w:pPr>
            <w:r>
              <w:rPr>
                <w:rFonts w:ascii="Arial" w:cs="Arial" w:eastAsia="Arial" w:hAnsi="Arial"/>
                <w:sz w:val="14"/>
                <w:szCs w:val="14"/>
                <w:color w:val="auto"/>
                <w:w w:val="95"/>
              </w:rPr>
              <w:t>73.5</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(64.5)</w:t>
            </w:r>
          </w:p>
        </w:tc>
      </w:tr>
      <w:tr>
        <w:trPr>
          <w:trHeight w:val="197"/>
        </w:trPr>
        <w:tc>
          <w:tcPr>
            <w:tcW w:w="708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38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9.7</w:t>
            </w:r>
          </w:p>
        </w:tc>
        <w:tc>
          <w:tcPr>
            <w:tcW w:w="460" w:type="dxa"/>
            <w:vAlign w:val="bottom"/>
          </w:tcPr>
          <w:p>
            <w:pPr>
              <w:spacing w:after="0"/>
              <w:rPr>
                <w:sz w:val="17"/>
                <w:szCs w:val="17"/>
                <w:color w:val="auto"/>
              </w:rPr>
            </w:pPr>
          </w:p>
        </w:tc>
        <w:tc>
          <w:tcPr>
            <w:tcW w:w="920" w:type="dxa"/>
            <w:vAlign w:val="bottom"/>
          </w:tcPr>
          <w:p>
            <w:pPr>
              <w:jc w:val="center"/>
              <w:ind w:left="328"/>
              <w:spacing w:after="0"/>
              <w:rPr>
                <w:sz w:val="20"/>
                <w:szCs w:val="20"/>
                <w:color w:val="auto"/>
              </w:rPr>
            </w:pPr>
            <w:r>
              <w:rPr>
                <w:rFonts w:ascii="Arial" w:cs="Arial" w:eastAsia="Arial" w:hAnsi="Arial"/>
                <w:sz w:val="14"/>
                <w:szCs w:val="14"/>
                <w:color w:val="auto"/>
                <w:w w:val="87"/>
              </w:rPr>
              <w:t>11.8</w:t>
            </w:r>
          </w:p>
        </w:tc>
        <w:tc>
          <w:tcPr>
            <w:tcW w:w="320" w:type="dxa"/>
            <w:vAlign w:val="bottom"/>
          </w:tcPr>
          <w:p>
            <w:pPr>
              <w:spacing w:after="0"/>
              <w:rPr>
                <w:sz w:val="17"/>
                <w:szCs w:val="17"/>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(2.1)</w:t>
            </w:r>
          </w:p>
        </w:tc>
      </w:tr>
      <w:tr>
        <w:trPr>
          <w:trHeight w:val="203"/>
        </w:trPr>
        <w:tc>
          <w:tcPr>
            <w:tcW w:w="7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3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13.3</w:t>
            </w:r>
          </w:p>
        </w:tc>
        <w:tc>
          <w:tcPr>
            <w:tcW w:w="4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center"/>
              <w:ind w:left="308"/>
              <w:spacing w:after="0"/>
              <w:rPr>
                <w:sz w:val="20"/>
                <w:szCs w:val="20"/>
                <w:color w:val="auto"/>
              </w:rPr>
            </w:pPr>
            <w:r>
              <w:rPr>
                <w:rFonts w:ascii="Arial" w:cs="Arial" w:eastAsia="Arial" w:hAnsi="Arial"/>
                <w:sz w:val="14"/>
                <w:szCs w:val="14"/>
                <w:color w:val="auto"/>
                <w:w w:val="95"/>
              </w:rPr>
              <w:t>10.1</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3.2</w:t>
            </w:r>
          </w:p>
        </w:tc>
      </w:tr>
      <w:tr>
        <w:trPr>
          <w:trHeight w:val="196"/>
        </w:trPr>
        <w:tc>
          <w:tcPr>
            <w:tcW w:w="70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32.0</w:t>
            </w:r>
          </w:p>
        </w:tc>
        <w:tc>
          <w:tcPr>
            <w:tcW w:w="460" w:type="dxa"/>
            <w:vAlign w:val="bottom"/>
          </w:tcPr>
          <w:p>
            <w:pPr>
              <w:spacing w:after="0"/>
              <w:rPr>
                <w:sz w:val="17"/>
                <w:szCs w:val="17"/>
                <w:color w:val="auto"/>
              </w:rPr>
            </w:pPr>
          </w:p>
        </w:tc>
        <w:tc>
          <w:tcPr>
            <w:tcW w:w="920" w:type="dxa"/>
            <w:vAlign w:val="bottom"/>
          </w:tcPr>
          <w:p>
            <w:pPr>
              <w:jc w:val="center"/>
              <w:ind w:left="308"/>
              <w:spacing w:after="0"/>
              <w:rPr>
                <w:sz w:val="20"/>
                <w:szCs w:val="20"/>
                <w:color w:val="auto"/>
              </w:rPr>
            </w:pPr>
            <w:r>
              <w:rPr>
                <w:rFonts w:ascii="Arial" w:cs="Arial" w:eastAsia="Arial" w:hAnsi="Arial"/>
                <w:sz w:val="14"/>
                <w:szCs w:val="14"/>
                <w:color w:val="auto"/>
                <w:w w:val="95"/>
              </w:rPr>
              <w:t>95.4</w:t>
            </w:r>
          </w:p>
        </w:tc>
        <w:tc>
          <w:tcPr>
            <w:tcW w:w="320" w:type="dxa"/>
            <w:vAlign w:val="bottom"/>
          </w:tcPr>
          <w:p>
            <w:pPr>
              <w:spacing w:after="0"/>
              <w:rPr>
                <w:sz w:val="17"/>
                <w:szCs w:val="17"/>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(63.4)</w:t>
            </w:r>
          </w:p>
        </w:tc>
      </w:tr>
      <w:tr>
        <w:trPr>
          <w:trHeight w:val="203"/>
        </w:trPr>
        <w:tc>
          <w:tcPr>
            <w:tcW w:w="7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Corporate overhead - unallocated</w:t>
            </w:r>
          </w:p>
        </w:tc>
        <w:tc>
          <w:tcPr>
            <w:tcW w:w="3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(20.1)</w:t>
            </w:r>
          </w:p>
        </w:tc>
        <w:tc>
          <w:tcPr>
            <w:tcW w:w="4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center"/>
              <w:ind w:left="288"/>
              <w:spacing w:after="0"/>
              <w:rPr>
                <w:sz w:val="20"/>
                <w:szCs w:val="20"/>
                <w:color w:val="auto"/>
              </w:rPr>
            </w:pPr>
            <w:r>
              <w:rPr>
                <w:rFonts w:ascii="Arial" w:cs="Arial" w:eastAsia="Arial" w:hAnsi="Arial"/>
                <w:sz w:val="14"/>
                <w:szCs w:val="14"/>
                <w:color w:val="auto"/>
                <w:w w:val="98"/>
              </w:rPr>
              <w:t>(20.2)</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0.1</w:t>
            </w:r>
          </w:p>
        </w:tc>
      </w:tr>
      <w:tr>
        <w:trPr>
          <w:trHeight w:val="196"/>
        </w:trPr>
        <w:tc>
          <w:tcPr>
            <w:tcW w:w="708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11.9</w:t>
            </w:r>
          </w:p>
        </w:tc>
        <w:tc>
          <w:tcPr>
            <w:tcW w:w="4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center"/>
              <w:ind w:left="308"/>
              <w:spacing w:after="0"/>
              <w:rPr>
                <w:sz w:val="20"/>
                <w:szCs w:val="20"/>
                <w:color w:val="auto"/>
              </w:rPr>
            </w:pPr>
            <w:r>
              <w:rPr>
                <w:rFonts w:ascii="Arial" w:cs="Arial" w:eastAsia="Arial" w:hAnsi="Arial"/>
                <w:sz w:val="14"/>
                <w:szCs w:val="14"/>
                <w:color w:val="auto"/>
                <w:w w:val="95"/>
              </w:rPr>
              <w:t>75.2</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(63.3)</w:t>
            </w:r>
          </w:p>
        </w:tc>
      </w:tr>
      <w:tr>
        <w:trPr>
          <w:trHeight w:val="27"/>
        </w:trPr>
        <w:tc>
          <w:tcPr>
            <w:tcW w:w="70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Our income from operations for the second quarter of 2020 was $11.9 million, a decrease of $63.3 million, or 84%, as compared to the second quarter of 2019. Results in our aviation segment primarily drove the decrease in operating income.</w:t>
      </w:r>
    </w:p>
    <w:p>
      <w:pPr>
        <w:spacing w:after="0" w:line="197"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Income from operations in our aviation segment for the second quarter of 2020 was $9.0 million, a decrease of $64.5 million, or 88% as compared to the second quarter of 2019. Our aviation segment was principally impacted by lower volumes and the correspondingly reduced profit contribution as a consequence of the significant decline in air travel due to the COVID-19 pandemic, together with a reduction in our government-related activity in Afghanistan as a result of the ongoing drawdown of troops. Aviation segment operating income was also reduced by increased expenses resulting from a higher provision for bad debt principally due to the effects of the pandemic on the aviation industry, as well as the global office footprint rationalization impairment charge.</w:t>
      </w:r>
    </w:p>
    <w:p>
      <w:pPr>
        <w:spacing w:after="0" w:line="219"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our land segment, income from operations for the second quarter of 2020 was $9.7 million, a decrease of $2.1 million, or 18% as compared to the second quarter of 2019. The decrease in land segment operating profit was primarily attributable to lower volumes as a result of the pandemic, particularly in our retail, commercial and industrial activities in North America, and our government-related activities in Afghanistan, as well as the global office footprint rationalization impairment charge. The decreases were partly offset by continued strength in the U.K and lower general and administrative expenses and compensation costs during the second quarter.</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34" w:name="page35"/>
    <w:bookmarkEnd w:id="34"/>
    <w:p>
      <w:pPr>
        <w:jc w:val="both"/>
        <w:ind w:firstLine="324"/>
        <w:spacing w:after="0" w:line="263" w:lineRule="auto"/>
        <w:rPr>
          <w:sz w:val="20"/>
          <w:szCs w:val="20"/>
          <w:color w:val="auto"/>
        </w:rPr>
      </w:pPr>
      <w:r>
        <w:rPr>
          <w:rFonts w:ascii="Arial" w:cs="Arial" w:eastAsia="Arial" w:hAnsi="Arial"/>
          <w:sz w:val="18"/>
          <w:szCs w:val="18"/>
          <w:color w:val="auto"/>
        </w:rPr>
        <w:t>Our marine segment income from operations for the second quarter of 2020 was $13.3 million, an increase of $3.2 million, or 32% as compared to the second quarter of 2019. The increase in operating income was primarily related to improved performance in our core resale business as well as decreases in compensation costs, partially offset by the global office footprint rationalization impairment charge.</w:t>
      </w:r>
    </w:p>
    <w:p>
      <w:pPr>
        <w:spacing w:after="0" w:line="211"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Corporate overhead costs not charged to the business segments for the second quarter of 2020 were $20.1 million, a decrease of $0.1 million, or 0.5%, as compared to the second quarter of 2019, primarily attributable to a decrease in compensation costs.</w:t>
      </w:r>
    </w:p>
    <w:p>
      <w:pPr>
        <w:spacing w:after="0" w:line="197"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i w:val="1"/>
          <w:iCs w:val="1"/>
          <w:color w:val="auto"/>
        </w:rPr>
        <w:t xml:space="preserve">Non-Operating Expenses, net. </w:t>
      </w:r>
      <w:r>
        <w:rPr>
          <w:rFonts w:ascii="Arial" w:cs="Arial" w:eastAsia="Arial" w:hAnsi="Arial"/>
          <w:sz w:val="18"/>
          <w:szCs w:val="18"/>
          <w:color w:val="auto"/>
        </w:rPr>
        <w:t>For the second quarter of 2020, we had non-operating expenses of $14.9 million, a decrease of $2.7 million as compared</w:t>
      </w:r>
      <w:r>
        <w:rPr>
          <w:rFonts w:ascii="Arial" w:cs="Arial" w:eastAsia="Arial" w:hAnsi="Arial"/>
          <w:sz w:val="18"/>
          <w:szCs w:val="18"/>
          <w:i w:val="1"/>
          <w:iCs w:val="1"/>
          <w:color w:val="auto"/>
        </w:rPr>
        <w:t xml:space="preserve"> </w:t>
      </w:r>
      <w:r>
        <w:rPr>
          <w:rFonts w:ascii="Arial" w:cs="Arial" w:eastAsia="Arial" w:hAnsi="Arial"/>
          <w:sz w:val="18"/>
          <w:szCs w:val="18"/>
          <w:color w:val="auto"/>
        </w:rPr>
        <w:t>to the second quarter of 2019, driven principally by a reduction in interest expenses and fees associated with our receivable purchase programs partly offset by foreign currency transaction loss.</w:t>
      </w:r>
    </w:p>
    <w:p>
      <w:pPr>
        <w:spacing w:after="0" w:line="211" w:lineRule="exact"/>
        <w:rPr>
          <w:sz w:val="20"/>
          <w:szCs w:val="20"/>
          <w:color w:val="auto"/>
        </w:rPr>
      </w:pPr>
    </w:p>
    <w:p>
      <w:pPr>
        <w:jc w:val="both"/>
        <w:ind w:firstLine="324"/>
        <w:spacing w:after="0" w:line="301" w:lineRule="auto"/>
        <w:rPr>
          <w:sz w:val="20"/>
          <w:szCs w:val="20"/>
          <w:color w:val="auto"/>
        </w:rPr>
      </w:pPr>
      <w:r>
        <w:rPr>
          <w:rFonts w:ascii="Arial" w:cs="Arial" w:eastAsia="Arial" w:hAnsi="Arial"/>
          <w:sz w:val="16"/>
          <w:szCs w:val="16"/>
          <w:i w:val="1"/>
          <w:iCs w:val="1"/>
          <w:color w:val="auto"/>
        </w:rPr>
        <w:t>Income Taxes</w:t>
      </w:r>
      <w:r>
        <w:rPr>
          <w:rFonts w:ascii="Arial" w:cs="Arial" w:eastAsia="Arial" w:hAnsi="Arial"/>
          <w:sz w:val="16"/>
          <w:szCs w:val="16"/>
          <w:color w:val="auto"/>
        </w:rPr>
        <w:t>. For the second quarter of 2020, our income tax provision was $7.7 million and our effective income tax rate was (258%), as compared</w:t>
      </w:r>
      <w:r>
        <w:rPr>
          <w:rFonts w:ascii="Arial" w:cs="Arial" w:eastAsia="Arial" w:hAnsi="Arial"/>
          <w:sz w:val="16"/>
          <w:szCs w:val="16"/>
          <w:i w:val="1"/>
          <w:iCs w:val="1"/>
          <w:color w:val="auto"/>
        </w:rPr>
        <w:t xml:space="preserve"> </w:t>
      </w:r>
      <w:r>
        <w:rPr>
          <w:rFonts w:ascii="Arial" w:cs="Arial" w:eastAsia="Arial" w:hAnsi="Arial"/>
          <w:sz w:val="16"/>
          <w:szCs w:val="16"/>
          <w:color w:val="auto"/>
        </w:rPr>
        <w:t>to an income tax provision of $20.0 million and an effective income tax rate of 35% for the second quarter of 2019. The lower tax provision was a result of lower income before income taxes while the higher effective income tax rate was primarily related to differences in the results of our subsidiaries in tax jurisdictions with different tax rates and certain one-time discrete items. See Note 8. Income Taxes within this 10-Q Report for additional information.</w:t>
      </w:r>
    </w:p>
    <w:p>
      <w:pPr>
        <w:spacing w:after="0" w:line="184"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Net Income Attributable to Noncontrolling Interest</w:t>
      </w:r>
      <w:r>
        <w:rPr>
          <w:rFonts w:ascii="Arial" w:cs="Arial" w:eastAsia="Arial" w:hAnsi="Arial"/>
          <w:sz w:val="18"/>
          <w:szCs w:val="18"/>
          <w:color w:val="auto"/>
        </w:rPr>
        <w:t>. For the second quarter of 2020, net loss attributable to noncontrolling interest was $0.4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net income of $0.6 million for the second quarter of 2019.</w:t>
      </w:r>
    </w:p>
    <w:p>
      <w:pPr>
        <w:spacing w:after="0" w:line="197"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i w:val="1"/>
          <w:iCs w:val="1"/>
          <w:color w:val="auto"/>
        </w:rPr>
        <w:t>Net Income Attributable to World Fuel and Diluted Earnings per Common Share</w:t>
      </w:r>
      <w:r>
        <w:rPr>
          <w:rFonts w:ascii="Arial" w:cs="Arial" w:eastAsia="Arial" w:hAnsi="Arial"/>
          <w:sz w:val="18"/>
          <w:szCs w:val="18"/>
          <w:color w:val="auto"/>
        </w:rPr>
        <w:t>. For the second quarter of 2020, we had a net loss attributable to</w:t>
      </w:r>
      <w:r>
        <w:rPr>
          <w:rFonts w:ascii="Arial" w:cs="Arial" w:eastAsia="Arial" w:hAnsi="Arial"/>
          <w:sz w:val="18"/>
          <w:szCs w:val="18"/>
          <w:i w:val="1"/>
          <w:iCs w:val="1"/>
          <w:color w:val="auto"/>
        </w:rPr>
        <w:t xml:space="preserve"> </w:t>
      </w:r>
      <w:r>
        <w:rPr>
          <w:rFonts w:ascii="Arial" w:cs="Arial" w:eastAsia="Arial" w:hAnsi="Arial"/>
          <w:sz w:val="18"/>
          <w:szCs w:val="18"/>
          <w:color w:val="auto"/>
        </w:rPr>
        <w:t>World Fuel of $10.2 million and diluted loss per common share of $0.16 as compared to net income attributable to World Fuel of $37.0 million and diluted earnings per common share of $0.55 for the second quarter of 2019.</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35" w:name="page36"/>
    <w:bookmarkEnd w:id="35"/>
    <w:p>
      <w:pPr>
        <w:ind w:left="340"/>
        <w:spacing w:after="0"/>
        <w:rPr>
          <w:sz w:val="20"/>
          <w:szCs w:val="20"/>
          <w:color w:val="auto"/>
        </w:rPr>
      </w:pPr>
      <w:r>
        <w:rPr>
          <w:rFonts w:ascii="Arial" w:cs="Arial" w:eastAsia="Arial" w:hAnsi="Arial"/>
          <w:sz w:val="18"/>
          <w:szCs w:val="18"/>
          <w:b w:val="1"/>
          <w:bCs w:val="1"/>
          <w:color w:val="auto"/>
        </w:rPr>
        <w:t>Six Months Ended June 30, 2020 Compared to Six Months Ended June 30, 2019</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i w:val="1"/>
          <w:iCs w:val="1"/>
          <w:color w:val="auto"/>
        </w:rPr>
        <w:t xml:space="preserve">Revenue. </w:t>
      </w:r>
      <w:r>
        <w:rPr>
          <w:rFonts w:ascii="Arial" w:cs="Arial" w:eastAsia="Arial" w:hAnsi="Arial"/>
          <w:sz w:val="18"/>
          <w:szCs w:val="18"/>
          <w:color w:val="auto"/>
        </w:rPr>
        <w:t>Our revenue for the first six months of 2020 was $11.2 billion, a decrease of $7.0 billion, or 38%, as compared to the first six months of</w:t>
      </w:r>
      <w:r>
        <w:rPr>
          <w:rFonts w:ascii="Arial" w:cs="Arial" w:eastAsia="Arial" w:hAnsi="Arial"/>
          <w:sz w:val="18"/>
          <w:szCs w:val="18"/>
          <w:i w:val="1"/>
          <w:iCs w:val="1"/>
          <w:color w:val="auto"/>
        </w:rPr>
        <w:t xml:space="preserve"> </w:t>
      </w:r>
      <w:r>
        <w:rPr>
          <w:rFonts w:ascii="Arial" w:cs="Arial" w:eastAsia="Arial" w:hAnsi="Arial"/>
          <w:sz w:val="18"/>
          <w:szCs w:val="18"/>
          <w:color w:val="auto"/>
        </w:rPr>
        <w:t>2019. Our revenue during these periods was attributable to the following segments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380" w:type="dxa"/>
            <w:vAlign w:val="bottom"/>
            <w:gridSpan w:val="3"/>
          </w:tcPr>
          <w:p>
            <w:pPr>
              <w:jc w:val="right"/>
              <w:ind w:right="448"/>
              <w:spacing w:after="0"/>
              <w:rPr>
                <w:sz w:val="20"/>
                <w:szCs w:val="20"/>
                <w:color w:val="auto"/>
              </w:rPr>
            </w:pPr>
            <w:r>
              <w:rPr>
                <w:rFonts w:ascii="Arial" w:cs="Arial" w:eastAsia="Arial" w:hAnsi="Arial"/>
                <w:sz w:val="14"/>
                <w:szCs w:val="14"/>
                <w:b w:val="1"/>
                <w:bCs w:val="1"/>
                <w:color w:val="auto"/>
              </w:rPr>
              <w:t>For the Six Months Ended</w:t>
            </w: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6"/>
        </w:trPr>
        <w:tc>
          <w:tcPr>
            <w:tcW w:w="71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4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4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4,784.8</w:t>
            </w:r>
          </w:p>
        </w:tc>
        <w:tc>
          <w:tcPr>
            <w:tcW w:w="4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9,037.7</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(4,253.0)</w:t>
            </w:r>
          </w:p>
        </w:tc>
      </w:tr>
      <w:tr>
        <w:trPr>
          <w:trHeight w:val="197"/>
        </w:trPr>
        <w:tc>
          <w:tcPr>
            <w:tcW w:w="712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400" w:type="dxa"/>
            <w:vAlign w:val="bottom"/>
          </w:tcPr>
          <w:p>
            <w:pPr>
              <w:spacing w:after="0"/>
              <w:rPr>
                <w:sz w:val="17"/>
                <w:szCs w:val="17"/>
                <w:color w:val="auto"/>
              </w:rPr>
            </w:pPr>
          </w:p>
        </w:tc>
        <w:tc>
          <w:tcPr>
            <w:tcW w:w="980" w:type="dxa"/>
            <w:vAlign w:val="bottom"/>
          </w:tcPr>
          <w:p>
            <w:pPr>
              <w:jc w:val="right"/>
              <w:ind w:right="68"/>
              <w:spacing w:after="0"/>
              <w:rPr>
                <w:sz w:val="20"/>
                <w:szCs w:val="20"/>
                <w:color w:val="auto"/>
              </w:rPr>
            </w:pPr>
            <w:r>
              <w:rPr>
                <w:rFonts w:ascii="Arial" w:cs="Arial" w:eastAsia="Arial" w:hAnsi="Arial"/>
                <w:sz w:val="14"/>
                <w:szCs w:val="14"/>
                <w:color w:val="auto"/>
              </w:rPr>
              <w:t>3,303.6</w:t>
            </w:r>
          </w:p>
        </w:tc>
        <w:tc>
          <w:tcPr>
            <w:tcW w:w="480" w:type="dxa"/>
            <w:vAlign w:val="bottom"/>
          </w:tcPr>
          <w:p>
            <w:pPr>
              <w:spacing w:after="0"/>
              <w:rPr>
                <w:sz w:val="17"/>
                <w:szCs w:val="17"/>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5,156.6</w:t>
            </w:r>
          </w:p>
        </w:tc>
        <w:tc>
          <w:tcPr>
            <w:tcW w:w="320" w:type="dxa"/>
            <w:vAlign w:val="bottom"/>
          </w:tcPr>
          <w:p>
            <w:pPr>
              <w:spacing w:after="0"/>
              <w:rPr>
                <w:sz w:val="17"/>
                <w:szCs w:val="17"/>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(1,853.0)</w:t>
            </w:r>
          </w:p>
        </w:tc>
      </w:tr>
      <w:tr>
        <w:trPr>
          <w:trHeight w:val="203"/>
        </w:trPr>
        <w:tc>
          <w:tcPr>
            <w:tcW w:w="7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40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3,085.2</w:t>
            </w:r>
          </w:p>
        </w:tc>
        <w:tc>
          <w:tcPr>
            <w:tcW w:w="4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3,943.9</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(858.7)</w:t>
            </w:r>
          </w:p>
        </w:tc>
      </w:tr>
      <w:tr>
        <w:trPr>
          <w:trHeight w:val="196"/>
        </w:trPr>
        <w:tc>
          <w:tcPr>
            <w:tcW w:w="71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11,173.5</w:t>
            </w:r>
          </w:p>
        </w:tc>
        <w:tc>
          <w:tcPr>
            <w:tcW w:w="4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18,138.2</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(6,964.7)</w:t>
            </w:r>
          </w:p>
        </w:tc>
      </w:tr>
      <w:tr>
        <w:trPr>
          <w:trHeight w:val="27"/>
        </w:trPr>
        <w:tc>
          <w:tcPr>
            <w:tcW w:w="7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Revenues in our aviation segment were $4.8 billion for the first six months of 2020, a decrease of $4.3 billion, or 47%, as compared to the first six months of 2019. Lower average jet fuel prices, combined with a significant volume decline associated with the COVID-19 pandemic, drove the decrease in aviation revenue in the first six months of 2020. Specifically, the average price per gallon sold during the first six months of 2020 was $1.59</w:t>
      </w:r>
      <w:r>
        <w:rPr>
          <w:rFonts w:ascii="Arial" w:cs="Arial" w:eastAsia="Arial" w:hAnsi="Arial"/>
          <w:sz w:val="18"/>
          <w:szCs w:val="18"/>
          <w:u w:val="single" w:color="auto"/>
          <w:color w:val="0000FF"/>
        </w:rPr>
        <w:t>,</w:t>
      </w:r>
      <w:r>
        <w:rPr>
          <w:rFonts w:ascii="Arial" w:cs="Arial" w:eastAsia="Arial" w:hAnsi="Arial"/>
          <w:sz w:val="18"/>
          <w:szCs w:val="18"/>
          <w:color w:val="auto"/>
        </w:rPr>
        <w:t xml:space="preserve"> as compared to $2.08 for the comparable period in 2019. Total volumes for the first six months of 2020 were 2.5 billion gallons, a decrease of 38%, as compared to the comparable prior-year period. The decline in volumes was attributable to a significant decrease in activity in our commercial aviation business, resulting from the impact of the COVID-19 pandemic on air travel.</w:t>
      </w:r>
    </w:p>
    <w:p>
      <w:pPr>
        <w:spacing w:after="0" w:line="192"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Revenues in our land segment were $3.3 billion for the first six months of 2020, a decrease of $1.9 billion, or 36%, as compared to the first six months of 2019. The overall decrease in revenue was influenced by lower average fuel price per gallon sold in the first six months of 2020, where the average price per gallon or gallon equivalent sold was $1.28, as compared to $1.91 in the first six months of 2019. Volumes in our land segment declined moderately to 2.5 billion, a 5% decrease in the first six months of 2020, as compared to the first six months of 2019.</w:t>
      </w:r>
    </w:p>
    <w:p>
      <w:pPr>
        <w:spacing w:after="0" w:line="158" w:lineRule="exact"/>
        <w:rPr>
          <w:sz w:val="20"/>
          <w:szCs w:val="20"/>
          <w:color w:val="auto"/>
        </w:rPr>
      </w:pPr>
    </w:p>
    <w:p>
      <w:pPr>
        <w:jc w:val="both"/>
        <w:ind w:firstLine="324"/>
        <w:spacing w:after="0" w:line="227" w:lineRule="auto"/>
        <w:rPr>
          <w:sz w:val="20"/>
          <w:szCs w:val="20"/>
          <w:color w:val="auto"/>
        </w:rPr>
      </w:pPr>
      <w:r>
        <w:rPr>
          <w:rFonts w:ascii="Arial" w:cs="Arial" w:eastAsia="Arial" w:hAnsi="Arial"/>
          <w:sz w:val="18"/>
          <w:szCs w:val="18"/>
          <w:color w:val="auto"/>
        </w:rPr>
        <w:t>Revenues in our marine segment were $3.1 billion for the first six months of 2020, a decrease of $858.7 million, or 22%, as compared to the first six months of 2019. The decrease in revenues was primarily attributable to a decrease in the average price per metric ton of bunker fuel sold from $382.6 in the first six months of 2019 to $346.9 in the first half of 2020. Revenues also fell as a result of a 14% volume decrease, from 10.3 to 8.9 million metric tons in the first six months of 2019 as compared to the first six months of 2020. The volume decline was a result of the effects of the pandemic on demand, combined with a continuing effort to exit activities that generate a low economic return, particularly in light of the elevated credit risk environment in the wake of the pandemic.</w:t>
      </w:r>
    </w:p>
    <w:p>
      <w:pPr>
        <w:spacing w:after="0" w:line="216"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i w:val="1"/>
          <w:iCs w:val="1"/>
          <w:color w:val="auto"/>
        </w:rPr>
        <w:t xml:space="preserve">Gross Profit. </w:t>
      </w:r>
      <w:r>
        <w:rPr>
          <w:rFonts w:ascii="Arial" w:cs="Arial" w:eastAsia="Arial" w:hAnsi="Arial"/>
          <w:sz w:val="18"/>
          <w:szCs w:val="18"/>
          <w:color w:val="auto"/>
        </w:rPr>
        <w:t>Our gross profit for the first six months of 2020 was $472.6 million, a decrease of $47.0 million, or 9%, as compared to the first six</w:t>
      </w:r>
      <w:r>
        <w:rPr>
          <w:rFonts w:ascii="Arial" w:cs="Arial" w:eastAsia="Arial" w:hAnsi="Arial"/>
          <w:sz w:val="18"/>
          <w:szCs w:val="18"/>
          <w:i w:val="1"/>
          <w:iCs w:val="1"/>
          <w:color w:val="auto"/>
        </w:rPr>
        <w:t xml:space="preserve"> </w:t>
      </w:r>
      <w:r>
        <w:rPr>
          <w:rFonts w:ascii="Arial" w:cs="Arial" w:eastAsia="Arial" w:hAnsi="Arial"/>
          <w:sz w:val="18"/>
          <w:szCs w:val="18"/>
          <w:color w:val="auto"/>
        </w:rPr>
        <w:t>months of 2019.</w:t>
      </w:r>
    </w:p>
    <w:p>
      <w:pPr>
        <w:spacing w:after="0" w:line="19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gross profit during these periods was attributable to the following segments (in millions):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120" w:type="dxa"/>
            <w:vAlign w:val="bottom"/>
          </w:tcPr>
          <w:p>
            <w:pPr>
              <w:spacing w:after="0"/>
              <w:rPr>
                <w:sz w:val="16"/>
                <w:szCs w:val="16"/>
                <w:color w:val="auto"/>
              </w:rPr>
            </w:pPr>
          </w:p>
        </w:tc>
        <w:tc>
          <w:tcPr>
            <w:tcW w:w="230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Six Months Ended</w:t>
            </w:r>
          </w:p>
        </w:tc>
        <w:tc>
          <w:tcPr>
            <w:tcW w:w="4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12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2"/>
          </w:tcPr>
          <w:p>
            <w:pPr>
              <w:jc w:val="right"/>
              <w:ind w:right="528"/>
              <w:spacing w:after="0"/>
              <w:rPr>
                <w:sz w:val="20"/>
                <w:szCs w:val="20"/>
                <w:color w:val="auto"/>
              </w:rPr>
            </w:pPr>
            <w:r>
              <w:rPr>
                <w:rFonts w:ascii="Arial" w:cs="Arial" w:eastAsia="Arial" w:hAnsi="Arial"/>
                <w:sz w:val="14"/>
                <w:szCs w:val="14"/>
                <w:b w:val="1"/>
                <w:bCs w:val="1"/>
                <w:color w:val="auto"/>
              </w:rPr>
              <w:t>June 30,</w:t>
            </w:r>
          </w:p>
        </w:tc>
        <w:tc>
          <w:tcPr>
            <w:tcW w:w="48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7"/>
        </w:trPr>
        <w:tc>
          <w:tcPr>
            <w:tcW w:w="71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48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1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Aviation segment</w:t>
            </w:r>
          </w:p>
        </w:tc>
        <w:tc>
          <w:tcPr>
            <w:tcW w:w="9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85"/>
              </w:rPr>
              <w:t>185.0</w:t>
            </w:r>
          </w:p>
        </w:tc>
        <w:tc>
          <w:tcPr>
            <w:tcW w:w="920" w:type="dxa"/>
            <w:vAlign w:val="bottom"/>
            <w:shd w:val="clear" w:color="auto" w:fill="CCEEFF"/>
          </w:tcPr>
          <w:p>
            <w:pPr>
              <w:jc w:val="right"/>
              <w:ind w:right="62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1"/>
              </w:rPr>
              <w:t>254.8</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(69.8)</w:t>
            </w:r>
          </w:p>
        </w:tc>
      </w:tr>
      <w:tr>
        <w:trPr>
          <w:trHeight w:val="196"/>
        </w:trPr>
        <w:tc>
          <w:tcPr>
            <w:tcW w:w="7120" w:type="dxa"/>
            <w:vAlign w:val="bottom"/>
          </w:tcPr>
          <w:p>
            <w:pPr>
              <w:ind w:left="120"/>
              <w:spacing w:after="0"/>
              <w:rPr>
                <w:sz w:val="20"/>
                <w:szCs w:val="20"/>
                <w:color w:val="auto"/>
              </w:rPr>
            </w:pPr>
            <w:r>
              <w:rPr>
                <w:rFonts w:ascii="Arial" w:cs="Arial" w:eastAsia="Arial" w:hAnsi="Arial"/>
                <w:sz w:val="14"/>
                <w:szCs w:val="14"/>
                <w:color w:val="auto"/>
              </w:rPr>
              <w:t>Land segment</w:t>
            </w:r>
          </w:p>
        </w:tc>
        <w:tc>
          <w:tcPr>
            <w:tcW w:w="920" w:type="dxa"/>
            <w:vAlign w:val="bottom"/>
          </w:tcPr>
          <w:p>
            <w:pPr>
              <w:spacing w:after="0"/>
              <w:rPr>
                <w:sz w:val="17"/>
                <w:szCs w:val="17"/>
                <w:color w:val="auto"/>
              </w:rPr>
            </w:pPr>
          </w:p>
        </w:tc>
        <w:tc>
          <w:tcPr>
            <w:tcW w:w="460" w:type="dxa"/>
            <w:vAlign w:val="bottom"/>
          </w:tcPr>
          <w:p>
            <w:pPr>
              <w:jc w:val="right"/>
              <w:ind w:right="68"/>
              <w:spacing w:after="0"/>
              <w:rPr>
                <w:sz w:val="20"/>
                <w:szCs w:val="20"/>
                <w:color w:val="auto"/>
              </w:rPr>
            </w:pPr>
            <w:r>
              <w:rPr>
                <w:rFonts w:ascii="Arial" w:cs="Arial" w:eastAsia="Arial" w:hAnsi="Arial"/>
                <w:sz w:val="14"/>
                <w:szCs w:val="14"/>
                <w:color w:val="auto"/>
                <w:w w:val="85"/>
              </w:rPr>
              <w:t>191.0</w:t>
            </w:r>
          </w:p>
        </w:tc>
        <w:tc>
          <w:tcPr>
            <w:tcW w:w="920" w:type="dxa"/>
            <w:vAlign w:val="bottom"/>
          </w:tcPr>
          <w:p>
            <w:pPr>
              <w:spacing w:after="0"/>
              <w:rPr>
                <w:sz w:val="17"/>
                <w:szCs w:val="17"/>
                <w:color w:val="auto"/>
              </w:rPr>
            </w:pPr>
          </w:p>
        </w:tc>
        <w:tc>
          <w:tcPr>
            <w:tcW w:w="480" w:type="dxa"/>
            <w:vAlign w:val="bottom"/>
          </w:tcPr>
          <w:p>
            <w:pPr>
              <w:jc w:val="right"/>
              <w:ind w:right="68"/>
              <w:spacing w:after="0"/>
              <w:rPr>
                <w:sz w:val="20"/>
                <w:szCs w:val="20"/>
                <w:color w:val="auto"/>
              </w:rPr>
            </w:pPr>
            <w:r>
              <w:rPr>
                <w:rFonts w:ascii="Arial" w:cs="Arial" w:eastAsia="Arial" w:hAnsi="Arial"/>
                <w:sz w:val="14"/>
                <w:szCs w:val="14"/>
                <w:color w:val="auto"/>
                <w:w w:val="91"/>
              </w:rPr>
              <w:t>193.2</w:t>
            </w:r>
          </w:p>
        </w:tc>
        <w:tc>
          <w:tcPr>
            <w:tcW w:w="320" w:type="dxa"/>
            <w:vAlign w:val="bottom"/>
          </w:tcPr>
          <w:p>
            <w:pPr>
              <w:spacing w:after="0"/>
              <w:rPr>
                <w:sz w:val="17"/>
                <w:szCs w:val="17"/>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(2.2)</w:t>
            </w:r>
          </w:p>
        </w:tc>
      </w:tr>
      <w:tr>
        <w:trPr>
          <w:trHeight w:val="203"/>
        </w:trPr>
        <w:tc>
          <w:tcPr>
            <w:tcW w:w="712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4"/>
                <w:szCs w:val="14"/>
                <w:color w:val="auto"/>
              </w:rPr>
              <w:t>Marine segment</w:t>
            </w:r>
          </w:p>
        </w:tc>
        <w:tc>
          <w:tcPr>
            <w:tcW w:w="92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96.6</w:t>
            </w:r>
          </w:p>
        </w:tc>
        <w:tc>
          <w:tcPr>
            <w:tcW w:w="92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71.6</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25.0</w:t>
            </w:r>
          </w:p>
        </w:tc>
      </w:tr>
      <w:tr>
        <w:trPr>
          <w:trHeight w:val="196"/>
        </w:trPr>
        <w:tc>
          <w:tcPr>
            <w:tcW w:w="71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85"/>
              </w:rPr>
              <w:t>472.6</w:t>
            </w:r>
          </w:p>
        </w:tc>
        <w:tc>
          <w:tcPr>
            <w:tcW w:w="920" w:type="dxa"/>
            <w:vAlign w:val="bottom"/>
            <w:tcBorders>
              <w:bottom w:val="single" w:sz="8" w:color="auto"/>
            </w:tcBorders>
          </w:tcPr>
          <w:p>
            <w:pPr>
              <w:jc w:val="right"/>
              <w:ind w:right="62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91"/>
              </w:rPr>
              <w:t>519.7</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(47.0)</w:t>
            </w:r>
          </w:p>
        </w:tc>
      </w:tr>
      <w:tr>
        <w:trPr>
          <w:trHeight w:val="27"/>
        </w:trPr>
        <w:tc>
          <w:tcPr>
            <w:tcW w:w="7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Our aviation segment gross profit for the first six months of 2020 was $185.0 million, a decrease of $69.8 million, or 27%, as compared to the first six months of 2019. The decrease in aviation gross profit was primarily due to a 38% decline in volume as a consequence of the significant decline passenger air travel due to the pandemic, together with a reduction in our government-related activity in Afghanistan as a result of the ongoing drawdown of troops. Partially offsetting the volume-related impact on gross profit were certain situation-specific, nontraditional activity arising from the pandemic, such as repatriation flights and the repositioning of aircraft, as well as physical supply gains associated with the historic volatility in jet fuel prices during the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688340</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6" w:name="page37"/>
    <w:bookmarkEnd w:id="36"/>
    <w:p>
      <w:pPr>
        <w:jc w:val="both"/>
        <w:ind w:firstLine="324"/>
        <w:spacing w:after="0" w:line="279" w:lineRule="auto"/>
        <w:rPr>
          <w:sz w:val="20"/>
          <w:szCs w:val="20"/>
          <w:color w:val="auto"/>
        </w:rPr>
      </w:pPr>
      <w:r>
        <w:rPr>
          <w:rFonts w:ascii="Arial" w:cs="Arial" w:eastAsia="Arial" w:hAnsi="Arial"/>
          <w:sz w:val="17"/>
          <w:szCs w:val="17"/>
          <w:color w:val="auto"/>
        </w:rPr>
        <w:t>Our land segment gross profit for the first six months of 2020 was $191.0 million, a decrease of $2.2 million, or 1%, as compared to the first six months of 2019. The decrease in land segment gross profit is primarily attributable to a decline in profitability in our retail, commercial and industrial activities in North America primarily attributable to lower volumes due to the pandemic, as well as a decrease in our government-related activities in Afghanistan. These decreases were partly offset by higher profitability in the U.K. and growth in our World Kinect global energy management brand.</w:t>
      </w:r>
    </w:p>
    <w:p>
      <w:pPr>
        <w:spacing w:after="0" w:line="171"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Our marine segment gross profit for the first six months of 2020 was $96.6 million, an increase of $25.0 million, or 35%, as compared to the first six months of 2019. The gross profit increase was attributable to improved performance in our core resale business, principally driven by higher average fuel prices during the first two months of 2020 resulting from the shift to very low-sulfur fuel oil as mandated by the IMO 2020 regulations that went into effect on January 1, 2020.</w:t>
      </w:r>
    </w:p>
    <w:p>
      <w:pPr>
        <w:spacing w:after="0" w:line="214"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i w:val="1"/>
          <w:iCs w:val="1"/>
          <w:color w:val="auto"/>
        </w:rPr>
        <w:t xml:space="preserve">Operating Expenses. </w:t>
      </w:r>
      <w:r>
        <w:rPr>
          <w:rFonts w:ascii="Arial" w:cs="Arial" w:eastAsia="Arial" w:hAnsi="Arial"/>
          <w:sz w:val="18"/>
          <w:szCs w:val="18"/>
          <w:color w:val="auto"/>
        </w:rPr>
        <w:t>Total operating expenses for the first six months of 2020 was $389.9 million, an increase of $15.8 million, or 4%,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the first six months of 2019. As part of our cost-reduction initiatives, we significantly reduced certain general and administrative expenses during the first six months of 2020, which were effectively offset by a higher provision for bad debt, principally due to the effects of the pandemic on the aviation industry. Furthermore, despite lower compensation costs, including lower incentive compensation, total operating expenses were higher as a result of an impairment charge of $18.6 million during the second quarter of 2020, associated with our decision to rationalize our global office footprint. The following table sets forth our expense categories (in millions):</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120" w:type="dxa"/>
            <w:vAlign w:val="bottom"/>
          </w:tcPr>
          <w:p>
            <w:pPr>
              <w:spacing w:after="0"/>
              <w:rPr>
                <w:sz w:val="16"/>
                <w:szCs w:val="16"/>
                <w:color w:val="auto"/>
              </w:rPr>
            </w:pPr>
          </w:p>
        </w:tc>
        <w:tc>
          <w:tcPr>
            <w:tcW w:w="2300" w:type="dxa"/>
            <w:vAlign w:val="bottom"/>
            <w:gridSpan w:val="3"/>
          </w:tcPr>
          <w:p>
            <w:pPr>
              <w:jc w:val="right"/>
              <w:spacing w:after="0"/>
              <w:rPr>
                <w:sz w:val="20"/>
                <w:szCs w:val="20"/>
                <w:color w:val="auto"/>
              </w:rPr>
            </w:pPr>
            <w:r>
              <w:rPr>
                <w:rFonts w:ascii="Arial" w:cs="Arial" w:eastAsia="Arial" w:hAnsi="Arial"/>
                <w:sz w:val="14"/>
                <w:szCs w:val="14"/>
                <w:b w:val="1"/>
                <w:bCs w:val="1"/>
                <w:color w:val="auto"/>
              </w:rPr>
              <w:t>For the Six Months Ended</w:t>
            </w:r>
          </w:p>
        </w:tc>
        <w:tc>
          <w:tcPr>
            <w:tcW w:w="4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12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2"/>
          </w:tcPr>
          <w:p>
            <w:pPr>
              <w:jc w:val="right"/>
              <w:ind w:right="528"/>
              <w:spacing w:after="0"/>
              <w:rPr>
                <w:sz w:val="20"/>
                <w:szCs w:val="20"/>
                <w:color w:val="auto"/>
              </w:rPr>
            </w:pPr>
            <w:r>
              <w:rPr>
                <w:rFonts w:ascii="Arial" w:cs="Arial" w:eastAsia="Arial" w:hAnsi="Arial"/>
                <w:sz w:val="14"/>
                <w:szCs w:val="14"/>
                <w:b w:val="1"/>
                <w:bCs w:val="1"/>
                <w:color w:val="auto"/>
              </w:rPr>
              <w:t>June 30,</w:t>
            </w:r>
          </w:p>
        </w:tc>
        <w:tc>
          <w:tcPr>
            <w:tcW w:w="48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6"/>
        </w:trPr>
        <w:tc>
          <w:tcPr>
            <w:tcW w:w="71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2019</w:t>
            </w:r>
          </w:p>
        </w:tc>
        <w:tc>
          <w:tcPr>
            <w:tcW w:w="48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Compensation and employee benefits</w:t>
            </w:r>
          </w:p>
        </w:tc>
        <w:tc>
          <w:tcPr>
            <w:tcW w:w="92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85"/>
              </w:rPr>
              <w:t>198.3</w:t>
            </w:r>
          </w:p>
        </w:tc>
        <w:tc>
          <w:tcPr>
            <w:tcW w:w="920" w:type="dxa"/>
            <w:vAlign w:val="bottom"/>
            <w:shd w:val="clear" w:color="auto" w:fill="CCEEFF"/>
          </w:tcPr>
          <w:p>
            <w:pPr>
              <w:jc w:val="right"/>
              <w:ind w:right="62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1"/>
              </w:rPr>
              <w:t>220.3</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(22.0)</w:t>
            </w:r>
          </w:p>
        </w:tc>
      </w:tr>
      <w:tr>
        <w:trPr>
          <w:trHeight w:val="197"/>
        </w:trPr>
        <w:tc>
          <w:tcPr>
            <w:tcW w:w="7120" w:type="dxa"/>
            <w:vAlign w:val="bottom"/>
          </w:tcPr>
          <w:p>
            <w:pPr>
              <w:ind w:left="20"/>
              <w:spacing w:after="0"/>
              <w:rPr>
                <w:sz w:val="20"/>
                <w:szCs w:val="20"/>
                <w:color w:val="auto"/>
              </w:rPr>
            </w:pPr>
            <w:r>
              <w:rPr>
                <w:rFonts w:ascii="Arial" w:cs="Arial" w:eastAsia="Arial" w:hAnsi="Arial"/>
                <w:sz w:val="14"/>
                <w:szCs w:val="14"/>
                <w:color w:val="auto"/>
              </w:rPr>
              <w:t>General and administrative</w:t>
            </w:r>
          </w:p>
        </w:tc>
        <w:tc>
          <w:tcPr>
            <w:tcW w:w="920" w:type="dxa"/>
            <w:vAlign w:val="bottom"/>
          </w:tcPr>
          <w:p>
            <w:pPr>
              <w:spacing w:after="0"/>
              <w:rPr>
                <w:sz w:val="17"/>
                <w:szCs w:val="17"/>
                <w:color w:val="auto"/>
              </w:rPr>
            </w:pPr>
          </w:p>
        </w:tc>
        <w:tc>
          <w:tcPr>
            <w:tcW w:w="460" w:type="dxa"/>
            <w:vAlign w:val="bottom"/>
          </w:tcPr>
          <w:p>
            <w:pPr>
              <w:jc w:val="right"/>
              <w:ind w:right="68"/>
              <w:spacing w:after="0"/>
              <w:rPr>
                <w:sz w:val="20"/>
                <w:szCs w:val="20"/>
                <w:color w:val="auto"/>
              </w:rPr>
            </w:pPr>
            <w:r>
              <w:rPr>
                <w:rFonts w:ascii="Arial" w:cs="Arial" w:eastAsia="Arial" w:hAnsi="Arial"/>
                <w:sz w:val="14"/>
                <w:szCs w:val="14"/>
                <w:color w:val="auto"/>
                <w:w w:val="85"/>
              </w:rPr>
              <w:t>168.2</w:t>
            </w:r>
          </w:p>
        </w:tc>
        <w:tc>
          <w:tcPr>
            <w:tcW w:w="920" w:type="dxa"/>
            <w:vAlign w:val="bottom"/>
          </w:tcPr>
          <w:p>
            <w:pPr>
              <w:jc w:val="right"/>
              <w:ind w:right="628"/>
              <w:spacing w:after="0"/>
              <w:rPr>
                <w:sz w:val="20"/>
                <w:szCs w:val="20"/>
                <w:color w:val="auto"/>
              </w:rPr>
            </w:pPr>
            <w:r>
              <w:rPr>
                <w:rFonts w:ascii="Arial" w:cs="Arial" w:eastAsia="Arial" w:hAnsi="Arial"/>
                <w:sz w:val="14"/>
                <w:szCs w:val="14"/>
                <w:color w:val="auto"/>
              </w:rPr>
              <w:t>$</w:t>
            </w:r>
          </w:p>
        </w:tc>
        <w:tc>
          <w:tcPr>
            <w:tcW w:w="480" w:type="dxa"/>
            <w:vAlign w:val="bottom"/>
          </w:tcPr>
          <w:p>
            <w:pPr>
              <w:jc w:val="right"/>
              <w:ind w:right="68"/>
              <w:spacing w:after="0"/>
              <w:rPr>
                <w:sz w:val="20"/>
                <w:szCs w:val="20"/>
                <w:color w:val="auto"/>
              </w:rPr>
            </w:pPr>
            <w:r>
              <w:rPr>
                <w:rFonts w:ascii="Arial" w:cs="Arial" w:eastAsia="Arial" w:hAnsi="Arial"/>
                <w:sz w:val="14"/>
                <w:szCs w:val="14"/>
                <w:color w:val="auto"/>
                <w:w w:val="91"/>
              </w:rPr>
              <w:t>150.1</w:t>
            </w:r>
          </w:p>
        </w:tc>
        <w:tc>
          <w:tcPr>
            <w:tcW w:w="320" w:type="dxa"/>
            <w:vAlign w:val="bottom"/>
          </w:tcPr>
          <w:p>
            <w:pPr>
              <w:spacing w:after="0"/>
              <w:rPr>
                <w:sz w:val="17"/>
                <w:szCs w:val="17"/>
                <w:color w:val="auto"/>
              </w:rPr>
            </w:pP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18.1</w:t>
            </w:r>
          </w:p>
        </w:tc>
      </w:tr>
      <w:tr>
        <w:trPr>
          <w:trHeight w:val="208"/>
        </w:trPr>
        <w:tc>
          <w:tcPr>
            <w:tcW w:w="7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Asset impairments</w:t>
            </w:r>
          </w:p>
        </w:tc>
        <w:tc>
          <w:tcPr>
            <w:tcW w:w="92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18.6</w:t>
            </w:r>
          </w:p>
        </w:tc>
        <w:tc>
          <w:tcPr>
            <w:tcW w:w="9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18.6</w:t>
            </w:r>
          </w:p>
        </w:tc>
      </w:tr>
      <w:tr>
        <w:trPr>
          <w:trHeight w:val="197"/>
        </w:trPr>
        <w:tc>
          <w:tcPr>
            <w:tcW w:w="71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Restructuring charges</w:t>
            </w:r>
          </w:p>
        </w:tc>
        <w:tc>
          <w:tcPr>
            <w:tcW w:w="92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4.8</w:t>
            </w:r>
          </w:p>
        </w:tc>
        <w:tc>
          <w:tcPr>
            <w:tcW w:w="92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3.7</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w:t>
            </w:r>
          </w:p>
        </w:tc>
      </w:tr>
      <w:tr>
        <w:trPr>
          <w:trHeight w:val="221"/>
        </w:trPr>
        <w:tc>
          <w:tcPr>
            <w:tcW w:w="7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85"/>
              </w:rPr>
              <w:t>389.9</w:t>
            </w:r>
          </w:p>
        </w:tc>
        <w:tc>
          <w:tcPr>
            <w:tcW w:w="920" w:type="dxa"/>
            <w:vAlign w:val="bottom"/>
            <w:tcBorders>
              <w:bottom w:val="single" w:sz="8" w:color="auto"/>
            </w:tcBorders>
            <w:shd w:val="clear" w:color="auto" w:fill="CCEEFF"/>
          </w:tcPr>
          <w:p>
            <w:pPr>
              <w:jc w:val="right"/>
              <w:ind w:right="62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91"/>
              </w:rPr>
              <w:t>374.1</w:t>
            </w: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15.8</w:t>
            </w:r>
          </w:p>
        </w:tc>
      </w:tr>
      <w:tr>
        <w:trPr>
          <w:trHeight w:val="20"/>
        </w:trPr>
        <w:tc>
          <w:tcPr>
            <w:tcW w:w="7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Income from Operations</w:t>
      </w:r>
      <w:r>
        <w:rPr>
          <w:rFonts w:ascii="Arial" w:cs="Arial" w:eastAsia="Arial" w:hAnsi="Arial"/>
          <w:sz w:val="18"/>
          <w:szCs w:val="18"/>
          <w:color w:val="auto"/>
        </w:rPr>
        <w:t>. Income from operations during these periods was attributable to the following segments (in millions):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0" w:type="dxa"/>
            <w:vAlign w:val="bottom"/>
            <w:gridSpan w:val="3"/>
          </w:tcPr>
          <w:p>
            <w:pPr>
              <w:jc w:val="right"/>
              <w:ind w:right="468"/>
              <w:spacing w:after="0"/>
              <w:rPr>
                <w:sz w:val="20"/>
                <w:szCs w:val="20"/>
                <w:color w:val="auto"/>
              </w:rPr>
            </w:pPr>
            <w:r>
              <w:rPr>
                <w:rFonts w:ascii="Arial" w:cs="Arial" w:eastAsia="Arial" w:hAnsi="Arial"/>
                <w:sz w:val="14"/>
                <w:szCs w:val="14"/>
                <w:b w:val="1"/>
                <w:bCs w:val="1"/>
                <w:color w:val="auto"/>
              </w:rPr>
              <w:t>For the Six Months Ended</w:t>
            </w:r>
          </w:p>
        </w:tc>
        <w:tc>
          <w:tcPr>
            <w:tcW w:w="32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208"/>
        </w:trPr>
        <w:tc>
          <w:tcPr>
            <w:tcW w:w="70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2"/>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197"/>
        </w:trPr>
        <w:tc>
          <w:tcPr>
            <w:tcW w:w="708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 Change</w:t>
            </w:r>
          </w:p>
        </w:tc>
      </w:tr>
      <w:tr>
        <w:trPr>
          <w:trHeight w:val="202"/>
        </w:trPr>
        <w:tc>
          <w:tcPr>
            <w:tcW w:w="7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Aviation segment</w:t>
            </w:r>
          </w:p>
        </w:tc>
        <w:tc>
          <w:tcPr>
            <w:tcW w:w="4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38.1</w:t>
            </w:r>
          </w:p>
        </w:tc>
        <w:tc>
          <w:tcPr>
            <w:tcW w:w="44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129.1</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(91.0)</w:t>
            </w:r>
          </w:p>
        </w:tc>
      </w:tr>
      <w:tr>
        <w:trPr>
          <w:trHeight w:val="196"/>
        </w:trPr>
        <w:tc>
          <w:tcPr>
            <w:tcW w:w="7080" w:type="dxa"/>
            <w:vAlign w:val="bottom"/>
          </w:tcPr>
          <w:p>
            <w:pPr>
              <w:ind w:left="20"/>
              <w:spacing w:after="0"/>
              <w:rPr>
                <w:sz w:val="20"/>
                <w:szCs w:val="20"/>
                <w:color w:val="auto"/>
              </w:rPr>
            </w:pPr>
            <w:r>
              <w:rPr>
                <w:rFonts w:ascii="Arial" w:cs="Arial" w:eastAsia="Arial" w:hAnsi="Arial"/>
                <w:sz w:val="14"/>
                <w:szCs w:val="14"/>
                <w:color w:val="auto"/>
              </w:rPr>
              <w:t>Land segment</w:t>
            </w:r>
          </w:p>
        </w:tc>
        <w:tc>
          <w:tcPr>
            <w:tcW w:w="40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35.3</w:t>
            </w:r>
          </w:p>
        </w:tc>
        <w:tc>
          <w:tcPr>
            <w:tcW w:w="44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32.8</w:t>
            </w:r>
          </w:p>
        </w:tc>
        <w:tc>
          <w:tcPr>
            <w:tcW w:w="32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2.5</w:t>
            </w:r>
          </w:p>
        </w:tc>
      </w:tr>
      <w:tr>
        <w:trPr>
          <w:trHeight w:val="203"/>
        </w:trPr>
        <w:tc>
          <w:tcPr>
            <w:tcW w:w="7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Marine Segment</w:t>
            </w:r>
          </w:p>
        </w:tc>
        <w:tc>
          <w:tcPr>
            <w:tcW w:w="4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47.2</w:t>
            </w:r>
          </w:p>
        </w:tc>
        <w:tc>
          <w:tcPr>
            <w:tcW w:w="4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23.6</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23.6</w:t>
            </w:r>
          </w:p>
        </w:tc>
      </w:tr>
      <w:tr>
        <w:trPr>
          <w:trHeight w:val="196"/>
        </w:trPr>
        <w:tc>
          <w:tcPr>
            <w:tcW w:w="70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color w:val="auto"/>
              </w:rPr>
              <w:t>120.6</w:t>
            </w:r>
          </w:p>
        </w:tc>
        <w:tc>
          <w:tcPr>
            <w:tcW w:w="440" w:type="dxa"/>
            <w:vAlign w:val="bottom"/>
          </w:tcPr>
          <w:p>
            <w:pPr>
              <w:spacing w:after="0"/>
              <w:rPr>
                <w:sz w:val="17"/>
                <w:szCs w:val="17"/>
                <w:color w:val="auto"/>
              </w:rPr>
            </w:pPr>
          </w:p>
        </w:tc>
        <w:tc>
          <w:tcPr>
            <w:tcW w:w="940" w:type="dxa"/>
            <w:vAlign w:val="bottom"/>
          </w:tcPr>
          <w:p>
            <w:pPr>
              <w:jc w:val="right"/>
              <w:ind w:right="68"/>
              <w:spacing w:after="0"/>
              <w:rPr>
                <w:sz w:val="20"/>
                <w:szCs w:val="20"/>
                <w:color w:val="auto"/>
              </w:rPr>
            </w:pPr>
            <w:r>
              <w:rPr>
                <w:rFonts w:ascii="Arial" w:cs="Arial" w:eastAsia="Arial" w:hAnsi="Arial"/>
                <w:sz w:val="14"/>
                <w:szCs w:val="14"/>
                <w:color w:val="auto"/>
              </w:rPr>
              <w:t>185.5</w:t>
            </w:r>
          </w:p>
        </w:tc>
        <w:tc>
          <w:tcPr>
            <w:tcW w:w="320" w:type="dxa"/>
            <w:vAlign w:val="bottom"/>
          </w:tcPr>
          <w:p>
            <w:pPr>
              <w:spacing w:after="0"/>
              <w:rPr>
                <w:sz w:val="17"/>
                <w:szCs w:val="17"/>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(64.9)</w:t>
            </w:r>
          </w:p>
        </w:tc>
      </w:tr>
      <w:tr>
        <w:trPr>
          <w:trHeight w:val="203"/>
        </w:trPr>
        <w:tc>
          <w:tcPr>
            <w:tcW w:w="7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Corporate overhead - unallocated</w:t>
            </w:r>
          </w:p>
        </w:tc>
        <w:tc>
          <w:tcPr>
            <w:tcW w:w="40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(37.9)</w:t>
            </w:r>
          </w:p>
        </w:tc>
        <w:tc>
          <w:tcPr>
            <w:tcW w:w="4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(40.0)</w:t>
            </w:r>
          </w:p>
        </w:tc>
        <w:tc>
          <w:tcPr>
            <w:tcW w:w="32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2.0</w:t>
            </w:r>
          </w:p>
        </w:tc>
      </w:tr>
      <w:tr>
        <w:trPr>
          <w:trHeight w:val="196"/>
        </w:trPr>
        <w:tc>
          <w:tcPr>
            <w:tcW w:w="708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82.7</w:t>
            </w:r>
          </w:p>
        </w:tc>
        <w:tc>
          <w:tcPr>
            <w:tcW w:w="44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145.6</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(62.9)</w:t>
            </w:r>
          </w:p>
        </w:tc>
      </w:tr>
      <w:tr>
        <w:trPr>
          <w:trHeight w:val="26"/>
        </w:trPr>
        <w:tc>
          <w:tcPr>
            <w:tcW w:w="70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bl>
    <w:p>
      <w:pPr>
        <w:spacing w:after="0" w:line="310"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Our income from operations for the first six months of 2020 was $82.7 million, a decrease of $62.9 million, or 43%, as compared to the first six months of 2019. The decrease was primarily attributable to our aviation segment.</w:t>
      </w:r>
    </w:p>
    <w:p>
      <w:pPr>
        <w:spacing w:after="0" w:line="197" w:lineRule="exact"/>
        <w:rPr>
          <w:sz w:val="20"/>
          <w:szCs w:val="20"/>
          <w:color w:val="auto"/>
        </w:rPr>
      </w:pPr>
    </w:p>
    <w:p>
      <w:pPr>
        <w:jc w:val="both"/>
        <w:ind w:firstLine="243"/>
        <w:spacing w:after="0" w:line="275" w:lineRule="auto"/>
        <w:rPr>
          <w:sz w:val="20"/>
          <w:szCs w:val="20"/>
          <w:color w:val="auto"/>
        </w:rPr>
      </w:pPr>
      <w:r>
        <w:rPr>
          <w:rFonts w:ascii="Arial" w:cs="Arial" w:eastAsia="Arial" w:hAnsi="Arial"/>
          <w:sz w:val="17"/>
          <w:szCs w:val="17"/>
          <w:color w:val="auto"/>
        </w:rPr>
        <w:t>Our aviation segment income from operations for the first six months of 2020 was $38.1 million, a decrease of $91.0 million, as compared to the first six months of 2019. Aviation operating income for the first six months of 2020 was principally impacted by lower volumes and the correspondingly reduced profit contribution from our commercial aviation operations as a result of the pandemic, as well as a reduction in government-related activity in Afghanistan. Aviation segment operating income was also reduced by increased expenses resulting from a higher provision for bad debt as a consequence of the impact of the pandemic on the aviation industry, as well as the global office footprint rationalization impairment charge.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695325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37" w:name="page38"/>
    <w:bookmarkEnd w:id="37"/>
    <w:p>
      <w:pPr>
        <w:jc w:val="both"/>
        <w:ind w:firstLine="243"/>
        <w:spacing w:after="0" w:line="296" w:lineRule="auto"/>
        <w:rPr>
          <w:sz w:val="20"/>
          <w:szCs w:val="20"/>
          <w:color w:val="auto"/>
        </w:rPr>
      </w:pPr>
      <w:r>
        <w:rPr>
          <w:rFonts w:ascii="Arial" w:cs="Arial" w:eastAsia="Arial" w:hAnsi="Arial"/>
          <w:sz w:val="16"/>
          <w:szCs w:val="16"/>
          <w:color w:val="auto"/>
        </w:rPr>
        <w:t>Our land segment income from operations for the first six months of 2020 was 35.3, an increase of 2.5, as compared to the first six months of 2019. Within our land segment, we experienced higher profitability primarily attributable to improved performance in the U.K. together with growth in our World Kinect global energy management brand, offset by lower volumes as a result of the pandemic, particularly in our retail, commercial and industrial activities in North America, as well as a decrease in our government-related activities in Afghanistan. Land segment operating income also benefited from a reduction in compensation costs and general and administrative expenses, partly offset by the global office footprint rationalization impairment charge.</w:t>
      </w:r>
    </w:p>
    <w:p>
      <w:pPr>
        <w:spacing w:after="0" w:line="188"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Our marine segment income from operations for the first six months of 2020 was $47.2 million, an increase of $23.6 million, as compared to the first six months of 2019. The increase in marine segment operating income was related to higher profitability in our core resale business, principally driven by higher fuel prices during the first two months of 2020 resulting from the shift to very low sulfur fuel oil, as mandated by the IMO 2020 regulations that went into effect on January 1, 2020. The increase in profitability was partially offset by the global office footprint rationalization impairment charge, as well as a higher provision for bad debt, as compared to 2019.</w:t>
      </w:r>
    </w:p>
    <w:p>
      <w:pPr>
        <w:spacing w:after="0" w:line="21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Corporate overhead costs not charged to the business segments for the first six months of 2020 were $37.9 million, a decrease of $2.0 million, or 5%, as compared to the first six months of 2019, primarily attributable to a reduction in compensation costs.</w:t>
      </w:r>
    </w:p>
    <w:p>
      <w:pPr>
        <w:spacing w:after="0" w:line="170"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i w:val="1"/>
          <w:iCs w:val="1"/>
          <w:color w:val="auto"/>
        </w:rPr>
        <w:t xml:space="preserve">Non-Operating Expenses, net. </w:t>
      </w:r>
      <w:r>
        <w:rPr>
          <w:rFonts w:ascii="Arial" w:cs="Arial" w:eastAsia="Arial" w:hAnsi="Arial"/>
          <w:sz w:val="18"/>
          <w:szCs w:val="18"/>
          <w:color w:val="auto"/>
        </w:rPr>
        <w:t>For the first six months of 2020, we had non-operating expenses, net of $28.1 million, a decrease of $8.5 million as</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the first six months of 2019 driven principally by a reduction in interest expenses and fees associated with our receivable purchase programs partly offset by foreign currency transaction loss.</w:t>
      </w:r>
    </w:p>
    <w:p>
      <w:pPr>
        <w:spacing w:after="0" w:line="184"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i w:val="1"/>
          <w:iCs w:val="1"/>
          <w:color w:val="auto"/>
        </w:rPr>
        <w:t>Income Taxes</w:t>
      </w:r>
      <w:r>
        <w:rPr>
          <w:rFonts w:ascii="Arial" w:cs="Arial" w:eastAsia="Arial" w:hAnsi="Arial"/>
          <w:sz w:val="18"/>
          <w:szCs w:val="18"/>
          <w:color w:val="auto"/>
        </w:rPr>
        <w:t>. For the first six months of 2020, our income tax provision was $23.7 million and our effective income tax rate was 43%,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an income tax provision of $34.0 million and an effective income tax rate of 31% for the first six months of 2019. The lower tax provision was a result of our lower income before income taxes, while the higher effective income tax rate was primarily related to differences in certain one-time discrete items and the results of our subsidiaries in tax jurisdictions with different tax rates.</w:t>
      </w:r>
    </w:p>
    <w:p>
      <w:pPr>
        <w:spacing w:after="0" w:line="187"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i w:val="1"/>
          <w:iCs w:val="1"/>
          <w:color w:val="auto"/>
        </w:rPr>
        <w:t>Net Income Attributable to Noncontrolling Interest</w:t>
      </w:r>
      <w:r>
        <w:rPr>
          <w:rFonts w:ascii="Arial" w:cs="Arial" w:eastAsia="Arial" w:hAnsi="Arial"/>
          <w:sz w:val="18"/>
          <w:szCs w:val="18"/>
          <w:color w:val="auto"/>
        </w:rPr>
        <w:t>. For the first six months of 2020, net loss attributable to noncontrolling interest was $0.2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net income of $0.7 million for the first six months of 2019.</w:t>
      </w:r>
    </w:p>
    <w:p>
      <w:pPr>
        <w:spacing w:after="0" w:line="170" w:lineRule="exact"/>
        <w:rPr>
          <w:sz w:val="20"/>
          <w:szCs w:val="20"/>
          <w:color w:val="auto"/>
        </w:rPr>
      </w:pPr>
    </w:p>
    <w:p>
      <w:pPr>
        <w:jc w:val="both"/>
        <w:ind w:firstLine="243"/>
        <w:spacing w:after="0" w:line="263" w:lineRule="auto"/>
        <w:rPr>
          <w:sz w:val="20"/>
          <w:szCs w:val="20"/>
          <w:color w:val="auto"/>
        </w:rPr>
      </w:pPr>
      <w:r>
        <w:rPr>
          <w:rFonts w:ascii="Arial" w:cs="Arial" w:eastAsia="Arial" w:hAnsi="Arial"/>
          <w:sz w:val="18"/>
          <w:szCs w:val="18"/>
          <w:i w:val="1"/>
          <w:iCs w:val="1"/>
          <w:color w:val="auto"/>
        </w:rPr>
        <w:t>Net Income Attributable to World Fuel and Diluted Earnings per Common Share</w:t>
      </w:r>
      <w:r>
        <w:rPr>
          <w:rFonts w:ascii="Arial" w:cs="Arial" w:eastAsia="Arial" w:hAnsi="Arial"/>
          <w:sz w:val="18"/>
          <w:szCs w:val="18"/>
          <w:color w:val="auto"/>
        </w:rPr>
        <w:t>. For the first six months of 2020, we had a net income of $31.2</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and diluted earnings per common share of $0.48 as compared to net income of $74.2 million and diluted earnings per common share of $1.10 for the first six months of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699770</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38" w:name="page39"/>
    <w:bookmarkEnd w:id="38"/>
    <w:p>
      <w:pPr>
        <w:ind w:left="340"/>
        <w:spacing w:after="0"/>
        <w:rPr>
          <w:sz w:val="20"/>
          <w:szCs w:val="20"/>
          <w:color w:val="auto"/>
        </w:rPr>
      </w:pPr>
      <w:r>
        <w:rPr>
          <w:rFonts w:ascii="Arial" w:cs="Arial" w:eastAsia="Arial" w:hAnsi="Arial"/>
          <w:sz w:val="18"/>
          <w:szCs w:val="18"/>
          <w:b w:val="1"/>
          <w:bCs w:val="1"/>
          <w:color w:val="auto"/>
        </w:rPr>
        <w:t>Liquidity and Capital Resources</w:t>
      </w:r>
    </w:p>
    <w:p>
      <w:pPr>
        <w:spacing w:after="0" w:line="256"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Our liquidity, consisting of cash, cash equivalents and availability under the Credit Facility fluctuates based on a number of factors, including the timing of receipts from our customers, payments to our suppliers, changes in fuel prices, as well as our financial performance, which drives availability under our Credit Facility. Our availability under our Credit Facility, for example, is limited by, among other things, our consolidated total leverage ratio, which is defined in the Credit Facility and is based in part on our adjusted consolidated earnings before interest, taxes, depreciation and amortization (“Adjusted EBITDA”) for the four immediately preceding fiscal quarters. Accordingly, significant fluctuations in our Adjusted EBITDA for a particular quarter can impact our availability to the extent it significantly alters our Adjusted EBITDA for the applicable preceding four quarters. See Item 1A. Risk Factors in Part II of this 10-Q Report for additional information.</w:t>
      </w:r>
    </w:p>
    <w:p>
      <w:pPr>
        <w:spacing w:after="0" w:line="154"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Cash and liquidity are significant priorities for us and our primary use of cash and liquidity is to fund working capital and strategic investments. Increases in fuel prices can negatively affect liquidity by increasing the amount of cash required to fund fuel purchases. In addition, while we are usually extended unsecured trade credit from our suppliers for our fuel purchases, higher fuel prices may reduce the amount of fuel which we can purchase on an unsecured basis, and in certain cases, we may be required to prepay fuel purchases, which would negatively impact our liquidity. Fuel price increases may also negatively impact our customers, in that they may not be able to purchase as much fuel from us because of their credit limits with us and the resulting adverse impact on their business could cause them to be unable to make payments owed to us for fuel purchased on credit. They may also choose to reduce the amount of fuel they consume in their operations to reduce costs. In any such event, the volume of orders from our customers may thereafter decrease and we may not be able to replace lost volumes with new or existing customers.</w:t>
      </w:r>
    </w:p>
    <w:p>
      <w:pPr>
        <w:spacing w:after="0" w:line="205"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6"/>
          <w:szCs w:val="16"/>
          <w:color w:val="auto"/>
        </w:rPr>
        <w:t>As described in greater detail above, the COVID-19 pandemic is expected to continue to have an adverse impact on our customers, and therefore our own operating results for the balance of 2020, which could have a negative impact on our liquidity. However, based on the information currently available, we believe that our cash and cash equivalents as of June 30, 2020 and available funds from our Credit Facility, together with cash flows generated by operations, are sufficient to fund our working capital and capital expenditure requirements for at least the next twelve months. We may choose to raise additional funds to further enhance our liquidity profile, which may be used for working capital, capital expenditures or other strategic investments. Our opinions concerning liquidity are based on currently available information and if circumstances change significantly, whether as a result of the COVID-19 pandemic or otherwise, the future availability of trade credit or other sources of financing may be reduced, and our liquidity would be adversely affected. Factors that may affect the availability of trade credit or other forms of financing include our financial performance (as measured by various factors, including cash provided by operating activities), the state of worldwide credit markets, and our levels of outstanding debt. Depending on the severity and direct impact of these factors on us, financing may be limited or unavailable on terms favorable to us.</w:t>
      </w:r>
    </w:p>
    <w:p>
      <w:pPr>
        <w:spacing w:after="0" w:line="194"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Cash Flows</w:t>
      </w:r>
    </w:p>
    <w:p>
      <w:pPr>
        <w:spacing w:after="0" w:line="25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following table reflects the major categories of cash flows for the six months ended June 30, 2020 and 2019 (in millions). For additional details, please see the Consolidated Statements of Cash Flows in this Quarterly Report on Form 10-Q.</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620" w:type="dxa"/>
            <w:vAlign w:val="bottom"/>
          </w:tcPr>
          <w:p>
            <w:pPr>
              <w:spacing w:after="0"/>
              <w:rPr>
                <w:sz w:val="16"/>
                <w:szCs w:val="16"/>
                <w:color w:val="auto"/>
              </w:rPr>
            </w:pPr>
          </w:p>
        </w:tc>
        <w:tc>
          <w:tcPr>
            <w:tcW w:w="3000" w:type="dxa"/>
            <w:vAlign w:val="bottom"/>
            <w:gridSpan w:val="3"/>
          </w:tcPr>
          <w:p>
            <w:pPr>
              <w:jc w:val="center"/>
              <w:ind w:left="508"/>
              <w:spacing w:after="0"/>
              <w:rPr>
                <w:sz w:val="20"/>
                <w:szCs w:val="20"/>
                <w:color w:val="auto"/>
              </w:rPr>
            </w:pPr>
            <w:r>
              <w:rPr>
                <w:rFonts w:ascii="Arial" w:cs="Arial" w:eastAsia="Arial" w:hAnsi="Arial"/>
                <w:sz w:val="14"/>
                <w:szCs w:val="14"/>
                <w:b w:val="1"/>
                <w:bCs w:val="1"/>
                <w:color w:val="auto"/>
                <w:w w:val="93"/>
              </w:rPr>
              <w:t>For the Six Months Ended</w:t>
            </w:r>
          </w:p>
        </w:tc>
        <w:tc>
          <w:tcPr>
            <w:tcW w:w="600" w:type="dxa"/>
            <w:vAlign w:val="bottom"/>
          </w:tcPr>
          <w:p>
            <w:pPr>
              <w:spacing w:after="0"/>
              <w:rPr>
                <w:sz w:val="16"/>
                <w:szCs w:val="16"/>
                <w:color w:val="auto"/>
              </w:rPr>
            </w:pPr>
          </w:p>
        </w:tc>
      </w:tr>
      <w:tr>
        <w:trPr>
          <w:trHeight w:val="209"/>
        </w:trPr>
        <w:tc>
          <w:tcPr>
            <w:tcW w:w="7620" w:type="dxa"/>
            <w:vAlign w:val="bottom"/>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1880" w:type="dxa"/>
            <w:vAlign w:val="bottom"/>
            <w:tcBorders>
              <w:bottom w:val="single" w:sz="8" w:color="auto"/>
            </w:tcBorders>
            <w:gridSpan w:val="2"/>
          </w:tcPr>
          <w:p>
            <w:pPr>
              <w:jc w:val="center"/>
              <w:ind w:right="448"/>
              <w:spacing w:after="0"/>
              <w:rPr>
                <w:sz w:val="20"/>
                <w:szCs w:val="20"/>
                <w:color w:val="auto"/>
              </w:rPr>
            </w:pPr>
            <w:r>
              <w:rPr>
                <w:rFonts w:ascii="Arial" w:cs="Arial" w:eastAsia="Arial" w:hAnsi="Arial"/>
                <w:sz w:val="14"/>
                <w:szCs w:val="14"/>
                <w:b w:val="1"/>
                <w:bCs w:val="1"/>
                <w:color w:val="auto"/>
                <w:w w:val="92"/>
              </w:rPr>
              <w:t>June 30,</w:t>
            </w:r>
          </w:p>
        </w:tc>
        <w:tc>
          <w:tcPr>
            <w:tcW w:w="600" w:type="dxa"/>
            <w:vAlign w:val="bottom"/>
            <w:tcBorders>
              <w:bottom w:val="single" w:sz="8" w:color="auto"/>
            </w:tcBorders>
          </w:tcPr>
          <w:p>
            <w:pPr>
              <w:spacing w:after="0"/>
              <w:rPr>
                <w:sz w:val="18"/>
                <w:szCs w:val="18"/>
                <w:color w:val="auto"/>
              </w:rPr>
            </w:pPr>
          </w:p>
        </w:tc>
      </w:tr>
      <w:tr>
        <w:trPr>
          <w:trHeight w:val="196"/>
        </w:trPr>
        <w:tc>
          <w:tcPr>
            <w:tcW w:w="76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2020</w:t>
            </w:r>
          </w:p>
        </w:tc>
        <w:tc>
          <w:tcPr>
            <w:tcW w:w="64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2019</w:t>
            </w:r>
          </w:p>
        </w:tc>
        <w:tc>
          <w:tcPr>
            <w:tcW w:w="600" w:type="dxa"/>
            <w:vAlign w:val="bottom"/>
            <w:tcBorders>
              <w:bottom w:val="single" w:sz="8" w:color="auto"/>
            </w:tcBorders>
          </w:tcPr>
          <w:p>
            <w:pPr>
              <w:spacing w:after="0"/>
              <w:rPr>
                <w:sz w:val="17"/>
                <w:szCs w:val="17"/>
                <w:color w:val="auto"/>
              </w:rPr>
            </w:pPr>
          </w:p>
        </w:tc>
      </w:tr>
      <w:tr>
        <w:trPr>
          <w:trHeight w:val="202"/>
        </w:trPr>
        <w:tc>
          <w:tcPr>
            <w:tcW w:w="76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cash provided by operating activities</w:t>
            </w:r>
          </w:p>
        </w:tc>
        <w:tc>
          <w:tcPr>
            <w:tcW w:w="1120" w:type="dxa"/>
            <w:vAlign w:val="bottom"/>
            <w:shd w:val="clear" w:color="auto" w:fill="CCEEFF"/>
          </w:tcPr>
          <w:p>
            <w:pPr>
              <w:jc w:val="right"/>
              <w:ind w:right="948"/>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245.1</w:t>
            </w:r>
          </w:p>
        </w:tc>
        <w:tc>
          <w:tcPr>
            <w:tcW w:w="1240" w:type="dxa"/>
            <w:vAlign w:val="bottom"/>
            <w:shd w:val="clear" w:color="auto" w:fill="CCEEFF"/>
          </w:tcPr>
          <w:p>
            <w:pPr>
              <w:jc w:val="right"/>
              <w:ind w:right="98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135.8</w:t>
            </w:r>
          </w:p>
        </w:tc>
      </w:tr>
      <w:tr>
        <w:trPr>
          <w:trHeight w:val="196"/>
        </w:trPr>
        <w:tc>
          <w:tcPr>
            <w:tcW w:w="7620" w:type="dxa"/>
            <w:vAlign w:val="bottom"/>
          </w:tcPr>
          <w:p>
            <w:pPr>
              <w:ind w:left="20"/>
              <w:spacing w:after="0"/>
              <w:rPr>
                <w:sz w:val="20"/>
                <w:szCs w:val="20"/>
                <w:color w:val="auto"/>
              </w:rPr>
            </w:pPr>
            <w:r>
              <w:rPr>
                <w:rFonts w:ascii="Arial" w:cs="Arial" w:eastAsia="Arial" w:hAnsi="Arial"/>
                <w:sz w:val="14"/>
                <w:szCs w:val="14"/>
                <w:color w:val="auto"/>
              </w:rPr>
              <w:t>Net cash used in investing activities</w:t>
            </w:r>
          </w:p>
        </w:tc>
        <w:tc>
          <w:tcPr>
            <w:tcW w:w="1120" w:type="dxa"/>
            <w:vAlign w:val="bottom"/>
          </w:tcPr>
          <w:p>
            <w:pPr>
              <w:spacing w:after="0"/>
              <w:rPr>
                <w:sz w:val="17"/>
                <w:szCs w:val="17"/>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(168.7)</w:t>
            </w:r>
          </w:p>
        </w:tc>
        <w:tc>
          <w:tcPr>
            <w:tcW w:w="1240" w:type="dxa"/>
            <w:vAlign w:val="bottom"/>
          </w:tcPr>
          <w:p>
            <w:pPr>
              <w:spacing w:after="0"/>
              <w:rPr>
                <w:sz w:val="17"/>
                <w:szCs w:val="17"/>
                <w:color w:val="auto"/>
              </w:rPr>
            </w:pPr>
          </w:p>
        </w:tc>
        <w:tc>
          <w:tcPr>
            <w:tcW w:w="600" w:type="dxa"/>
            <w:vAlign w:val="bottom"/>
          </w:tcPr>
          <w:p>
            <w:pPr>
              <w:ind w:left="140"/>
              <w:spacing w:after="0"/>
              <w:rPr>
                <w:sz w:val="20"/>
                <w:szCs w:val="20"/>
                <w:color w:val="auto"/>
              </w:rPr>
            </w:pPr>
            <w:r>
              <w:rPr>
                <w:rFonts w:ascii="Arial" w:cs="Arial" w:eastAsia="Arial" w:hAnsi="Arial"/>
                <w:sz w:val="14"/>
                <w:szCs w:val="14"/>
                <w:color w:val="auto"/>
              </w:rPr>
              <w:t>(33.6)</w:t>
            </w:r>
          </w:p>
        </w:tc>
      </w:tr>
      <w:tr>
        <w:trPr>
          <w:trHeight w:val="228"/>
        </w:trPr>
        <w:tc>
          <w:tcPr>
            <w:tcW w:w="76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Net cash provided by (used in) financing activities</w:t>
            </w:r>
          </w:p>
        </w:tc>
        <w:tc>
          <w:tcPr>
            <w:tcW w:w="1120" w:type="dxa"/>
            <w:vAlign w:val="bottom"/>
            <w:tcBorders>
              <w:bottom w:val="single" w:sz="8" w:color="auto"/>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394.9</w:t>
            </w:r>
          </w:p>
        </w:tc>
        <w:tc>
          <w:tcPr>
            <w:tcW w:w="1240" w:type="dxa"/>
            <w:vAlign w:val="bottom"/>
            <w:tcBorders>
              <w:bottom w:val="single" w:sz="8" w:color="auto"/>
            </w:tcBorders>
            <w:shd w:val="clear" w:color="auto" w:fill="CCEEFF"/>
          </w:tcPr>
          <w:p>
            <w:pPr>
              <w:spacing w:after="0"/>
              <w:rPr>
                <w:sz w:val="19"/>
                <w:szCs w:val="19"/>
                <w:color w:val="auto"/>
              </w:rPr>
            </w:pPr>
          </w:p>
        </w:tc>
        <w:tc>
          <w:tcPr>
            <w:tcW w:w="60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4"/>
                <w:szCs w:val="14"/>
                <w:color w:val="auto"/>
              </w:rPr>
              <w:t>(97.1)</w:t>
            </w:r>
          </w:p>
        </w:tc>
      </w:tr>
      <w:tr>
        <w:trPr>
          <w:trHeight w:val="20"/>
        </w:trPr>
        <w:tc>
          <w:tcPr>
            <w:tcW w:w="76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i w:val="1"/>
          <w:iCs w:val="1"/>
          <w:color w:val="auto"/>
        </w:rPr>
        <w:t xml:space="preserve">Operating Activities. </w:t>
      </w:r>
      <w:r>
        <w:rPr>
          <w:rFonts w:ascii="Arial" w:cs="Arial" w:eastAsia="Arial" w:hAnsi="Arial"/>
          <w:sz w:val="18"/>
          <w:szCs w:val="18"/>
          <w:color w:val="auto"/>
        </w:rPr>
        <w:t>For the first six months of 2020, net cash provided by operating activities was $245.1 million as compared to net cash provided</w:t>
      </w:r>
      <w:r>
        <w:rPr>
          <w:rFonts w:ascii="Arial" w:cs="Arial" w:eastAsia="Arial" w:hAnsi="Arial"/>
          <w:sz w:val="18"/>
          <w:szCs w:val="18"/>
          <w:i w:val="1"/>
          <w:iCs w:val="1"/>
          <w:color w:val="auto"/>
        </w:rPr>
        <w:t xml:space="preserve"> </w:t>
      </w:r>
      <w:r>
        <w:rPr>
          <w:rFonts w:ascii="Arial" w:cs="Arial" w:eastAsia="Arial" w:hAnsi="Arial"/>
          <w:sz w:val="18"/>
          <w:szCs w:val="18"/>
          <w:color w:val="auto"/>
        </w:rPr>
        <w:t>by operating activities of $135.8 million for the first six months of 2019. The $109.3 million change in operating cash flows was principally due to favorable year-over-year changes in working capital of $97.3 million, excluding cash, and net other long term assets and liabilities of $41.9 million, offset by a $44.0 million decrease in net income. The changes in working capital, excluding cash, reflect a $1.6 billion net decrease in accounts receivable, inventories, and short-term derivatives, offset by a $1.5 billion net decrease in accounts payable, customer deposits and accrued expenses and other current liabilities. Changes in non-cash items were principally associated with higher provision for bad debt, offset by changes in share-based payment amortization and deferred taxes.</w:t>
      </w:r>
    </w:p>
    <w:p>
      <w:pPr>
        <w:spacing w:after="0" w:line="222"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i w:val="1"/>
          <w:iCs w:val="1"/>
          <w:color w:val="auto"/>
        </w:rPr>
        <w:t xml:space="preserve">Investing Activities. </w:t>
      </w:r>
      <w:r>
        <w:rPr>
          <w:rFonts w:ascii="Arial" w:cs="Arial" w:eastAsia="Arial" w:hAnsi="Arial"/>
          <w:sz w:val="18"/>
          <w:szCs w:val="18"/>
          <w:color w:val="auto"/>
        </w:rPr>
        <w:t>For the first six months of 2020, net cash used in investing activities was $168.7 million as compared to net cash used in investing</w:t>
      </w:r>
      <w:r>
        <w:rPr>
          <w:rFonts w:ascii="Arial" w:cs="Arial" w:eastAsia="Arial" w:hAnsi="Arial"/>
          <w:sz w:val="18"/>
          <w:szCs w:val="18"/>
          <w:i w:val="1"/>
          <w:iCs w:val="1"/>
          <w:color w:val="auto"/>
        </w:rPr>
        <w:t xml:space="preserve"> </w:t>
      </w:r>
      <w:r>
        <w:rPr>
          <w:rFonts w:ascii="Arial" w:cs="Arial" w:eastAsia="Arial" w:hAnsi="Arial"/>
          <w:sz w:val="18"/>
          <w:szCs w:val="18"/>
          <w:color w:val="auto"/>
        </w:rPr>
        <w:t>activities of $33.6 million for the first six months of 2019. The $135.2 million change in investing activities cash flows was principally due to the acquisition of a business.</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9" w:name="page40"/>
    <w:bookmarkEnd w:id="39"/>
    <w:p>
      <w:pPr>
        <w:jc w:val="both"/>
        <w:ind w:firstLine="324"/>
        <w:spacing w:after="0" w:line="263" w:lineRule="auto"/>
        <w:rPr>
          <w:sz w:val="20"/>
          <w:szCs w:val="20"/>
          <w:color w:val="auto"/>
        </w:rPr>
      </w:pPr>
      <w:r>
        <w:rPr>
          <w:rFonts w:ascii="Arial" w:cs="Arial" w:eastAsia="Arial" w:hAnsi="Arial"/>
          <w:sz w:val="18"/>
          <w:szCs w:val="18"/>
          <w:i w:val="1"/>
          <w:iCs w:val="1"/>
          <w:color w:val="auto"/>
        </w:rPr>
        <w:t xml:space="preserve">Financing Activities. </w:t>
      </w:r>
      <w:r>
        <w:rPr>
          <w:rFonts w:ascii="Arial" w:cs="Arial" w:eastAsia="Arial" w:hAnsi="Arial"/>
          <w:sz w:val="18"/>
          <w:szCs w:val="18"/>
          <w:color w:val="auto"/>
        </w:rPr>
        <w:t>For the first six months of 2020, net cash provided by financing activities was $394.9 million as compared to net cash used in</w:t>
      </w:r>
      <w:r>
        <w:rPr>
          <w:rFonts w:ascii="Arial" w:cs="Arial" w:eastAsia="Arial" w:hAnsi="Arial"/>
          <w:sz w:val="18"/>
          <w:szCs w:val="18"/>
          <w:i w:val="1"/>
          <w:iCs w:val="1"/>
          <w:color w:val="auto"/>
        </w:rPr>
        <w:t xml:space="preserve"> </w:t>
      </w:r>
      <w:r>
        <w:rPr>
          <w:rFonts w:ascii="Arial" w:cs="Arial" w:eastAsia="Arial" w:hAnsi="Arial"/>
          <w:sz w:val="18"/>
          <w:szCs w:val="18"/>
          <w:color w:val="auto"/>
        </w:rPr>
        <w:t>financing activities of $97.1 million for the first six months of 2019. The $492.0 million change was principally due to $487.4 million in net borrowings of debt under our credit facility.</w:t>
      </w:r>
    </w:p>
    <w:p>
      <w:pPr>
        <w:spacing w:after="0" w:line="20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Other Liquidity Measures</w:t>
      </w:r>
    </w:p>
    <w:p>
      <w:pPr>
        <w:spacing w:after="0" w:line="25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 xml:space="preserve">Cash and Cash Equivalents. </w:t>
      </w:r>
      <w:r>
        <w:rPr>
          <w:rFonts w:ascii="Arial" w:cs="Arial" w:eastAsia="Arial" w:hAnsi="Arial"/>
          <w:sz w:val="18"/>
          <w:szCs w:val="18"/>
          <w:color w:val="auto"/>
        </w:rPr>
        <w:t>As of June 30, 2020 and December 31, 2019, we had cash and cash equivalents of $645.7 million and $186.1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respectively.</w:t>
      </w:r>
    </w:p>
    <w:p>
      <w:pPr>
        <w:spacing w:after="0" w:line="170"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i w:val="1"/>
          <w:iCs w:val="1"/>
          <w:color w:val="auto"/>
        </w:rPr>
        <w:t xml:space="preserve">Credit Facility and Term Loans. </w:t>
      </w:r>
      <w:r>
        <w:rPr>
          <w:rFonts w:ascii="Arial" w:cs="Arial" w:eastAsia="Arial" w:hAnsi="Arial"/>
          <w:sz w:val="18"/>
          <w:szCs w:val="18"/>
          <w:color w:val="auto"/>
        </w:rPr>
        <w:t>We had $509.5 million and $515.6 million in Term Loans outstanding as of June 30, 2020 and December 31, 2019,</w:t>
      </w:r>
      <w:r>
        <w:rPr>
          <w:rFonts w:ascii="Arial" w:cs="Arial" w:eastAsia="Arial" w:hAnsi="Arial"/>
          <w:sz w:val="18"/>
          <w:szCs w:val="18"/>
          <w:i w:val="1"/>
          <w:iCs w:val="1"/>
          <w:color w:val="auto"/>
        </w:rPr>
        <w:t xml:space="preserve"> </w:t>
      </w:r>
      <w:r>
        <w:rPr>
          <w:rFonts w:ascii="Arial" w:cs="Arial" w:eastAsia="Arial" w:hAnsi="Arial"/>
          <w:sz w:val="18"/>
          <w:szCs w:val="18"/>
          <w:color w:val="auto"/>
        </w:rPr>
        <w:t>respectively. Our Credit Agreement, as amended through June 30, 2020, consists of a revolving loan under which up to $1.3 billion aggregate principal amount could be borrowed, repaid and redrawn, based upon specific financial ratios and subject to the satisfaction of other customary conditions to borrowing. Our Credit Facility includes a sublimit of $400.0 million for the issuance of letters of credit and bankers' acceptances. Under the Credit Facility, we have the right to request increases in available borrowings up to an additional $400.0 million, subject to the satisfaction of certain conditions and we have the right to request increases in available borrowings up to an additional $200.0 million, subject to the satisfaction of certain conditions. The credit facility matures July 2024.</w:t>
      </w:r>
    </w:p>
    <w:p>
      <w:pPr>
        <w:spacing w:after="0" w:line="19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As of June 30, 2020 and December 31, 2019, we had outstanding borrowings under our Credit Facility totaling $530.0 million and $55.0 million, respectively. Our issued letters of credit under the Credit Facility totaled $6.7 million and $4.3 million as of June 30, 2020 and December 31, 2019, respectively. As of June 30, 2020 and December 31, 2019, the unused portion of our Credit Facility was $738.3 million and $1.2 billion. The unused portion of our Credit Facility is limited by, among other things, our financial leverage ratio, which limits the total amount of indebtedness we may incur, and may, therefore, fluctuate from period to period.</w:t>
      </w:r>
    </w:p>
    <w:p>
      <w:pPr>
        <w:spacing w:after="0" w:line="188" w:lineRule="exact"/>
        <w:rPr>
          <w:sz w:val="20"/>
          <w:szCs w:val="20"/>
          <w:color w:val="auto"/>
        </w:rPr>
      </w:pPr>
    </w:p>
    <w:p>
      <w:pPr>
        <w:jc w:val="both"/>
        <w:ind w:firstLine="419"/>
        <w:spacing w:after="0" w:line="255" w:lineRule="auto"/>
        <w:rPr>
          <w:sz w:val="20"/>
          <w:szCs w:val="20"/>
          <w:color w:val="auto"/>
        </w:rPr>
      </w:pPr>
      <w:r>
        <w:rPr>
          <w:rFonts w:ascii="Arial" w:cs="Arial" w:eastAsia="Arial" w:hAnsi="Arial"/>
          <w:sz w:val="18"/>
          <w:szCs w:val="18"/>
          <w:color w:val="auto"/>
        </w:rPr>
        <w:t>Our Credit Facility and Term Loans contain certain financial and other covenants with which we are required to comply. Our failure to comply with the covenants contained in our Credit Facility and our Term Loans could result in an event of default. An event of default, if not cured or waived, would permit acceleration of any outstanding indebtedness under the Credit Facility and our Term Loans, trigger cross-defaults under certain other agreements to which we are a party and impair our ability to obtain working capital advances and issue letters of credit, which would have a material, adverse effect on our business, financial condition, results of operations and cash flows. As of June 30, 2020, we were in compliance with all financial covenants contained in our Credit Facility and our Term Loans.</w:t>
      </w:r>
    </w:p>
    <w:p>
      <w:pPr>
        <w:spacing w:after="0" w:line="219"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i w:val="1"/>
          <w:iCs w:val="1"/>
          <w:color w:val="auto"/>
        </w:rPr>
        <w:t>Other Agreements</w:t>
      </w:r>
      <w:r>
        <w:rPr>
          <w:rFonts w:ascii="Arial" w:cs="Arial" w:eastAsia="Arial" w:hAnsi="Arial"/>
          <w:sz w:val="16"/>
          <w:szCs w:val="16"/>
          <w:color w:val="auto"/>
        </w:rPr>
        <w:t>. Additionally, we have other uncommitted credit lines primarily for the issuance of letters of credit, bank guarantees and bankers’</w:t>
      </w:r>
      <w:r>
        <w:rPr>
          <w:rFonts w:ascii="Arial" w:cs="Arial" w:eastAsia="Arial" w:hAnsi="Arial"/>
          <w:sz w:val="16"/>
          <w:szCs w:val="16"/>
          <w:i w:val="1"/>
          <w:iCs w:val="1"/>
          <w:color w:val="auto"/>
        </w:rPr>
        <w:t xml:space="preserve"> </w:t>
      </w:r>
      <w:r>
        <w:rPr>
          <w:rFonts w:ascii="Arial" w:cs="Arial" w:eastAsia="Arial" w:hAnsi="Arial"/>
          <w:sz w:val="16"/>
          <w:szCs w:val="16"/>
          <w:color w:val="auto"/>
        </w:rPr>
        <w:t>acceptances. These credit lines are renewable on an annual basis and are subject to fees at market rates. As of June 30, 2020 and December 31, 2019, our outstanding letters of credit and bank guarantees under these credit lines totaled $334.8 million and $375.2 million, respectively.</w:t>
      </w:r>
    </w:p>
    <w:p>
      <w:pPr>
        <w:spacing w:after="0" w:line="176"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We also have accounts receivable financing programs under receivables purchase agreements (“RPAs”) with Wells Fargo Bank, N.A. and Citibank, N.A. that allow for the sale of our accounts receivable in an amount up to 100% of our outstanding qualifying accounts receivable balances and receive cash consideration equal to the total balance, less a discount margin equal to LIBOR plus 1% to 3%. The RPA agreements provide the banks with the ability to add or remove customers from these programs based on, among other things, the level of risk exposure the bank is willing to accept with respect to any customer. The fees the banks charge us to purchase the receivables from these customers can also be impacted for these reasons. Under the RPAs, accounts receivable sold, which remained outstanding at June 30, 2020 and December 31, 2019 were $92.6 million and $405.9 million, respectively. The reduction in accounts receivable sold for the second quarter of 2020 was driven primarily by lower fuel prices and the decline in activity in our commercial aviation and marine businesses as a result of the impact of the pandemic on airlines and cruise lines.</w:t>
      </w:r>
    </w:p>
    <w:p>
      <w:pPr>
        <w:spacing w:after="0" w:line="20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Short-Term Debt</w:t>
      </w:r>
      <w:r>
        <w:rPr>
          <w:rFonts w:ascii="Arial" w:cs="Arial" w:eastAsia="Arial" w:hAnsi="Arial"/>
          <w:sz w:val="18"/>
          <w:szCs w:val="18"/>
          <w:color w:val="auto"/>
        </w:rPr>
        <w:t>. As of June 30, 2020, our short-term debt of $53.8 million primarily represents the current maturities (within the next twelve months)</w:t>
      </w:r>
      <w:r>
        <w:rPr>
          <w:rFonts w:ascii="Arial" w:cs="Arial" w:eastAsia="Arial" w:hAnsi="Arial"/>
          <w:sz w:val="18"/>
          <w:szCs w:val="18"/>
          <w:i w:val="1"/>
          <w:iCs w:val="1"/>
          <w:color w:val="auto"/>
        </w:rPr>
        <w:t xml:space="preserve"> </w:t>
      </w:r>
      <w:r>
        <w:rPr>
          <w:rFonts w:ascii="Arial" w:cs="Arial" w:eastAsia="Arial" w:hAnsi="Arial"/>
          <w:sz w:val="18"/>
          <w:szCs w:val="18"/>
          <w:color w:val="auto"/>
        </w:rPr>
        <w:t>of Term Loan borrowings, finance lease obligations and a secured borrowing associated with the transfer of tax receivables.</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40" w:name="page41"/>
    <w:bookmarkEnd w:id="40"/>
    <w:p>
      <w:pPr>
        <w:ind w:left="340"/>
        <w:spacing w:after="0"/>
        <w:rPr>
          <w:sz w:val="20"/>
          <w:szCs w:val="20"/>
          <w:color w:val="auto"/>
        </w:rPr>
      </w:pPr>
      <w:r>
        <w:rPr>
          <w:rFonts w:ascii="Arial" w:cs="Arial" w:eastAsia="Arial" w:hAnsi="Arial"/>
          <w:sz w:val="18"/>
          <w:szCs w:val="18"/>
          <w:b w:val="1"/>
          <w:bCs w:val="1"/>
          <w:color w:val="auto"/>
        </w:rPr>
        <w:t>Contractual Obligations and Off-Balance Sheet Arrangements</w:t>
      </w:r>
    </w:p>
    <w:p>
      <w:pPr>
        <w:spacing w:after="0" w:line="256"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Except for changes in the contractual obligations and off-balance sheet arrangements described below, there were no other material changes from December 31, 2019 to June 30, 2020. For a discussion of these matters, refer to Item 7. Contractual Obligations and Off-Balance Sheet Arrangements of our 2019 Form 10-K Report.</w:t>
      </w:r>
    </w:p>
    <w:p>
      <w:pPr>
        <w:spacing w:after="0" w:line="20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Contractual Obligations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Derivative Obligations. </w:t>
      </w:r>
      <w:r>
        <w:rPr>
          <w:rFonts w:ascii="Arial" w:cs="Arial" w:eastAsia="Arial" w:hAnsi="Arial"/>
          <w:sz w:val="18"/>
          <w:szCs w:val="18"/>
          <w:color w:val="auto"/>
        </w:rPr>
        <w:t>As of June 30, 2020, our net derivative obligations were $111.4 million, principally due within one year.</w:t>
      </w:r>
    </w:p>
    <w:p>
      <w:pPr>
        <w:spacing w:after="0" w:line="252"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i w:val="1"/>
          <w:iCs w:val="1"/>
          <w:color w:val="auto"/>
        </w:rPr>
        <w:t xml:space="preserve">Purchase Commitment Obligations. </w:t>
      </w:r>
      <w:r>
        <w:rPr>
          <w:rFonts w:ascii="Arial" w:cs="Arial" w:eastAsia="Arial" w:hAnsi="Arial"/>
          <w:sz w:val="18"/>
          <w:szCs w:val="18"/>
          <w:color w:val="auto"/>
        </w:rPr>
        <w:t>As of June 30, 2020, fixed purchase commitments under our derivative programs amounted to $83.7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principally due within one year.</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Off-Balance Sheet Arrangements</w:t>
      </w:r>
    </w:p>
    <w:p>
      <w:pPr>
        <w:spacing w:after="0" w:line="256"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i w:val="1"/>
          <w:iCs w:val="1"/>
          <w:color w:val="auto"/>
        </w:rPr>
        <w:t xml:space="preserve">Letters of Credit and Bank Guarantees. </w:t>
      </w:r>
      <w:r>
        <w:rPr>
          <w:rFonts w:ascii="Arial" w:cs="Arial" w:eastAsia="Arial" w:hAnsi="Arial"/>
          <w:sz w:val="17"/>
          <w:szCs w:val="17"/>
          <w:color w:val="auto"/>
        </w:rPr>
        <w:t>In the normal course of business, we are required to provide letters of credit to certain suppliers. A majority of</w:t>
      </w:r>
      <w:r>
        <w:rPr>
          <w:rFonts w:ascii="Arial" w:cs="Arial" w:eastAsia="Arial" w:hAnsi="Arial"/>
          <w:sz w:val="17"/>
          <w:szCs w:val="17"/>
          <w:i w:val="1"/>
          <w:iCs w:val="1"/>
          <w:color w:val="auto"/>
        </w:rPr>
        <w:t xml:space="preserve"> </w:t>
      </w:r>
      <w:r>
        <w:rPr>
          <w:rFonts w:ascii="Arial" w:cs="Arial" w:eastAsia="Arial" w:hAnsi="Arial"/>
          <w:sz w:val="17"/>
          <w:szCs w:val="17"/>
          <w:color w:val="auto"/>
        </w:rPr>
        <w:t>these letters of credit expire within one year from their issuance, and expired letters of credit are renewed as needed. As of June 30, 2020, we had issued letters of credit and bank guarantees totaling $341.5 million under our Credit Facility and other uncommitted credit lines. For additional information on our Credit Facility and other credit lines, see the discussion in Liquidity and Capital Resources above.</w:t>
      </w:r>
    </w:p>
    <w:p>
      <w:pPr>
        <w:spacing w:after="0" w:line="16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Information regarding new accounting pronouncements is included in Note 1. Basis of Presentation and Significant Accounting Policies accompanying the Consolidated Financial Statements in this 10-Q Report.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Derivative Instruments</w:t>
      </w:r>
    </w:p>
    <w:p>
      <w:pPr>
        <w:spacing w:after="0" w:line="229"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In March 2020, we entered into a $300 million, one-month LIBOR, floating-for-fixed interest rate non-amortizing swap with a maturity date in March 2025. The swap agreement effectively locks in the variable interest cash flows we will pay for a portion of our Eurodollar rate loans at 0.55%. The fair value of the interest rate swap contract as of June 30, 2020, was a liability of $4.9 million.</w:t>
      </w:r>
    </w:p>
    <w:p>
      <w:pPr>
        <w:spacing w:after="0" w:line="211"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There have been no material changes to our exposures to commodity price or foreign currency risk since December 31, 2019. Please refer to our 2019 10-K Report for a complete discussion of our exposure to these risks.</w:t>
      </w:r>
    </w:p>
    <w:p>
      <w:pPr>
        <w:spacing w:after="0" w:line="197"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For information about our derivative instruments at their respective fair value positions as of June 30, 2020, see Note 4. Derivative Instruments accompanying the Consolidated Financial Statements within this 10-Q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Management’s Evaluation of Disclosure Controls and Procedures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We maintain disclosure controls and procedures that are designed to ensure that information required to be disclosed in the reports that we file or submit under the Exchange Act is recorded, processed, summarized and reported within the time periods specified in the SEC’s rules and forms, and that such information is accumulated and communicated to our management, including our Chief Executive Officer (“CEO”) and our Chief Financial Officer (“CFO”), as appropriate, to allow timely decisions regarding required financial disclosure.</w:t>
      </w:r>
    </w:p>
    <w:p>
      <w:pPr>
        <w:spacing w:after="0" w:line="214"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6"/>
          <w:szCs w:val="16"/>
          <w:color w:val="auto"/>
        </w:rPr>
        <w:t>As of the end of the period covered by this 10-Q Report, we evaluated, under the supervision and with the participation of our CEO and CFO, the effectiveness of the design and operation of our disclosure controls and procedures pursuant to Exchange Act Rule 13a-15(e). Based upon this evaluation, the CEO and CFO concluded that our disclosure controls and procedures were effective at a reasonable assurance level as of June 30, 2020.</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1" w:name="page42"/>
    <w:bookmarkEnd w:id="41"/>
    <w:p>
      <w:pPr>
        <w:ind w:left="340"/>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There were no changes in our internal control over financial reporting that materially affected, or are reasonably likely to materially affect, our internal control over financial reporting during the three months ended June 30, 2020.</w:t>
      </w:r>
    </w:p>
    <w:p>
      <w:pPr>
        <w:spacing w:after="0" w:line="170"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It should be noted that any system of controls, however well designed and operated, can provide only reasonable, and not absolute, assurance that the objectives of the system will be met. In addition, the design of any control system is based in part upon certain assumptions about the likelihood of future events. Because of these and other inherent limitations of control systems, there is only the reasonable assurance that our controls will succeed in achieving their goals under all potential future conditions.</w:t>
      </w: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Other Information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jc w:val="both"/>
        <w:ind w:firstLine="392"/>
        <w:spacing w:after="0" w:line="275" w:lineRule="auto"/>
        <w:rPr>
          <w:sz w:val="20"/>
          <w:szCs w:val="20"/>
          <w:color w:val="auto"/>
        </w:rPr>
      </w:pPr>
      <w:r>
        <w:rPr>
          <w:rFonts w:ascii="Arial" w:cs="Arial" w:eastAsia="Arial" w:hAnsi="Arial"/>
          <w:sz w:val="17"/>
          <w:szCs w:val="17"/>
          <w:color w:val="auto"/>
        </w:rPr>
        <w:t>From time to time, we are under review by the IRS and various other domestic and foreign tax authorities with regards to income tax and indirect tax matters and are involved in various inquiries, audits, challenges and litigation in a number of countries, including, in particular, Brazil, Denmark, South Korea and the U.S. where the amounts under controversy may be material. See Note 8. Income Taxes and Note 12. Commitments and Contingencies within this 10-Q Report as well as refer to Note 9. Commitments and Contingencies and Note 11. Income Taxes within Part IV. Item 15. Notes to the Consolidated Financial Statements included in our 2019 10-K Report for additional details regarding certain tax matters.</w:t>
      </w:r>
    </w:p>
    <w:p>
      <w:pPr>
        <w:spacing w:after="0" w:line="176" w:lineRule="exact"/>
        <w:rPr>
          <w:sz w:val="20"/>
          <w:szCs w:val="20"/>
          <w:color w:val="auto"/>
        </w:rPr>
      </w:pPr>
    </w:p>
    <w:p>
      <w:pPr>
        <w:jc w:val="both"/>
        <w:ind w:firstLine="545"/>
        <w:spacing w:after="0" w:line="255" w:lineRule="auto"/>
        <w:rPr>
          <w:sz w:val="20"/>
          <w:szCs w:val="20"/>
          <w:color w:val="auto"/>
        </w:rPr>
      </w:pPr>
      <w:r>
        <w:rPr>
          <w:rFonts w:ascii="Arial" w:cs="Arial" w:eastAsia="Arial" w:hAnsi="Arial"/>
          <w:sz w:val="18"/>
          <w:szCs w:val="18"/>
          <w:color w:val="auto"/>
        </w:rPr>
        <w:t>We are also a party to various claims, complaints and proceedings arising in the ordinary course of our business including, but not limited to, environmental claims, commercial and governmental contract claims, such as property damage, demurrage, personal injury, billing and fuel quality claims, as well as bankruptcy preference claims and administrative claims. We are not currently a party to any such claim, complaint or proceeding that we expect to have a material adverse effect on our business or financial condition. However, any adverse resolution of one or more such claims, complaints or proceedings during a particular reporting period could have a material adverse effect on our Consolidated Financial Statements or disclosures for that period.</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We are supplementing the risk factors described under Part I, Item 1A, Risk Factors of our 2019 10-K Report (the “2019 10-K Risk Factors”) with the additional information and risk factor set forth below, which supplements, and to the extent inconsistent, supersedes the 2019 10-K Risk Factors. The following should be read in conjunction with the 2019 10-K Risk Factors and the information contained in this 10-Q Report, as well as our other reports filed with the SEC. The developments relating to the COVID-19 pandemic described below have heightened, and in certain cases, may exacerbate the risks disclosed in the 2019 10-K Risk Factors, and such risk factors are further qualified by the information relating to the pandemic that is described in this 10-Q Report. Except as updated herein, there have been no material changes with respect to the 2019 10-K Risk Factors and they are incorporated by reference herein.</w:t>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Adverse conditions or events affecting the aviation, marine and land transportation industries may have a material adverse effect on our business.</w:t>
      </w:r>
    </w:p>
    <w:p>
      <w:pPr>
        <w:spacing w:after="0" w:line="279" w:lineRule="exact"/>
        <w:rPr>
          <w:sz w:val="20"/>
          <w:szCs w:val="20"/>
          <w:color w:val="auto"/>
        </w:rPr>
      </w:pPr>
    </w:p>
    <w:p>
      <w:pPr>
        <w:jc w:val="both"/>
        <w:ind w:firstLine="324"/>
        <w:spacing w:after="0" w:line="268" w:lineRule="auto"/>
        <w:rPr>
          <w:sz w:val="20"/>
          <w:szCs w:val="20"/>
          <w:color w:val="auto"/>
        </w:rPr>
      </w:pPr>
      <w:r>
        <w:rPr>
          <w:rFonts w:ascii="Arial" w:cs="Arial" w:eastAsia="Arial" w:hAnsi="Arial"/>
          <w:sz w:val="17"/>
          <w:szCs w:val="17"/>
          <w:color w:val="auto"/>
        </w:rPr>
        <w:t>Our business is focused on the marketing of fuel and other related products and services primarily to the aviation, marine and land transportation industries, which are generally affected by economic cycles. Therefore, weak economic conditions can have a negative impact on the business of our customers which may, in turn, have an adverse effect on our business. For example, the current coronavirus (COVID-19) pandemic has had a significant impact on the global economy generally, as well as the aviation, land and marine transportation industries, where companies operating in these sectors have been experiencing sharp declines in demand arising from the various measures enacted by governments around the world to contain the spread of the virus. Commercial passenger airlines and cruise lines have been particularly impacted by the travel restrictions and stay-at-home orders, and various other customers in each of our segments have also been adversely affected by such restrictions, as well as the extended shutdown of various businesses in affected regions. As a result, we have experienced a decline in sales volume and profitability across our aviation, land and marine segments. Furthermore, if the pandemic continues for an extended period of time, the financial condition of our customers may further deteriorate such that there is a greater risk of customer bankruptcies and credit losses, either of which could lead to significant increases in our bad debt expense. For example, during the second quarter of 2020, our provision for bad debt was materially higher, principally in the aviation segment due to the effects of the pandemic on the aviation industry in connection to the global restrictions on air travel. The ultimate magnitude and duration of these adverse impacts on our business will depend on the timing and extent to which the global economy, and our customers in the aviation, land and marine transportation industries in particular, recover from the current crisis.</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2" w:name="page43"/>
    <w:bookmarkEnd w:id="42"/>
    <w:p>
      <w:pPr>
        <w:jc w:val="both"/>
        <w:ind w:firstLine="324"/>
        <w:spacing w:after="0" w:line="255" w:lineRule="auto"/>
        <w:rPr>
          <w:sz w:val="20"/>
          <w:szCs w:val="20"/>
          <w:color w:val="auto"/>
        </w:rPr>
      </w:pPr>
      <w:r>
        <w:rPr>
          <w:rFonts w:ascii="Arial" w:cs="Arial" w:eastAsia="Arial" w:hAnsi="Arial"/>
          <w:sz w:val="18"/>
          <w:szCs w:val="18"/>
          <w:color w:val="auto"/>
        </w:rPr>
        <w:t>Additionally, our business and that of our customers can be adversely impacted by political instability, terrorist activity, piracy, military action, transportation, terminal or pipeline capacity constraints, natural disasters and other weather-related events that disrupt shipping, flight operations, land transportation or the availability of fuel, which may negatively impact sales of our products and services. Any additional political or governmental developments or other global health concerns or crises in the countries in which we or our customers operate, could also result in further social, economic or labor instability. Accordingly, the effects of any of the foregoing risks and uncertainties on us or our customers could have a material adverse effect on our business, results of operations and financial condition.</w:t>
      </w:r>
    </w:p>
    <w:p>
      <w:pPr>
        <w:spacing w:after="0" w:line="219"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Lastly, our business could also be adversely affected by merger activity in the aviation, marine or land transportation industries, which may reduce the number of customers that purchase our products and services, as well as the prices we are able to charge for such products and services. For example, the shipping and aviation industries have gone through a period of significant consolidation, which has created a concentration of volume among a limited number of larger shipping companies and commercial airlines. Larger shipping companies and airlines often have greater leverage, are more sophisticated purchasers of fuel and have a greater ability to buy directly from major oil companies and suppliers. Accordingly, this can negatively impact our value proposition to these types of customers and increases the risk of disintermediation.</w:t>
      </w:r>
    </w:p>
    <w:p>
      <w:pPr>
        <w:spacing w:after="0" w:line="201" w:lineRule="exact"/>
        <w:rPr>
          <w:sz w:val="20"/>
          <w:szCs w:val="20"/>
          <w:color w:val="auto"/>
        </w:rPr>
      </w:pPr>
    </w:p>
    <w:p>
      <w:pPr>
        <w:jc w:val="both"/>
        <w:spacing w:after="0" w:line="347" w:lineRule="auto"/>
        <w:rPr>
          <w:sz w:val="20"/>
          <w:szCs w:val="20"/>
          <w:color w:val="auto"/>
        </w:rPr>
      </w:pPr>
      <w:r>
        <w:rPr>
          <w:rFonts w:ascii="Arial" w:cs="Arial" w:eastAsia="Arial" w:hAnsi="Arial"/>
          <w:sz w:val="16"/>
          <w:szCs w:val="16"/>
          <w:b w:val="1"/>
          <w:bCs w:val="1"/>
          <w:color w:val="auto"/>
        </w:rPr>
        <w:t>The COVID-19 pandemic and related global economic slowdown have recently had an adverse impact on our business and, depending on the duration of the pandemic, could have a material adverse effect on our business, results of operations, financial condition, liquidity and cash flows.</w:t>
      </w:r>
    </w:p>
    <w:p>
      <w:pPr>
        <w:spacing w:after="0" w:line="147"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The outbreak of the novel coronavirus (COVID-19), which was declared a pandemic by the World Health Organization in March 2020, has created significant volatility, uncertainty and disruption in the global economy. The rapid spread of COVID-19 has caused governments around the world to implement stringent measures to help control the spread of the virus, including quarantines, “stay-at-home” or “shelter-in-place” orders, social-distancing mandates, travel restrictions, and closures or reduced operations for businesses, governmental agencies, schools and other institutions, among others. While, governments and central banks in several parts of the world have enacted fiscal and monetary stimulus policies to counteract the adverse effects of the pandemic, the effectiveness of such actions are still uncertain. Furthermore, the restrictions on travel, “stay-at-home” or “shelter-in-place” orders and business closures led to a precipitous decline in fuel prices during the first half of 2020 in response to concerns about demand for fuel, further exacerbated by disagreements regarding crude oil production levels between the OPEC members and other oil producing countries such as Russia, as well as related global storage considerations.</w:t>
      </w:r>
    </w:p>
    <w:p>
      <w:pPr>
        <w:spacing w:after="0" w:line="208" w:lineRule="exact"/>
        <w:rPr>
          <w:sz w:val="20"/>
          <w:szCs w:val="20"/>
          <w:color w:val="auto"/>
        </w:rPr>
      </w:pPr>
    </w:p>
    <w:p>
      <w:pPr>
        <w:jc w:val="both"/>
        <w:ind w:firstLine="324"/>
        <w:spacing w:after="0" w:line="291" w:lineRule="auto"/>
        <w:rPr>
          <w:sz w:val="20"/>
          <w:szCs w:val="20"/>
          <w:color w:val="auto"/>
        </w:rPr>
      </w:pPr>
      <w:r>
        <w:rPr>
          <w:rFonts w:ascii="Arial" w:cs="Arial" w:eastAsia="Arial" w:hAnsi="Arial"/>
          <w:sz w:val="16"/>
          <w:szCs w:val="16"/>
          <w:color w:val="auto"/>
        </w:rPr>
        <w:t>In response to the pandemic and measures taken by applicable governmental authorities, we took prompt action to ensure the safety of our employees and other stakeholders, as well as commenced a number of initiatives relating to cost reduction, liquidity and operating efficiencies. While the pandemic and associated impacts on economic activity had a limited adverse effect on our results of operations and financial condition during the first quarter of 2020, we began to see a sharp decline in demand and related sales volume during the second quarter of 2020, as large sectors of the global economy were adversely impacted by the crisis. As the number of coronavirus cases have significantly increased recently in various parts of the world, the duration of the pandemic and the ultimate impact on the global economy continues to be uncertain. Accordingly, the extent of the impact of the pandemic on our results of operations for the balance of the year will be dependent on the duration of the pandemic and the extent of the eventual recovery.</w:t>
      </w:r>
    </w:p>
    <w:p>
      <w:pPr>
        <w:spacing w:after="0" w:line="193"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Although we are unable to predict the ultimate impact of the COVID-19 pandemic at this time or enumerate all potential risks to our business, given the nature and significance of the crisis, we believe that in addition to the impacts described above, other current or potential impacts of this unprecedented event include, but are not limited to:</w:t>
      </w:r>
    </w:p>
    <w:p>
      <w:pPr>
        <w:spacing w:after="0" w:line="211"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disruptions in our supply chains due to transportation delays, travel restrictions, cost increases, and closures of businesses or facilities;</w:t>
      </w:r>
    </w:p>
    <w:p>
      <w:pPr>
        <w:spacing w:after="0" w:line="128" w:lineRule="exact"/>
        <w:rPr>
          <w:rFonts w:ascii="Arial" w:cs="Arial" w:eastAsia="Arial" w:hAnsi="Arial"/>
          <w:sz w:val="17"/>
          <w:szCs w:val="17"/>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extended periods of reduced demand and low fuel prices that impact our sales volume and related profitability;</w:t>
      </w:r>
    </w:p>
    <w:p>
      <w:pPr>
        <w:spacing w:after="0" w:line="117" w:lineRule="exact"/>
        <w:rPr>
          <w:rFonts w:ascii="Arial" w:cs="Arial" w:eastAsia="Arial" w:hAnsi="Arial"/>
          <w:sz w:val="18"/>
          <w:szCs w:val="18"/>
          <w:color w:val="auto"/>
        </w:rPr>
      </w:pPr>
    </w:p>
    <w:p>
      <w:pPr>
        <w:jc w:val="both"/>
        <w:ind w:left="660" w:hanging="328"/>
        <w:spacing w:after="0" w:line="263" w:lineRule="auto"/>
        <w:tabs>
          <w:tab w:leader="none" w:pos="655" w:val="left"/>
        </w:tabs>
        <w:numPr>
          <w:ilvl w:val="0"/>
          <w:numId w:val="10"/>
        </w:numPr>
        <w:rPr>
          <w:rFonts w:ascii="Arial" w:cs="Arial" w:eastAsia="Arial" w:hAnsi="Arial"/>
          <w:sz w:val="18"/>
          <w:szCs w:val="18"/>
          <w:color w:val="auto"/>
        </w:rPr>
      </w:pPr>
      <w:r>
        <w:rPr>
          <w:rFonts w:ascii="Arial" w:cs="Arial" w:eastAsia="Arial" w:hAnsi="Arial"/>
          <w:sz w:val="18"/>
          <w:szCs w:val="18"/>
          <w:color w:val="auto"/>
        </w:rPr>
        <w:t>impacts related to delayed customer payments and payment defaults associated with customer liquidity issues and bankruptcies, as well as other liquidity challenges, such as reduced availability under our senior credit facility due to financial covenant restrictions tied to our financial performance;</w:t>
      </w:r>
    </w:p>
    <w:p>
      <w:pPr>
        <w:spacing w:after="0" w:line="75"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10"/>
        </w:numPr>
        <w:rPr>
          <w:rFonts w:ascii="Arial" w:cs="Arial" w:eastAsia="Arial" w:hAnsi="Arial"/>
          <w:sz w:val="18"/>
          <w:szCs w:val="18"/>
          <w:color w:val="auto"/>
        </w:rPr>
      </w:pPr>
      <w:r>
        <w:rPr>
          <w:rFonts w:ascii="Arial" w:cs="Arial" w:eastAsia="Arial" w:hAnsi="Arial"/>
          <w:sz w:val="18"/>
          <w:szCs w:val="18"/>
          <w:color w:val="auto"/>
        </w:rPr>
        <w:t>losses on hedging transactions with customers arising from the sharp decline in fuel prices and their inability to benefit from the reduced cost of fuel due to substantial reductions in their operations;</w:t>
      </w:r>
    </w:p>
    <w:p>
      <w:pPr>
        <w:spacing w:after="0" w:line="62"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10"/>
        </w:numPr>
        <w:rPr>
          <w:rFonts w:ascii="Arial" w:cs="Arial" w:eastAsia="Arial" w:hAnsi="Arial"/>
          <w:sz w:val="18"/>
          <w:szCs w:val="18"/>
          <w:color w:val="auto"/>
        </w:rPr>
      </w:pPr>
      <w:r>
        <w:rPr>
          <w:rFonts w:ascii="Arial" w:cs="Arial" w:eastAsia="Arial" w:hAnsi="Arial"/>
          <w:sz w:val="18"/>
          <w:szCs w:val="18"/>
          <w:color w:val="auto"/>
        </w:rPr>
        <w:t>disruptions resulting from office and facility closures, reductions in operating hours, and changes in operating procedures, including additional cleaning and disinfecting procedures;</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43" w:name="page44"/>
    <w:bookmarkEnd w:id="43"/>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possible infections or quarantining of our employees which could impact our ability to service our customers or operate our business;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increased costs associated with rationalization of our portfolio of businesses and other restructuring activities;</w:t>
      </w:r>
    </w:p>
    <w:p>
      <w:pPr>
        <w:spacing w:after="0" w:line="117"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asset impairments, including an impairment of the carrying value of our goodwill, along with other accounting charges if expected future demand for our products and services materially decreases;</w:t>
      </w:r>
    </w:p>
    <w:p>
      <w:pPr>
        <w:spacing w:after="0" w:line="62"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11"/>
        </w:numPr>
        <w:rPr>
          <w:rFonts w:ascii="Arial" w:cs="Arial" w:eastAsia="Arial" w:hAnsi="Arial"/>
          <w:sz w:val="18"/>
          <w:szCs w:val="18"/>
          <w:color w:val="auto"/>
        </w:rPr>
      </w:pPr>
      <w:r>
        <w:rPr>
          <w:rFonts w:ascii="Arial" w:cs="Arial" w:eastAsia="Arial" w:hAnsi="Arial"/>
          <w:sz w:val="18"/>
          <w:szCs w:val="18"/>
          <w:color w:val="auto"/>
        </w:rPr>
        <w:t>volatility in the global financial markets, which could have a negative impact on our ability to access capital and additional sources of financing in the future;</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notices from customers, suppliers and other third parties asserting force majeure or other bases for their non-performance;</w:t>
      </w:r>
    </w:p>
    <w:p>
      <w:pPr>
        <w:spacing w:after="0" w:line="117"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reduction of our global workforce to adjust to market conditions, including increased costs associated with severance payments, retention issues, and an inability to hire employees when market conditions improve;</w:t>
      </w:r>
    </w:p>
    <w:p>
      <w:pPr>
        <w:spacing w:after="0" w:line="62" w:lineRule="exact"/>
        <w:rPr>
          <w:rFonts w:ascii="Arial" w:cs="Arial" w:eastAsia="Arial" w:hAnsi="Arial"/>
          <w:sz w:val="18"/>
          <w:szCs w:val="18"/>
          <w:color w:val="auto"/>
        </w:rPr>
      </w:pPr>
    </w:p>
    <w:p>
      <w:pPr>
        <w:ind w:left="660" w:right="20" w:hanging="328"/>
        <w:spacing w:after="0" w:line="277" w:lineRule="auto"/>
        <w:tabs>
          <w:tab w:leader="none" w:pos="655"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litigation risk and possible loss contingencies related to COVID-19 and its impact, including with respect to commercial contracts, employee matters and insurance arrangements;</w:t>
      </w:r>
    </w:p>
    <w:p>
      <w:pPr>
        <w:spacing w:after="0" w:line="62" w:lineRule="exact"/>
        <w:rPr>
          <w:rFonts w:ascii="Arial" w:cs="Arial" w:eastAsia="Arial" w:hAnsi="Arial"/>
          <w:sz w:val="18"/>
          <w:szCs w:val="18"/>
          <w:color w:val="auto"/>
        </w:rPr>
      </w:pPr>
    </w:p>
    <w:p>
      <w:pPr>
        <w:ind w:left="660" w:hanging="328"/>
        <w:spacing w:after="0" w:line="277" w:lineRule="auto"/>
        <w:tabs>
          <w:tab w:leader="none" w:pos="655" w:val="left"/>
        </w:tabs>
        <w:numPr>
          <w:ilvl w:val="0"/>
          <w:numId w:val="11"/>
        </w:numPr>
        <w:rPr>
          <w:rFonts w:ascii="Arial" w:cs="Arial" w:eastAsia="Arial" w:hAnsi="Arial"/>
          <w:sz w:val="18"/>
          <w:szCs w:val="18"/>
          <w:color w:val="auto"/>
        </w:rPr>
      </w:pPr>
      <w:r>
        <w:rPr>
          <w:rFonts w:ascii="Arial" w:cs="Arial" w:eastAsia="Arial" w:hAnsi="Arial"/>
          <w:sz w:val="18"/>
          <w:szCs w:val="18"/>
          <w:color w:val="auto"/>
        </w:rPr>
        <w:t>heightened risk of cybersecurity issues, as digital technologies may become more vulnerable and experience a higher rate of cyber attacks in a remote connectivity environment;</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 need to preserve liquidity, which could result in actions such as a reduction or suspension of our quarterly dividend or stock repurchases; and</w:t>
      </w:r>
    </w:p>
    <w:p>
      <w:pPr>
        <w:spacing w:after="0" w:line="140" w:lineRule="exact"/>
        <w:rPr>
          <w:rFonts w:ascii="Arial" w:cs="Arial" w:eastAsia="Arial" w:hAnsi="Arial"/>
          <w:sz w:val="16"/>
          <w:szCs w:val="16"/>
          <w:color w:val="auto"/>
        </w:rPr>
      </w:pPr>
    </w:p>
    <w:p>
      <w:pPr>
        <w:ind w:left="660" w:hanging="328"/>
        <w:spacing w:after="0" w:line="277" w:lineRule="auto"/>
        <w:tabs>
          <w:tab w:leader="none" w:pos="655"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structural shift in the global economy and its demand for fuel and related products and services as a result of changes in the way people work, travel and interact, or in connection with a global recession.</w:t>
      </w:r>
    </w:p>
    <w:p>
      <w:pPr>
        <w:spacing w:after="0" w:line="62"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are monitoring and continue to assess the ongoing effects of the COVID-19 pandemic on our businesses and operations. Developments related to the pandemic have been rapidly changing, and additional impacts and risks may arise that we may not currently foresee. Furthermore, the full extent to which the pandemic may adversely impact us or our results is currently uncertain and difficult to assess or predict with meaningful precision. We are similarly unable to predict the degree to which the pandemic may ultimately impact our customers, suppliers, and other business partners’ financial condition, but a material effect on these parties could also adversely affect us.</w:t>
      </w:r>
    </w:p>
    <w:p>
      <w:pPr>
        <w:spacing w:after="0" w:line="21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extent to which the pandemic will ultimately impact us will depend on numerous future developments that are highly uncertain, including the severity and duration of the crisis and the extent of any further actions taken by governments in response, the ultimate impact on global economic activity and how quickly, and to what extent, normal economic and operating conditions can resume on a sustainable basis globally, as well as the extent and duration of the effect of the crisis on consumer confidence and spending.</w:t>
      </w:r>
    </w:p>
    <w:p>
      <w:pPr>
        <w:spacing w:after="0" w:line="214"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Finally, the effects of COVID-19 may remain prevalent for a significant period of time and may continue to adversely affect our business, results of operations and financial condition even after the outbreak has subsided. The pandemic may also have the effect of exacerbating many of the other risks discussed in our 10-K Risk Factors and this 10-Q Report, which could in turn have a material adverse effect on us. Accordingly, the occurrence of one or more the foregoing factors could increase our costs and/or reduce the demand for our products, which could therefore have a material adverse effect on our business, financial condition, results of operations, liquidity and cash flows. For additional information on the impact of the pandemic, see “Management’s Discussion and Analysis of Financial Condition and Results of Operations - Business Overview” and for a discussion of the impact of changes in fuel prices on our business, see the 2019 10-K Risk Factors.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56" w:lineRule="exact"/>
        <w:rPr>
          <w:sz w:val="20"/>
          <w:szCs w:val="20"/>
          <w:color w:val="auto"/>
        </w:rPr>
      </w:pPr>
    </w:p>
    <w:p>
      <w:pPr>
        <w:ind w:firstLine="324"/>
        <w:spacing w:after="0" w:line="276" w:lineRule="auto"/>
        <w:rPr>
          <w:sz w:val="20"/>
          <w:szCs w:val="20"/>
          <w:color w:val="auto"/>
        </w:rPr>
      </w:pPr>
      <w:r>
        <w:rPr>
          <w:rFonts w:ascii="Arial" w:cs="Arial" w:eastAsia="Arial" w:hAnsi="Arial"/>
          <w:sz w:val="18"/>
          <w:szCs w:val="18"/>
          <w:color w:val="auto"/>
        </w:rPr>
        <w:t>The following table presents information with respect to repurchases of common stock made by us during the quarterly period ended June 30, 2020 (in thousands, except average price paid per share):</w:t>
      </w:r>
    </w:p>
    <w:tbl>
      <w:tblPr>
        <w:tblLayout w:type="fixed"/>
        <w:tblInd w:w="0" w:type="dxa"/>
        <w:tblCellMar>
          <w:top w:w="0" w:type="dxa"/>
          <w:left w:w="0" w:type="dxa"/>
          <w:bottom w:w="0" w:type="dxa"/>
          <w:right w:w="0" w:type="dxa"/>
        </w:tblCellMar>
      </w:tblPr>
      <w:tr>
        <w:trPr>
          <w:trHeight w:val="150"/>
        </w:trPr>
        <w:tc>
          <w:tcPr>
            <w:tcW w:w="2360" w:type="dxa"/>
            <w:vAlign w:val="bottom"/>
          </w:tcPr>
          <w:p>
            <w:pPr>
              <w:spacing w:after="0"/>
              <w:rPr>
                <w:sz w:val="13"/>
                <w:szCs w:val="13"/>
                <w:color w:val="auto"/>
              </w:rPr>
            </w:pPr>
          </w:p>
        </w:tc>
        <w:tc>
          <w:tcPr>
            <w:tcW w:w="21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620" w:type="dxa"/>
            <w:vAlign w:val="bottom"/>
          </w:tcPr>
          <w:p>
            <w:pPr>
              <w:spacing w:after="0"/>
              <w:rPr>
                <w:sz w:val="13"/>
                <w:szCs w:val="13"/>
                <w:color w:val="auto"/>
              </w:rPr>
            </w:pPr>
          </w:p>
        </w:tc>
        <w:tc>
          <w:tcPr>
            <w:tcW w:w="2280" w:type="dxa"/>
            <w:vAlign w:val="bottom"/>
          </w:tcPr>
          <w:p>
            <w:pPr>
              <w:jc w:val="center"/>
              <w:ind w:left="868"/>
              <w:spacing w:after="0" w:line="150" w:lineRule="exact"/>
              <w:rPr>
                <w:sz w:val="20"/>
                <w:szCs w:val="20"/>
                <w:color w:val="auto"/>
              </w:rPr>
            </w:pPr>
            <w:r>
              <w:rPr>
                <w:rFonts w:ascii="Arial" w:cs="Arial" w:eastAsia="Arial" w:hAnsi="Arial"/>
                <w:sz w:val="14"/>
                <w:szCs w:val="14"/>
                <w:b w:val="1"/>
                <w:bCs w:val="1"/>
                <w:color w:val="auto"/>
                <w:w w:val="95"/>
              </w:rPr>
              <w:t>Total Number</w:t>
            </w:r>
          </w:p>
        </w:tc>
        <w:tc>
          <w:tcPr>
            <w:tcW w:w="3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800" w:type="dxa"/>
            <w:vAlign w:val="bottom"/>
            <w:vMerge w:val="restart"/>
          </w:tcPr>
          <w:p>
            <w:pPr>
              <w:jc w:val="center"/>
              <w:ind w:right="128"/>
              <w:spacing w:after="0"/>
              <w:rPr>
                <w:sz w:val="20"/>
                <w:szCs w:val="20"/>
                <w:color w:val="auto"/>
              </w:rPr>
            </w:pPr>
            <w:r>
              <w:rPr>
                <w:rFonts w:ascii="Arial" w:cs="Arial" w:eastAsia="Arial" w:hAnsi="Arial"/>
                <w:sz w:val="14"/>
                <w:szCs w:val="14"/>
                <w:b w:val="1"/>
                <w:bCs w:val="1"/>
                <w:color w:val="auto"/>
                <w:w w:val="95"/>
              </w:rPr>
              <w:t>Approximate Dollar</w:t>
            </w:r>
          </w:p>
        </w:tc>
        <w:tc>
          <w:tcPr>
            <w:tcW w:w="0" w:type="dxa"/>
            <w:vAlign w:val="bottom"/>
          </w:tcPr>
          <w:p>
            <w:pPr>
              <w:spacing w:after="0"/>
              <w:rPr>
                <w:sz w:val="1"/>
                <w:szCs w:val="1"/>
                <w:color w:val="auto"/>
              </w:rPr>
            </w:pPr>
          </w:p>
        </w:tc>
      </w:tr>
      <w:tr>
        <w:trPr>
          <w:trHeight w:val="50"/>
        </w:trPr>
        <w:tc>
          <w:tcPr>
            <w:tcW w:w="2360" w:type="dxa"/>
            <w:vAlign w:val="bottom"/>
          </w:tcPr>
          <w:p>
            <w:pPr>
              <w:spacing w:after="0"/>
              <w:rPr>
                <w:sz w:val="4"/>
                <w:szCs w:val="4"/>
                <w:color w:val="auto"/>
              </w:rPr>
            </w:pPr>
          </w:p>
        </w:tc>
        <w:tc>
          <w:tcPr>
            <w:tcW w:w="2100" w:type="dxa"/>
            <w:vAlign w:val="bottom"/>
          </w:tcPr>
          <w:p>
            <w:pPr>
              <w:spacing w:after="0"/>
              <w:rPr>
                <w:sz w:val="4"/>
                <w:szCs w:val="4"/>
                <w:color w:val="auto"/>
              </w:rPr>
            </w:pPr>
          </w:p>
        </w:tc>
        <w:tc>
          <w:tcPr>
            <w:tcW w:w="420" w:type="dxa"/>
            <w:vAlign w:val="bottom"/>
          </w:tcPr>
          <w:p>
            <w:pPr>
              <w:spacing w:after="0"/>
              <w:rPr>
                <w:sz w:val="4"/>
                <w:szCs w:val="4"/>
                <w:color w:val="auto"/>
              </w:rPr>
            </w:pPr>
          </w:p>
        </w:tc>
        <w:tc>
          <w:tcPr>
            <w:tcW w:w="1620" w:type="dxa"/>
            <w:vAlign w:val="bottom"/>
          </w:tcPr>
          <w:p>
            <w:pPr>
              <w:spacing w:after="0"/>
              <w:rPr>
                <w:sz w:val="4"/>
                <w:szCs w:val="4"/>
                <w:color w:val="auto"/>
              </w:rPr>
            </w:pPr>
          </w:p>
        </w:tc>
        <w:tc>
          <w:tcPr>
            <w:tcW w:w="2280" w:type="dxa"/>
            <w:vAlign w:val="bottom"/>
            <w:vMerge w:val="restart"/>
          </w:tcPr>
          <w:p>
            <w:pPr>
              <w:jc w:val="center"/>
              <w:ind w:left="868"/>
              <w:spacing w:after="0"/>
              <w:rPr>
                <w:sz w:val="20"/>
                <w:szCs w:val="20"/>
                <w:color w:val="auto"/>
              </w:rPr>
            </w:pPr>
            <w:r>
              <w:rPr>
                <w:rFonts w:ascii="Arial" w:cs="Arial" w:eastAsia="Arial" w:hAnsi="Arial"/>
                <w:sz w:val="14"/>
                <w:szCs w:val="14"/>
                <w:b w:val="1"/>
                <w:bCs w:val="1"/>
                <w:color w:val="auto"/>
                <w:w w:val="90"/>
              </w:rPr>
              <w:t>of Shares Purchased</w:t>
            </w:r>
          </w:p>
        </w:tc>
        <w:tc>
          <w:tcPr>
            <w:tcW w:w="320" w:type="dxa"/>
            <w:vAlign w:val="bottom"/>
          </w:tcPr>
          <w:p>
            <w:pPr>
              <w:spacing w:after="0"/>
              <w:rPr>
                <w:sz w:val="4"/>
                <w:szCs w:val="4"/>
                <w:color w:val="auto"/>
              </w:rPr>
            </w:pPr>
          </w:p>
        </w:tc>
        <w:tc>
          <w:tcPr>
            <w:tcW w:w="320" w:type="dxa"/>
            <w:vAlign w:val="bottom"/>
          </w:tcPr>
          <w:p>
            <w:pPr>
              <w:spacing w:after="0"/>
              <w:rPr>
                <w:sz w:val="4"/>
                <w:szCs w:val="4"/>
                <w:color w:val="auto"/>
              </w:rPr>
            </w:pPr>
          </w:p>
        </w:tc>
        <w:tc>
          <w:tcPr>
            <w:tcW w:w="18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5"/>
        </w:trPr>
        <w:tc>
          <w:tcPr>
            <w:tcW w:w="2360" w:type="dxa"/>
            <w:vAlign w:val="bottom"/>
          </w:tcPr>
          <w:p>
            <w:pPr>
              <w:spacing w:after="0"/>
              <w:rPr>
                <w:sz w:val="11"/>
                <w:szCs w:val="11"/>
                <w:color w:val="auto"/>
              </w:rPr>
            </w:pPr>
          </w:p>
        </w:tc>
        <w:tc>
          <w:tcPr>
            <w:tcW w:w="2100" w:type="dxa"/>
            <w:vAlign w:val="bottom"/>
            <w:vMerge w:val="restart"/>
          </w:tcPr>
          <w:p>
            <w:pPr>
              <w:jc w:val="center"/>
              <w:ind w:left="888"/>
              <w:spacing w:after="0"/>
              <w:rPr>
                <w:sz w:val="20"/>
                <w:szCs w:val="20"/>
                <w:color w:val="auto"/>
              </w:rPr>
            </w:pPr>
            <w:r>
              <w:rPr>
                <w:rFonts w:ascii="Arial" w:cs="Arial" w:eastAsia="Arial" w:hAnsi="Arial"/>
                <w:sz w:val="14"/>
                <w:szCs w:val="14"/>
                <w:b w:val="1"/>
                <w:bCs w:val="1"/>
                <w:color w:val="auto"/>
                <w:w w:val="95"/>
              </w:rPr>
              <w:t>Total Number</w:t>
            </w:r>
          </w:p>
        </w:tc>
        <w:tc>
          <w:tcPr>
            <w:tcW w:w="42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2280" w:type="dxa"/>
            <w:vAlign w:val="bottom"/>
            <w:vMerge w:val="continue"/>
          </w:tcPr>
          <w:p>
            <w:pPr>
              <w:spacing w:after="0"/>
              <w:rPr>
                <w:sz w:val="11"/>
                <w:szCs w:val="11"/>
                <w:color w:val="auto"/>
              </w:rPr>
            </w:pP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0" w:type="dxa"/>
            <w:vAlign w:val="bottom"/>
          </w:tcPr>
          <w:p>
            <w:pPr>
              <w:jc w:val="center"/>
              <w:ind w:right="128"/>
              <w:spacing w:after="0" w:line="135" w:lineRule="exact"/>
              <w:rPr>
                <w:sz w:val="20"/>
                <w:szCs w:val="20"/>
                <w:color w:val="auto"/>
              </w:rPr>
            </w:pPr>
            <w:r>
              <w:rPr>
                <w:rFonts w:ascii="Arial" w:cs="Arial" w:eastAsia="Arial" w:hAnsi="Arial"/>
                <w:sz w:val="14"/>
                <w:szCs w:val="14"/>
                <w:b w:val="1"/>
                <w:bCs w:val="1"/>
                <w:color w:val="auto"/>
                <w:w w:val="92"/>
              </w:rPr>
              <w:t>Value of Shares that</w:t>
            </w:r>
          </w:p>
        </w:tc>
        <w:tc>
          <w:tcPr>
            <w:tcW w:w="0" w:type="dxa"/>
            <w:vAlign w:val="bottom"/>
          </w:tcPr>
          <w:p>
            <w:pPr>
              <w:spacing w:after="0"/>
              <w:rPr>
                <w:sz w:val="1"/>
                <w:szCs w:val="1"/>
                <w:color w:val="auto"/>
              </w:rPr>
            </w:pPr>
          </w:p>
        </w:tc>
      </w:tr>
      <w:tr>
        <w:trPr>
          <w:trHeight w:val="135"/>
        </w:trPr>
        <w:tc>
          <w:tcPr>
            <w:tcW w:w="2360" w:type="dxa"/>
            <w:vAlign w:val="bottom"/>
          </w:tcPr>
          <w:p>
            <w:pPr>
              <w:spacing w:after="0"/>
              <w:rPr>
                <w:sz w:val="11"/>
                <w:szCs w:val="11"/>
                <w:color w:val="auto"/>
              </w:rPr>
            </w:pPr>
          </w:p>
        </w:tc>
        <w:tc>
          <w:tcPr>
            <w:tcW w:w="210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16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Average Price</w:t>
            </w:r>
          </w:p>
        </w:tc>
        <w:tc>
          <w:tcPr>
            <w:tcW w:w="2280" w:type="dxa"/>
            <w:vAlign w:val="bottom"/>
          </w:tcPr>
          <w:p>
            <w:pPr>
              <w:jc w:val="center"/>
              <w:ind w:left="868"/>
              <w:spacing w:after="0" w:line="135" w:lineRule="exact"/>
              <w:rPr>
                <w:sz w:val="20"/>
                <w:szCs w:val="20"/>
                <w:color w:val="auto"/>
              </w:rPr>
            </w:pPr>
            <w:r>
              <w:rPr>
                <w:rFonts w:ascii="Arial" w:cs="Arial" w:eastAsia="Arial" w:hAnsi="Arial"/>
                <w:sz w:val="14"/>
                <w:szCs w:val="14"/>
                <w:b w:val="1"/>
                <w:bCs w:val="1"/>
                <w:color w:val="auto"/>
                <w:w w:val="93"/>
              </w:rPr>
              <w:t>as Part of Publicly</w:t>
            </w: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0" w:type="dxa"/>
            <w:vAlign w:val="bottom"/>
          </w:tcPr>
          <w:p>
            <w:pPr>
              <w:jc w:val="center"/>
              <w:ind w:right="148"/>
              <w:spacing w:after="0" w:line="135" w:lineRule="exact"/>
              <w:rPr>
                <w:sz w:val="20"/>
                <w:szCs w:val="20"/>
                <w:color w:val="auto"/>
              </w:rPr>
            </w:pPr>
            <w:r>
              <w:rPr>
                <w:rFonts w:ascii="Arial" w:cs="Arial" w:eastAsia="Arial" w:hAnsi="Arial"/>
                <w:sz w:val="14"/>
                <w:szCs w:val="14"/>
                <w:b w:val="1"/>
                <w:bCs w:val="1"/>
                <w:color w:val="auto"/>
                <w:w w:val="91"/>
              </w:rPr>
              <w:t>May Yet Be Purchased</w:t>
            </w:r>
          </w:p>
        </w:tc>
        <w:tc>
          <w:tcPr>
            <w:tcW w:w="0" w:type="dxa"/>
            <w:vAlign w:val="bottom"/>
          </w:tcPr>
          <w:p>
            <w:pPr>
              <w:spacing w:after="0"/>
              <w:rPr>
                <w:sz w:val="1"/>
                <w:szCs w:val="1"/>
                <w:color w:val="auto"/>
              </w:rPr>
            </w:pPr>
          </w:p>
        </w:tc>
      </w:tr>
      <w:tr>
        <w:trPr>
          <w:trHeight w:val="135"/>
        </w:trPr>
        <w:tc>
          <w:tcPr>
            <w:tcW w:w="23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Period</w:t>
            </w:r>
          </w:p>
        </w:tc>
        <w:tc>
          <w:tcPr>
            <w:tcW w:w="2100" w:type="dxa"/>
            <w:vAlign w:val="bottom"/>
          </w:tcPr>
          <w:p>
            <w:pPr>
              <w:jc w:val="center"/>
              <w:ind w:left="908"/>
              <w:spacing w:after="0" w:line="135" w:lineRule="exact"/>
              <w:rPr>
                <w:sz w:val="20"/>
                <w:szCs w:val="20"/>
                <w:color w:val="auto"/>
              </w:rPr>
            </w:pPr>
            <w:r>
              <w:rPr>
                <w:rFonts w:ascii="Arial" w:cs="Arial" w:eastAsia="Arial" w:hAnsi="Arial"/>
                <w:sz w:val="14"/>
                <w:szCs w:val="14"/>
                <w:b w:val="1"/>
                <w:bCs w:val="1"/>
                <w:color w:val="auto"/>
                <w:w w:val="87"/>
              </w:rPr>
              <w:t>of Shares</w:t>
            </w:r>
          </w:p>
        </w:tc>
        <w:tc>
          <w:tcPr>
            <w:tcW w:w="420" w:type="dxa"/>
            <w:vAlign w:val="bottom"/>
          </w:tcPr>
          <w:p>
            <w:pPr>
              <w:spacing w:after="0"/>
              <w:rPr>
                <w:sz w:val="11"/>
                <w:szCs w:val="11"/>
                <w:color w:val="auto"/>
              </w:rPr>
            </w:pPr>
          </w:p>
        </w:tc>
        <w:tc>
          <w:tcPr>
            <w:tcW w:w="1620" w:type="dxa"/>
            <w:vAlign w:val="bottom"/>
            <w:vMerge w:val="continue"/>
          </w:tcPr>
          <w:p>
            <w:pPr>
              <w:spacing w:after="0"/>
              <w:rPr>
                <w:sz w:val="11"/>
                <w:szCs w:val="11"/>
                <w:color w:val="auto"/>
              </w:rPr>
            </w:pPr>
          </w:p>
        </w:tc>
        <w:tc>
          <w:tcPr>
            <w:tcW w:w="2280" w:type="dxa"/>
            <w:vAlign w:val="bottom"/>
          </w:tcPr>
          <w:p>
            <w:pPr>
              <w:jc w:val="center"/>
              <w:ind w:left="868"/>
              <w:spacing w:after="0" w:line="135" w:lineRule="exact"/>
              <w:rPr>
                <w:sz w:val="20"/>
                <w:szCs w:val="20"/>
                <w:color w:val="auto"/>
              </w:rPr>
            </w:pPr>
            <w:r>
              <w:rPr>
                <w:rFonts w:ascii="Arial" w:cs="Arial" w:eastAsia="Arial" w:hAnsi="Arial"/>
                <w:sz w:val="14"/>
                <w:szCs w:val="14"/>
                <w:b w:val="1"/>
                <w:bCs w:val="1"/>
                <w:color w:val="auto"/>
                <w:w w:val="89"/>
              </w:rPr>
              <w:t>Announced Plans</w:t>
            </w:r>
          </w:p>
        </w:tc>
        <w:tc>
          <w:tcPr>
            <w:tcW w:w="3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0" w:type="dxa"/>
            <w:vAlign w:val="bottom"/>
          </w:tcPr>
          <w:p>
            <w:pPr>
              <w:jc w:val="center"/>
              <w:ind w:right="128"/>
              <w:spacing w:after="0" w:line="135" w:lineRule="exact"/>
              <w:rPr>
                <w:sz w:val="20"/>
                <w:szCs w:val="20"/>
                <w:color w:val="auto"/>
              </w:rPr>
            </w:pPr>
            <w:r>
              <w:rPr>
                <w:rFonts w:ascii="Arial" w:cs="Arial" w:eastAsia="Arial" w:hAnsi="Arial"/>
                <w:sz w:val="14"/>
                <w:szCs w:val="14"/>
                <w:b w:val="1"/>
                <w:bCs w:val="1"/>
                <w:color w:val="auto"/>
                <w:w w:val="93"/>
              </w:rPr>
              <w:t>Under the Plans or</w:t>
            </w:r>
          </w:p>
        </w:tc>
        <w:tc>
          <w:tcPr>
            <w:tcW w:w="0" w:type="dxa"/>
            <w:vAlign w:val="bottom"/>
          </w:tcPr>
          <w:p>
            <w:pPr>
              <w:spacing w:after="0"/>
              <w:rPr>
                <w:sz w:val="1"/>
                <w:szCs w:val="1"/>
                <w:color w:val="auto"/>
              </w:rPr>
            </w:pPr>
          </w:p>
        </w:tc>
      </w:tr>
      <w:tr>
        <w:trPr>
          <w:trHeight w:val="188"/>
        </w:trPr>
        <w:tc>
          <w:tcPr>
            <w:tcW w:w="2360" w:type="dxa"/>
            <w:vAlign w:val="bottom"/>
            <w:tcBorders>
              <w:bottom w:val="single" w:sz="8" w:color="auto"/>
            </w:tcBorders>
            <w:vMerge w:val="continue"/>
          </w:tcPr>
          <w:p>
            <w:pPr>
              <w:spacing w:after="0"/>
              <w:rPr>
                <w:sz w:val="16"/>
                <w:szCs w:val="16"/>
                <w:color w:val="auto"/>
              </w:rPr>
            </w:pPr>
          </w:p>
        </w:tc>
        <w:tc>
          <w:tcPr>
            <w:tcW w:w="2100" w:type="dxa"/>
            <w:vAlign w:val="bottom"/>
            <w:tcBorders>
              <w:bottom w:val="single" w:sz="8" w:color="auto"/>
            </w:tcBorders>
          </w:tcPr>
          <w:p>
            <w:pPr>
              <w:jc w:val="center"/>
              <w:ind w:left="908"/>
              <w:spacing w:after="0"/>
              <w:rPr>
                <w:sz w:val="20"/>
                <w:szCs w:val="20"/>
                <w:color w:val="auto"/>
              </w:rPr>
            </w:pPr>
            <w:r>
              <w:rPr>
                <w:rFonts w:ascii="Arial" w:cs="Arial" w:eastAsia="Arial" w:hAnsi="Arial"/>
                <w:sz w:val="14"/>
                <w:szCs w:val="14"/>
                <w:b w:val="1"/>
                <w:bCs w:val="1"/>
                <w:color w:val="auto"/>
                <w:w w:val="91"/>
              </w:rPr>
              <w:t xml:space="preserve">Purchased </w:t>
            </w:r>
            <w:r>
              <w:rPr>
                <w:rFonts w:ascii="Arial" w:cs="Arial" w:eastAsia="Arial" w:hAnsi="Arial"/>
                <w:sz w:val="10"/>
                <w:szCs w:val="10"/>
                <w:b w:val="1"/>
                <w:bCs w:val="1"/>
                <w:color w:val="auto"/>
                <w:w w:val="91"/>
              </w:rPr>
              <w:t>(1)</w:t>
            </w:r>
          </w:p>
        </w:tc>
        <w:tc>
          <w:tcPr>
            <w:tcW w:w="4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Paid Per Share</w:t>
            </w:r>
          </w:p>
        </w:tc>
        <w:tc>
          <w:tcPr>
            <w:tcW w:w="2280" w:type="dxa"/>
            <w:vAlign w:val="bottom"/>
            <w:tcBorders>
              <w:bottom w:val="single" w:sz="8" w:color="auto"/>
            </w:tcBorders>
          </w:tcPr>
          <w:p>
            <w:pPr>
              <w:jc w:val="center"/>
              <w:ind w:left="868"/>
              <w:spacing w:after="0"/>
              <w:rPr>
                <w:sz w:val="20"/>
                <w:szCs w:val="20"/>
                <w:color w:val="auto"/>
              </w:rPr>
            </w:pPr>
            <w:r>
              <w:rPr>
                <w:rFonts w:ascii="Arial" w:cs="Arial" w:eastAsia="Arial" w:hAnsi="Arial"/>
                <w:sz w:val="14"/>
                <w:szCs w:val="14"/>
                <w:b w:val="1"/>
                <w:bCs w:val="1"/>
                <w:color w:val="auto"/>
                <w:w w:val="93"/>
              </w:rPr>
              <w:t>or Programs</w:t>
            </w:r>
          </w:p>
        </w:tc>
        <w:tc>
          <w:tcPr>
            <w:tcW w:w="3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3"/>
              </w:rPr>
              <w:t xml:space="preserve">Programs </w:t>
            </w:r>
            <w:r>
              <w:rPr>
                <w:rFonts w:ascii="Arial" w:cs="Arial" w:eastAsia="Arial" w:hAnsi="Arial"/>
                <w:sz w:val="10"/>
                <w:szCs w:val="10"/>
                <w:b w:val="1"/>
                <w:bCs w:val="1"/>
                <w:color w:val="auto"/>
                <w:w w:val="93"/>
              </w:rPr>
              <w:t>(2)</w:t>
            </w:r>
          </w:p>
        </w:tc>
        <w:tc>
          <w:tcPr>
            <w:tcW w:w="0" w:type="dxa"/>
            <w:vAlign w:val="bottom"/>
          </w:tcPr>
          <w:p>
            <w:pPr>
              <w:spacing w:after="0"/>
              <w:rPr>
                <w:sz w:val="1"/>
                <w:szCs w:val="1"/>
                <w:color w:val="auto"/>
              </w:rPr>
            </w:pPr>
          </w:p>
        </w:tc>
      </w:tr>
      <w:tr>
        <w:trPr>
          <w:trHeight w:val="197"/>
        </w:trPr>
        <w:tc>
          <w:tcPr>
            <w:tcW w:w="2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4/1/2020 - 4/30/2020</w:t>
            </w:r>
          </w:p>
        </w:tc>
        <w:tc>
          <w:tcPr>
            <w:tcW w:w="2100" w:type="dxa"/>
            <w:vAlign w:val="bottom"/>
            <w:shd w:val="clear" w:color="auto" w:fill="CCEEFF"/>
          </w:tcPr>
          <w:p>
            <w:pPr>
              <w:spacing w:after="0"/>
              <w:rPr>
                <w:sz w:val="17"/>
                <w:szCs w:val="17"/>
                <w:color w:val="auto"/>
              </w:rPr>
            </w:pPr>
          </w:p>
        </w:tc>
        <w:tc>
          <w:tcPr>
            <w:tcW w:w="4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20" w:type="dxa"/>
            <w:vAlign w:val="bottom"/>
            <w:shd w:val="clear" w:color="auto" w:fill="CCEEFF"/>
          </w:tcPr>
          <w:p>
            <w:pPr>
              <w:jc w:val="right"/>
              <w:ind w:right="1328"/>
              <w:spacing w:after="0"/>
              <w:rPr>
                <w:sz w:val="20"/>
                <w:szCs w:val="20"/>
                <w:color w:val="auto"/>
              </w:rPr>
            </w:pPr>
            <w:r>
              <w:rPr>
                <w:rFonts w:ascii="Arial" w:cs="Arial" w:eastAsia="Arial" w:hAnsi="Arial"/>
                <w:sz w:val="14"/>
                <w:szCs w:val="14"/>
                <w:color w:val="auto"/>
              </w:rPr>
              <w:t>$</w:t>
            </w:r>
          </w:p>
        </w:tc>
        <w:tc>
          <w:tcPr>
            <w:tcW w:w="2280" w:type="dxa"/>
            <w:vAlign w:val="bottom"/>
            <w:shd w:val="clear" w:color="auto" w:fill="CCEEFF"/>
          </w:tcPr>
          <w:p>
            <w:pPr>
              <w:jc w:val="right"/>
              <w:ind w:right="184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8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258,944</w:t>
            </w:r>
          </w:p>
        </w:tc>
        <w:tc>
          <w:tcPr>
            <w:tcW w:w="0" w:type="dxa"/>
            <w:vAlign w:val="bottom"/>
          </w:tcPr>
          <w:p>
            <w:pPr>
              <w:spacing w:after="0"/>
              <w:rPr>
                <w:sz w:val="1"/>
                <w:szCs w:val="1"/>
                <w:color w:val="auto"/>
              </w:rPr>
            </w:pPr>
          </w:p>
        </w:tc>
      </w:tr>
      <w:tr>
        <w:trPr>
          <w:trHeight w:val="197"/>
        </w:trPr>
        <w:tc>
          <w:tcPr>
            <w:tcW w:w="2360" w:type="dxa"/>
            <w:vAlign w:val="bottom"/>
          </w:tcPr>
          <w:p>
            <w:pPr>
              <w:ind w:left="20"/>
              <w:spacing w:after="0"/>
              <w:rPr>
                <w:sz w:val="20"/>
                <w:szCs w:val="20"/>
                <w:color w:val="auto"/>
              </w:rPr>
            </w:pPr>
            <w:r>
              <w:rPr>
                <w:rFonts w:ascii="Arial" w:cs="Arial" w:eastAsia="Arial" w:hAnsi="Arial"/>
                <w:sz w:val="14"/>
                <w:szCs w:val="14"/>
                <w:color w:val="auto"/>
              </w:rPr>
              <w:t>5/1/2020 - 5/31/2020</w:t>
            </w:r>
          </w:p>
        </w:tc>
        <w:tc>
          <w:tcPr>
            <w:tcW w:w="2100" w:type="dxa"/>
            <w:vAlign w:val="bottom"/>
          </w:tcPr>
          <w:p>
            <w:pPr>
              <w:spacing w:after="0"/>
              <w:rPr>
                <w:sz w:val="17"/>
                <w:szCs w:val="17"/>
                <w:color w:val="auto"/>
              </w:rPr>
            </w:pPr>
          </w:p>
        </w:tc>
        <w:tc>
          <w:tcPr>
            <w:tcW w:w="42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1620" w:type="dxa"/>
            <w:vAlign w:val="bottom"/>
          </w:tcPr>
          <w:p>
            <w:pPr>
              <w:spacing w:after="0"/>
              <w:rPr>
                <w:sz w:val="17"/>
                <w:szCs w:val="17"/>
                <w:color w:val="auto"/>
              </w:rPr>
            </w:pPr>
          </w:p>
        </w:tc>
        <w:tc>
          <w:tcPr>
            <w:tcW w:w="2280" w:type="dxa"/>
            <w:vAlign w:val="bottom"/>
          </w:tcPr>
          <w:p>
            <w:pPr>
              <w:jc w:val="right"/>
              <w:ind w:right="1848"/>
              <w:spacing w:after="0"/>
              <w:rPr>
                <w:sz w:val="20"/>
                <w:szCs w:val="20"/>
                <w:color w:val="auto"/>
              </w:rPr>
            </w:pPr>
            <w:r>
              <w:rPr>
                <w:rFonts w:ascii="Arial" w:cs="Arial" w:eastAsia="Arial" w:hAnsi="Arial"/>
                <w:sz w:val="14"/>
                <w:szCs w:val="14"/>
                <w:color w:val="auto"/>
                <w:w w:val="96"/>
              </w:rPr>
              <w:t>23.20</w:t>
            </w:r>
          </w:p>
        </w:tc>
        <w:tc>
          <w:tcPr>
            <w:tcW w:w="320" w:type="dxa"/>
            <w:vAlign w:val="bottom"/>
          </w:tcPr>
          <w:p>
            <w:pPr>
              <w:ind w:left="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7"/>
                <w:szCs w:val="17"/>
                <w:color w:val="auto"/>
              </w:rPr>
            </w:pPr>
          </w:p>
        </w:tc>
        <w:tc>
          <w:tcPr>
            <w:tcW w:w="1800" w:type="dxa"/>
            <w:vAlign w:val="bottom"/>
          </w:tcPr>
          <w:p>
            <w:pPr>
              <w:jc w:val="right"/>
              <w:ind w:right="88"/>
              <w:spacing w:after="0"/>
              <w:rPr>
                <w:sz w:val="20"/>
                <w:szCs w:val="20"/>
                <w:color w:val="auto"/>
              </w:rPr>
            </w:pPr>
            <w:r>
              <w:rPr>
                <w:rFonts w:ascii="Arial" w:cs="Arial" w:eastAsia="Arial" w:hAnsi="Arial"/>
                <w:sz w:val="14"/>
                <w:szCs w:val="14"/>
                <w:color w:val="auto"/>
              </w:rPr>
              <w:t>258,944</w:t>
            </w:r>
          </w:p>
        </w:tc>
        <w:tc>
          <w:tcPr>
            <w:tcW w:w="0" w:type="dxa"/>
            <w:vAlign w:val="bottom"/>
          </w:tcPr>
          <w:p>
            <w:pPr>
              <w:spacing w:after="0"/>
              <w:rPr>
                <w:sz w:val="1"/>
                <w:szCs w:val="1"/>
                <w:color w:val="auto"/>
              </w:rPr>
            </w:pPr>
          </w:p>
        </w:tc>
      </w:tr>
      <w:tr>
        <w:trPr>
          <w:trHeight w:val="203"/>
        </w:trPr>
        <w:tc>
          <w:tcPr>
            <w:tcW w:w="23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6/1/2020 - 6/30/2020</w:t>
            </w:r>
          </w:p>
        </w:tc>
        <w:tc>
          <w:tcPr>
            <w:tcW w:w="2100" w:type="dxa"/>
            <w:vAlign w:val="bottom"/>
            <w:tcBorders>
              <w:bottom w:val="single" w:sz="8" w:color="auto"/>
            </w:tcBorders>
            <w:shd w:val="clear" w:color="auto" w:fill="CCEEFF"/>
          </w:tcPr>
          <w:p>
            <w:pPr>
              <w:spacing w:after="0"/>
              <w:rPr>
                <w:sz w:val="17"/>
                <w:szCs w:val="17"/>
                <w:color w:val="auto"/>
              </w:rPr>
            </w:pPr>
          </w:p>
        </w:tc>
        <w:tc>
          <w:tcPr>
            <w:tcW w:w="4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620" w:type="dxa"/>
            <w:vAlign w:val="bottom"/>
            <w:tcBorders>
              <w:bottom w:val="single" w:sz="8" w:color="auto"/>
            </w:tcBorders>
            <w:shd w:val="clear" w:color="auto" w:fill="CCEEFF"/>
          </w:tcPr>
          <w:p>
            <w:pPr>
              <w:spacing w:after="0"/>
              <w:rPr>
                <w:sz w:val="17"/>
                <w:szCs w:val="17"/>
                <w:color w:val="auto"/>
              </w:rPr>
            </w:pPr>
          </w:p>
        </w:tc>
        <w:tc>
          <w:tcPr>
            <w:tcW w:w="2280" w:type="dxa"/>
            <w:vAlign w:val="bottom"/>
            <w:tcBorders>
              <w:bottom w:val="single" w:sz="8" w:color="auto"/>
            </w:tcBorders>
            <w:shd w:val="clear" w:color="auto" w:fill="CCEEFF"/>
          </w:tcPr>
          <w:p>
            <w:pPr>
              <w:jc w:val="right"/>
              <w:ind w:right="1848"/>
              <w:spacing w:after="0"/>
              <w:rPr>
                <w:sz w:val="20"/>
                <w:szCs w:val="20"/>
                <w:color w:val="auto"/>
              </w:rPr>
            </w:pPr>
            <w:r>
              <w:rPr>
                <w:rFonts w:ascii="Arial" w:cs="Arial" w:eastAsia="Arial" w:hAnsi="Arial"/>
                <w:sz w:val="14"/>
                <w:szCs w:val="14"/>
                <w:color w:val="auto"/>
              </w:rPr>
              <w:t>—</w:t>
            </w:r>
          </w:p>
        </w:tc>
        <w:tc>
          <w:tcPr>
            <w:tcW w:w="3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320" w:type="dxa"/>
            <w:vAlign w:val="bottom"/>
            <w:tcBorders>
              <w:bottom w:val="single" w:sz="8" w:color="auto"/>
            </w:tcBorders>
            <w:shd w:val="clear" w:color="auto" w:fill="CCEEFF"/>
          </w:tcPr>
          <w:p>
            <w:pPr>
              <w:spacing w:after="0"/>
              <w:rPr>
                <w:sz w:val="17"/>
                <w:szCs w:val="17"/>
                <w:color w:val="auto"/>
              </w:rPr>
            </w:pPr>
          </w:p>
        </w:tc>
        <w:tc>
          <w:tcPr>
            <w:tcW w:w="18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258,944</w:t>
            </w:r>
          </w:p>
        </w:tc>
        <w:tc>
          <w:tcPr>
            <w:tcW w:w="0" w:type="dxa"/>
            <w:vAlign w:val="bottom"/>
          </w:tcPr>
          <w:p>
            <w:pPr>
              <w:spacing w:after="0"/>
              <w:rPr>
                <w:sz w:val="1"/>
                <w:szCs w:val="1"/>
                <w:color w:val="auto"/>
              </w:rPr>
            </w:pPr>
          </w:p>
        </w:tc>
      </w:tr>
      <w:tr>
        <w:trPr>
          <w:trHeight w:val="196"/>
        </w:trPr>
        <w:tc>
          <w:tcPr>
            <w:tcW w:w="23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Total</w:t>
            </w:r>
          </w:p>
        </w:tc>
        <w:tc>
          <w:tcPr>
            <w:tcW w:w="210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w:t>
            </w:r>
          </w:p>
        </w:tc>
        <w:tc>
          <w:tcPr>
            <w:tcW w:w="1620" w:type="dxa"/>
            <w:vAlign w:val="bottom"/>
            <w:tcBorders>
              <w:bottom w:val="single" w:sz="8" w:color="auto"/>
            </w:tcBorders>
          </w:tcPr>
          <w:p>
            <w:pPr>
              <w:jc w:val="right"/>
              <w:ind w:right="1328"/>
              <w:spacing w:after="0"/>
              <w:rPr>
                <w:sz w:val="20"/>
                <w:szCs w:val="20"/>
                <w:color w:val="auto"/>
              </w:rPr>
            </w:pPr>
            <w:r>
              <w:rPr>
                <w:rFonts w:ascii="Arial" w:cs="Arial" w:eastAsia="Arial" w:hAnsi="Arial"/>
                <w:sz w:val="14"/>
                <w:szCs w:val="14"/>
                <w:color w:val="auto"/>
              </w:rPr>
              <w:t>$</w:t>
            </w:r>
          </w:p>
        </w:tc>
        <w:tc>
          <w:tcPr>
            <w:tcW w:w="2280" w:type="dxa"/>
            <w:vAlign w:val="bottom"/>
            <w:tcBorders>
              <w:bottom w:val="single" w:sz="8" w:color="auto"/>
            </w:tcBorders>
          </w:tcPr>
          <w:p>
            <w:pPr>
              <w:jc w:val="right"/>
              <w:ind w:right="1848"/>
              <w:spacing w:after="0"/>
              <w:rPr>
                <w:sz w:val="20"/>
                <w:szCs w:val="20"/>
                <w:color w:val="auto"/>
              </w:rPr>
            </w:pPr>
            <w:r>
              <w:rPr>
                <w:rFonts w:ascii="Arial" w:cs="Arial" w:eastAsia="Arial" w:hAnsi="Arial"/>
                <w:sz w:val="14"/>
                <w:szCs w:val="14"/>
                <w:color w:val="auto"/>
                <w:w w:val="96"/>
              </w:rPr>
              <w:t>23.20</w:t>
            </w:r>
          </w:p>
        </w:tc>
        <w:tc>
          <w:tcPr>
            <w:tcW w:w="32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8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258,944</w:t>
            </w:r>
          </w:p>
        </w:tc>
        <w:tc>
          <w:tcPr>
            <w:tcW w:w="0" w:type="dxa"/>
            <w:vAlign w:val="bottom"/>
          </w:tcPr>
          <w:p>
            <w:pPr>
              <w:spacing w:after="0"/>
              <w:rPr>
                <w:sz w:val="1"/>
                <w:szCs w:val="1"/>
                <w:color w:val="auto"/>
              </w:rPr>
            </w:pPr>
          </w:p>
        </w:tc>
      </w:tr>
      <w:tr>
        <w:trPr>
          <w:trHeight w:val="27"/>
        </w:trPr>
        <w:tc>
          <w:tcPr>
            <w:tcW w:w="236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jc w:val="both"/>
        <w:ind w:left="340" w:hanging="332"/>
        <w:spacing w:after="0" w:line="263" w:lineRule="auto"/>
        <w:tabs>
          <w:tab w:leader="none" w:pos="293"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These amounts include shares purchased as part of our publicly announced programs and shares owned and tendered by employees to satisfy the required withholding taxes related to share-based payment awards, which are not deducted from shares available to be purchased under publicly announced programs.</w:t>
      </w:r>
    </w:p>
    <w:p>
      <w:pPr>
        <w:spacing w:after="0" w:line="156" w:lineRule="exact"/>
        <w:rPr>
          <w:rFonts w:ascii="Arial" w:cs="Arial" w:eastAsia="Arial" w:hAnsi="Arial"/>
          <w:sz w:val="18"/>
          <w:szCs w:val="18"/>
          <w:color w:val="auto"/>
        </w:rPr>
      </w:pPr>
    </w:p>
    <w:p>
      <w:pPr>
        <w:ind w:left="340" w:hanging="332"/>
        <w:spacing w:after="0" w:line="271" w:lineRule="auto"/>
        <w:tabs>
          <w:tab w:leader="none" w:pos="271" w:val="left"/>
        </w:tabs>
        <w:numPr>
          <w:ilvl w:val="0"/>
          <w:numId w:val="12"/>
        </w:numPr>
        <w:rPr>
          <w:rFonts w:ascii="Arial" w:cs="Arial" w:eastAsia="Arial" w:hAnsi="Arial"/>
          <w:sz w:val="17"/>
          <w:szCs w:val="17"/>
          <w:color w:val="auto"/>
        </w:rPr>
      </w:pPr>
      <w:r>
        <w:rPr>
          <w:rFonts w:ascii="Arial" w:cs="Arial" w:eastAsia="Arial" w:hAnsi="Arial"/>
          <w:sz w:val="17"/>
          <w:szCs w:val="17"/>
          <w:color w:val="auto"/>
        </w:rPr>
        <w:t>In October 2017, our Board of Directors (the "Board") approved a new common stock repurchase program (the “Repurchase Program”), which replaced the program in place at that time, authorizing $100.0 million in common stock repurchases. In May 2019, the Board authorized an increase to the October 2017 repurchase authorization by $100.0 million, bringing the authorized repurchases at that time to $200.0 million. In March 2020, the Board approved a new stock repurchase program authorizing $200.0 million in common stock repurchases to begin upon the completion of the October 2017 Repurchase Program. Our repurchase programs do not require a minimum number of shares of common stock to be purchased, have no expiration date and may be suspended or discontinued at any time. As of June 30, 2020, approximately $258.9 million remains available for purchase under our repurchase programs. The timing and amount of shares of common stock to be repurchased under the repurchase programs will depend on market conditions, share price, securities law and other legal requirements and factors.</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color w:val="auto"/>
        </w:rPr>
        <w:t>Item 6. Exhibits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exhibits set forth in the following index of exhibits are filed as part of this 10-Q Report:</w:t>
      </w:r>
    </w:p>
    <w:p>
      <w:pPr>
        <w:sectPr>
          <w:pgSz w:w="11900" w:h="16838" w:orient="portrait"/>
          <w:cols w:equalWidth="0" w:num="1">
            <w:col w:w="11180"/>
          </w:cols>
          <w:pgMar w:left="320" w:top="891" w:right="399" w:bottom="1440" w:gutter="0" w:footer="0" w:header="0"/>
        </w:sectPr>
      </w:pPr>
    </w:p>
    <w:p>
      <w:pPr>
        <w:spacing w:after="0" w:line="244" w:lineRule="exact"/>
        <w:rPr>
          <w:sz w:val="20"/>
          <w:szCs w:val="20"/>
          <w:color w:val="auto"/>
        </w:rPr>
      </w:pPr>
    </w:p>
    <w:p>
      <w:pPr>
        <w:jc w:val="right"/>
        <w:ind w:right="300"/>
        <w:spacing w:after="0"/>
        <w:rPr>
          <w:sz w:val="20"/>
          <w:szCs w:val="20"/>
          <w:color w:val="auto"/>
        </w:rPr>
      </w:pPr>
      <w:r>
        <w:rPr>
          <w:rFonts w:ascii="Arial" w:cs="Arial" w:eastAsia="Arial" w:hAnsi="Arial"/>
          <w:sz w:val="16"/>
          <w:szCs w:val="16"/>
          <w:b w:val="1"/>
          <w:bCs w:val="1"/>
          <w:color w:val="auto"/>
        </w:rPr>
        <w:t>Exhibit 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95123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951230" cy="8890"/>
                    </a:xfrm>
                    <a:prstGeom prst="rect">
                      <a:avLst/>
                    </a:prstGeom>
                    <a:noFill/>
                  </pic:spPr>
                </pic:pic>
              </a:graphicData>
            </a:graphic>
          </wp:anchor>
        </w:drawing>
      </w:r>
    </w:p>
    <w:p>
      <w:pPr>
        <w:spacing w:after="0" w:line="70" w:lineRule="exact"/>
        <w:rPr>
          <w:sz w:val="20"/>
          <w:szCs w:val="20"/>
          <w:color w:val="auto"/>
        </w:rPr>
      </w:pPr>
    </w:p>
    <w:p>
      <w:pPr>
        <w:jc w:val="right"/>
        <w:ind w:right="280"/>
        <w:spacing w:after="0"/>
        <w:rPr>
          <w:rFonts w:ascii="Arial" w:cs="Arial" w:eastAsia="Arial" w:hAnsi="Arial"/>
          <w:sz w:val="18"/>
          <w:szCs w:val="18"/>
          <w:u w:val="single" w:color="auto"/>
          <w:color w:val="0000FF"/>
        </w:rPr>
      </w:pPr>
      <w:hyperlink w:anchor="page48">
        <w:r>
          <w:rPr>
            <w:rFonts w:ascii="Arial" w:cs="Arial" w:eastAsia="Arial" w:hAnsi="Arial"/>
            <w:sz w:val="18"/>
            <w:szCs w:val="18"/>
            <w:u w:val="single" w:color="auto"/>
            <w:color w:val="0000FF"/>
          </w:rPr>
          <w:t>31.1</w:t>
        </w:r>
      </w:hyperlink>
    </w:p>
    <w:p>
      <w:pPr>
        <w:spacing w:after="0" w:line="320" w:lineRule="exact"/>
        <w:rPr>
          <w:sz w:val="20"/>
          <w:szCs w:val="20"/>
          <w:color w:val="auto"/>
        </w:rPr>
      </w:pPr>
    </w:p>
    <w:p>
      <w:pPr>
        <w:jc w:val="right"/>
        <w:ind w:right="280"/>
        <w:spacing w:after="0"/>
        <w:rPr>
          <w:rFonts w:ascii="Arial" w:cs="Arial" w:eastAsia="Arial" w:hAnsi="Arial"/>
          <w:sz w:val="18"/>
          <w:szCs w:val="18"/>
          <w:u w:val="single" w:color="auto"/>
          <w:color w:val="0000FF"/>
        </w:rPr>
      </w:pPr>
      <w:hyperlink w:anchor="page49">
        <w:r>
          <w:rPr>
            <w:rFonts w:ascii="Arial" w:cs="Arial" w:eastAsia="Arial" w:hAnsi="Arial"/>
            <w:sz w:val="18"/>
            <w:szCs w:val="18"/>
            <w:u w:val="single" w:color="auto"/>
            <w:color w:val="0000FF"/>
          </w:rPr>
          <w:t>31.2</w:t>
        </w:r>
      </w:hyperlink>
    </w:p>
    <w:p>
      <w:pPr>
        <w:spacing w:after="0" w:line="320" w:lineRule="exact"/>
        <w:rPr>
          <w:sz w:val="20"/>
          <w:szCs w:val="20"/>
          <w:color w:val="auto"/>
        </w:rPr>
      </w:pPr>
    </w:p>
    <w:p>
      <w:pPr>
        <w:jc w:val="right"/>
        <w:ind w:right="280"/>
        <w:spacing w:after="0"/>
        <w:rPr>
          <w:rFonts w:ascii="Arial" w:cs="Arial" w:eastAsia="Arial" w:hAnsi="Arial"/>
          <w:sz w:val="18"/>
          <w:szCs w:val="18"/>
          <w:u w:val="single" w:color="auto"/>
          <w:color w:val="0000FF"/>
        </w:rPr>
      </w:pPr>
      <w:hyperlink w:anchor="page50">
        <w:r>
          <w:rPr>
            <w:rFonts w:ascii="Arial" w:cs="Arial" w:eastAsia="Arial" w:hAnsi="Arial"/>
            <w:sz w:val="18"/>
            <w:szCs w:val="18"/>
            <w:u w:val="single" w:color="auto"/>
            <w:color w:val="0000FF"/>
          </w:rPr>
          <w:t>32.1</w:t>
        </w:r>
      </w:hyperlink>
    </w:p>
    <w:p>
      <w:pPr>
        <w:spacing w:after="0" w:line="347" w:lineRule="exact"/>
        <w:rPr>
          <w:sz w:val="20"/>
          <w:szCs w:val="20"/>
          <w:color w:val="auto"/>
        </w:rPr>
      </w:pPr>
    </w:p>
    <w:p>
      <w:pPr>
        <w:ind w:left="620"/>
        <w:spacing w:after="0"/>
        <w:rPr>
          <w:sz w:val="20"/>
          <w:szCs w:val="20"/>
          <w:color w:val="auto"/>
        </w:rPr>
      </w:pPr>
      <w:r>
        <w:rPr>
          <w:rFonts w:ascii="Arial" w:cs="Arial" w:eastAsia="Arial" w:hAnsi="Arial"/>
          <w:sz w:val="17"/>
          <w:szCs w:val="17"/>
          <w:color w:val="auto"/>
        </w:rPr>
        <w:t>101</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34290</wp:posOffset>
            </wp:positionV>
            <wp:extent cx="590613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906135" cy="8890"/>
                    </a:xfrm>
                    <a:prstGeom prst="rect">
                      <a:avLst/>
                    </a:prstGeom>
                    <a:noFill/>
                  </pic:spPr>
                </pic:pic>
              </a:graphicData>
            </a:graphic>
          </wp:anchor>
        </w:drawing>
      </w:r>
    </w:p>
    <w:p>
      <w:pPr>
        <w:spacing w:after="0" w:line="61" w:lineRule="exact"/>
        <w:rPr>
          <w:sz w:val="20"/>
          <w:szCs w:val="20"/>
          <w:color w:val="auto"/>
        </w:rPr>
      </w:pPr>
    </w:p>
    <w:p>
      <w:pPr>
        <w:spacing w:after="0"/>
        <w:rPr>
          <w:sz w:val="20"/>
          <w:szCs w:val="20"/>
          <w:color w:val="auto"/>
        </w:rPr>
      </w:pPr>
      <w:r>
        <w:rPr>
          <w:rFonts w:ascii="Arial" w:cs="Arial" w:eastAsia="Arial" w:hAnsi="Arial"/>
          <w:sz w:val="18"/>
          <w:szCs w:val="18"/>
          <w:color w:val="auto"/>
        </w:rPr>
        <w:t>Certification of the Chief Executive Officer pursuant to Rule 13a-14(a) or Rule 15d — 14(a).</w:t>
      </w: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color w:val="auto"/>
        </w:rPr>
        <w:t>Certification of the Chief Financial Officer pursuant to Rule 13a-14(a) or Rule 15d — 14(a).</w:t>
      </w:r>
    </w:p>
    <w:p>
      <w:pPr>
        <w:spacing w:after="0" w:line="320" w:lineRule="exact"/>
        <w:rPr>
          <w:sz w:val="20"/>
          <w:szCs w:val="20"/>
          <w:color w:val="auto"/>
        </w:rPr>
      </w:pPr>
    </w:p>
    <w:p>
      <w:pPr>
        <w:spacing w:after="0"/>
        <w:rPr>
          <w:sz w:val="20"/>
          <w:szCs w:val="20"/>
          <w:color w:val="auto"/>
        </w:rPr>
      </w:pPr>
      <w:r>
        <w:rPr>
          <w:rFonts w:ascii="Arial" w:cs="Arial" w:eastAsia="Arial" w:hAnsi="Arial"/>
          <w:sz w:val="17"/>
          <w:szCs w:val="17"/>
          <w:color w:val="auto"/>
        </w:rPr>
        <w:t>Certification of Chief Executive Officer and Chief Financial Officer under Section 906 of the Sarbanes-Oxley Act of 2002.</w:t>
      </w:r>
    </w:p>
    <w:p>
      <w:pPr>
        <w:spacing w:after="0" w:line="34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following materials from World Fuel Services Corporation’s Quarterly Report on Form 10-Q for the quarter ended June 30, 2020, formatted in XBRL (Extensible Business Reporting Language); (i) Consolidated Balance Sheets, (ii) Consolidated Statements of Income and Comprehensive Income, (iii) Consolidated Statements of Shareholders’ Equity, (iv) Consolidated Statements of Cash Flows, and (v) Notes to the Consolidated Financial Statements.</w:t>
      </w:r>
    </w:p>
    <w:p>
      <w:pPr>
        <w:spacing w:after="0" w:line="200" w:lineRule="exact"/>
        <w:rPr>
          <w:sz w:val="20"/>
          <w:szCs w:val="20"/>
          <w:color w:val="auto"/>
        </w:rPr>
      </w:pPr>
    </w:p>
    <w:p>
      <w:pPr>
        <w:sectPr>
          <w:pgSz w:w="11900" w:h="16838" w:orient="portrait"/>
          <w:cols w:equalWidth="0" w:num="2">
            <w:col w:w="1200" w:space="720"/>
            <w:col w:w="9260"/>
          </w:cols>
          <w:pgMar w:left="320" w:top="891" w:right="399" w:bottom="1440" w:gutter="0" w:footer="0" w:header="0"/>
          <w:type w:val="continuous"/>
        </w:sectPr>
      </w:pPr>
    </w:p>
    <w:p>
      <w:pPr>
        <w:spacing w:after="0" w:line="200" w:lineRule="exact"/>
        <w:rPr>
          <w:sz w:val="20"/>
          <w:szCs w:val="20"/>
          <w:color w:val="auto"/>
        </w:rPr>
      </w:pPr>
    </w:p>
    <w:p>
      <w:pPr>
        <w:spacing w:after="0" w:line="244"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891" w:right="399" w:bottom="1440" w:gutter="0" w:footer="0" w:header="0"/>
          <w:type w:val="continuous"/>
        </w:sectPr>
      </w:pPr>
    </w:p>
    <w:bookmarkStart w:id="46" w:name="page47"/>
    <w:bookmarkEnd w:id="46"/>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94" w:lineRule="exact"/>
        <w:rPr>
          <w:sz w:val="20"/>
          <w:szCs w:val="20"/>
          <w:color w:val="auto"/>
        </w:rPr>
      </w:pPr>
    </w:p>
    <w:p>
      <w:pPr>
        <w:ind w:left="20"/>
        <w:spacing w:after="0"/>
        <w:tabs>
          <w:tab w:leader="none" w:pos="5620" w:val="left"/>
        </w:tabs>
        <w:rPr>
          <w:sz w:val="20"/>
          <w:szCs w:val="20"/>
          <w:color w:val="auto"/>
        </w:rPr>
      </w:pPr>
      <w:r>
        <w:rPr>
          <w:rFonts w:ascii="Arial" w:cs="Arial" w:eastAsia="Arial" w:hAnsi="Arial"/>
          <w:sz w:val="18"/>
          <w:szCs w:val="18"/>
          <w:color w:val="auto"/>
        </w:rPr>
        <w:t>Date: August 3, 2020</w:t>
      </w:r>
      <w:r>
        <w:rPr>
          <w:sz w:val="20"/>
          <w:szCs w:val="20"/>
          <w:color w:val="auto"/>
        </w:rPr>
        <w:tab/>
      </w:r>
      <w:r>
        <w:rPr>
          <w:rFonts w:ascii="Arial" w:cs="Arial" w:eastAsia="Arial" w:hAnsi="Arial"/>
          <w:sz w:val="16"/>
          <w:szCs w:val="16"/>
          <w:color w:val="auto"/>
        </w:rPr>
        <w:t>World Fuel Services Corporation</w:t>
      </w:r>
    </w:p>
    <w:p>
      <w:pPr>
        <w:spacing w:after="0" w:line="200" w:lineRule="exact"/>
        <w:rPr>
          <w:sz w:val="20"/>
          <w:szCs w:val="20"/>
          <w:color w:val="auto"/>
        </w:rPr>
      </w:pPr>
    </w:p>
    <w:p>
      <w:pPr>
        <w:spacing w:after="0" w:line="37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31750</wp:posOffset>
            </wp:positionV>
            <wp:extent cx="354012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540125" cy="8255"/>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Michael J. Kasbar</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Chairman, President and Chief Executive Officer</w:t>
      </w:r>
    </w:p>
    <w:p>
      <w:pPr>
        <w:spacing w:after="0" w:line="200" w:lineRule="exact"/>
        <w:rPr>
          <w:sz w:val="20"/>
          <w:szCs w:val="20"/>
          <w:color w:val="auto"/>
        </w:rPr>
      </w:pPr>
    </w:p>
    <w:p>
      <w:pPr>
        <w:spacing w:after="0" w:line="37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31750</wp:posOffset>
            </wp:positionV>
            <wp:extent cx="354012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540125" cy="8890"/>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Ira M. Birns</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Executive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40"/>
          </w:cols>
          <w:pgMar w:left="320" w:top="891" w:right="3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 13a-14(a) or 15d — 14(a)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Michael J. Kasbar, certify that:</w:t>
      </w:r>
    </w:p>
    <w:p>
      <w:pPr>
        <w:spacing w:after="0" w:line="200" w:lineRule="exact"/>
        <w:rPr>
          <w:sz w:val="20"/>
          <w:szCs w:val="20"/>
          <w:color w:val="auto"/>
        </w:rPr>
      </w:pPr>
    </w:p>
    <w:p>
      <w:pPr>
        <w:spacing w:after="0" w:line="201" w:lineRule="exact"/>
        <w:rPr>
          <w:sz w:val="20"/>
          <w:szCs w:val="20"/>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World Fuel Services Corporation for the period ended June 30, 2020;</w:t>
      </w:r>
    </w:p>
    <w:p>
      <w:pPr>
        <w:spacing w:after="0" w:line="198" w:lineRule="exact"/>
        <w:rPr>
          <w:rFonts w:ascii="Arial" w:cs="Arial" w:eastAsia="Arial" w:hAnsi="Arial"/>
          <w:sz w:val="18"/>
          <w:szCs w:val="18"/>
          <w:color w:val="auto"/>
        </w:rPr>
      </w:pPr>
    </w:p>
    <w:p>
      <w:pPr>
        <w:jc w:val="both"/>
        <w:ind w:left="660" w:right="120" w:hanging="328"/>
        <w:spacing w:after="0" w:line="263"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660" w:right="80" w:hanging="328"/>
        <w:spacing w:after="0" w:line="308"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Arial" w:cs="Arial" w:eastAsia="Arial" w:hAnsi="Arial"/>
          <w:sz w:val="17"/>
          <w:szCs w:val="17"/>
          <w:color w:val="auto"/>
        </w:rPr>
      </w:pPr>
    </w:p>
    <w:p>
      <w:pPr>
        <w:ind w:left="660" w:right="60" w:hanging="328"/>
        <w:spacing w:after="0" w:line="263"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15d-15(f)) for the registrant and have:</w:t>
      </w:r>
    </w:p>
    <w:p>
      <w:pPr>
        <w:spacing w:after="0" w:line="156" w:lineRule="exact"/>
        <w:rPr>
          <w:rFonts w:ascii="Arial" w:cs="Arial" w:eastAsia="Arial" w:hAnsi="Arial"/>
          <w:sz w:val="18"/>
          <w:szCs w:val="18"/>
          <w:color w:val="auto"/>
        </w:rPr>
      </w:pPr>
    </w:p>
    <w:p>
      <w:pPr>
        <w:ind w:left="1300" w:right="120" w:hanging="320"/>
        <w:spacing w:after="0" w:line="263" w:lineRule="auto"/>
        <w:tabs>
          <w:tab w:leader="none" w:pos="129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3" w:lineRule="exact"/>
        <w:rPr>
          <w:rFonts w:ascii="Arial" w:cs="Arial" w:eastAsia="Arial" w:hAnsi="Arial"/>
          <w:sz w:val="18"/>
          <w:szCs w:val="18"/>
          <w:color w:val="auto"/>
        </w:rPr>
      </w:pPr>
    </w:p>
    <w:p>
      <w:pPr>
        <w:ind w:left="1300" w:right="40" w:hanging="320"/>
        <w:spacing w:after="0" w:line="263"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3" w:lineRule="exact"/>
        <w:rPr>
          <w:rFonts w:ascii="Arial" w:cs="Arial" w:eastAsia="Arial" w:hAnsi="Arial"/>
          <w:sz w:val="18"/>
          <w:szCs w:val="18"/>
          <w:color w:val="auto"/>
        </w:rPr>
      </w:pPr>
    </w:p>
    <w:p>
      <w:pPr>
        <w:jc w:val="both"/>
        <w:ind w:left="1300" w:right="220" w:hanging="320"/>
        <w:spacing w:after="0" w:line="342" w:lineRule="auto"/>
        <w:tabs>
          <w:tab w:leader="none" w:pos="1290" w:val="left"/>
        </w:tabs>
        <w:numPr>
          <w:ilvl w:val="1"/>
          <w:numId w:val="1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6" w:lineRule="exact"/>
        <w:rPr>
          <w:rFonts w:ascii="Arial" w:cs="Arial" w:eastAsia="Arial" w:hAnsi="Arial"/>
          <w:sz w:val="16"/>
          <w:szCs w:val="16"/>
          <w:color w:val="auto"/>
        </w:rPr>
      </w:pPr>
    </w:p>
    <w:p>
      <w:pPr>
        <w:ind w:left="1300" w:right="200" w:hanging="320"/>
        <w:spacing w:after="0" w:line="263"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43"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5" w:lineRule="exact"/>
        <w:rPr>
          <w:rFonts w:ascii="Arial" w:cs="Arial" w:eastAsia="Arial" w:hAnsi="Arial"/>
          <w:sz w:val="17"/>
          <w:szCs w:val="17"/>
          <w:color w:val="auto"/>
        </w:rPr>
      </w:pPr>
    </w:p>
    <w:p>
      <w:pPr>
        <w:ind w:left="1300" w:right="460" w:hanging="320"/>
        <w:spacing w:after="0" w:line="342" w:lineRule="auto"/>
        <w:tabs>
          <w:tab w:leader="none" w:pos="1290" w:val="left"/>
        </w:tabs>
        <w:numPr>
          <w:ilvl w:val="1"/>
          <w:numId w:val="1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300" w:right="140" w:hanging="320"/>
        <w:spacing w:after="0" w:line="277" w:lineRule="auto"/>
        <w:tabs>
          <w:tab w:leader="none" w:pos="13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40"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August 3, 2020</w:t>
      </w:r>
    </w:p>
    <w:p>
      <w:pPr>
        <w:spacing w:after="0" w:line="387"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4085590</wp:posOffset>
            </wp:positionH>
            <wp:positionV relativeFrom="paragraph">
              <wp:posOffset>31750</wp:posOffset>
            </wp:positionV>
            <wp:extent cx="303466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034665" cy="8255"/>
                    </a:xfrm>
                    <a:prstGeom prst="rect">
                      <a:avLst/>
                    </a:prstGeom>
                    <a:noFill/>
                  </pic:spPr>
                </pic:pic>
              </a:graphicData>
            </a:graphic>
          </wp:anchor>
        </w:drawing>
      </w:r>
    </w:p>
    <w:p>
      <w:pPr>
        <w:spacing w:after="0" w:line="57"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Michael J. Kasbar</w:t>
      </w:r>
    </w:p>
    <w:p>
      <w:pPr>
        <w:spacing w:after="0" w:line="63"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Chairman, President and Chief Executive Officer</w:t>
      </w:r>
    </w:p>
    <w:p>
      <w:pPr>
        <w:sectPr>
          <w:pgSz w:w="11900" w:h="16838" w:orient="portrait"/>
          <w:cols w:equalWidth="0" w:num="1">
            <w:col w:w="11240"/>
          </w:cols>
          <w:pgMar w:left="320" w:top="121" w:right="3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31.2</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 13a-14(a) or 15d — 14(a)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Ira M. Birns, certify that:</w:t>
      </w:r>
    </w:p>
    <w:p>
      <w:pPr>
        <w:spacing w:after="0" w:line="200" w:lineRule="exact"/>
        <w:rPr>
          <w:sz w:val="20"/>
          <w:szCs w:val="20"/>
          <w:color w:val="auto"/>
        </w:rPr>
      </w:pPr>
    </w:p>
    <w:p>
      <w:pPr>
        <w:spacing w:after="0" w:line="201" w:lineRule="exact"/>
        <w:rPr>
          <w:sz w:val="20"/>
          <w:szCs w:val="20"/>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World Fuel Services Corporation for the period ended June 30, 2020;</w:t>
      </w:r>
    </w:p>
    <w:p>
      <w:pPr>
        <w:spacing w:after="0" w:line="198" w:lineRule="exact"/>
        <w:rPr>
          <w:rFonts w:ascii="Arial" w:cs="Arial" w:eastAsia="Arial" w:hAnsi="Arial"/>
          <w:sz w:val="18"/>
          <w:szCs w:val="18"/>
          <w:color w:val="auto"/>
        </w:rPr>
      </w:pPr>
    </w:p>
    <w:p>
      <w:pPr>
        <w:jc w:val="both"/>
        <w:ind w:left="660" w:right="120" w:hanging="328"/>
        <w:spacing w:after="0" w:line="263"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660" w:right="80" w:hanging="328"/>
        <w:spacing w:after="0" w:line="308" w:lineRule="auto"/>
        <w:tabs>
          <w:tab w:leader="none" w:pos="6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Arial" w:cs="Arial" w:eastAsia="Arial" w:hAnsi="Arial"/>
          <w:sz w:val="17"/>
          <w:szCs w:val="17"/>
          <w:color w:val="auto"/>
        </w:rPr>
      </w:pPr>
    </w:p>
    <w:p>
      <w:pPr>
        <w:ind w:left="660" w:right="60" w:hanging="328"/>
        <w:spacing w:after="0" w:line="263"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15d-15(f)) for the registrant and have:</w:t>
      </w:r>
    </w:p>
    <w:p>
      <w:pPr>
        <w:spacing w:after="0" w:line="156" w:lineRule="exact"/>
        <w:rPr>
          <w:rFonts w:ascii="Arial" w:cs="Arial" w:eastAsia="Arial" w:hAnsi="Arial"/>
          <w:sz w:val="18"/>
          <w:szCs w:val="18"/>
          <w:color w:val="auto"/>
        </w:rPr>
      </w:pPr>
    </w:p>
    <w:p>
      <w:pPr>
        <w:ind w:left="1300" w:right="120" w:hanging="320"/>
        <w:spacing w:after="0" w:line="263" w:lineRule="auto"/>
        <w:tabs>
          <w:tab w:leader="none" w:pos="129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3" w:lineRule="exact"/>
        <w:rPr>
          <w:rFonts w:ascii="Arial" w:cs="Arial" w:eastAsia="Arial" w:hAnsi="Arial"/>
          <w:sz w:val="18"/>
          <w:szCs w:val="18"/>
          <w:color w:val="auto"/>
        </w:rPr>
      </w:pPr>
    </w:p>
    <w:p>
      <w:pPr>
        <w:ind w:left="1300" w:right="40" w:hanging="320"/>
        <w:spacing w:after="0" w:line="263"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3" w:lineRule="exact"/>
        <w:rPr>
          <w:rFonts w:ascii="Arial" w:cs="Arial" w:eastAsia="Arial" w:hAnsi="Arial"/>
          <w:sz w:val="18"/>
          <w:szCs w:val="18"/>
          <w:color w:val="auto"/>
        </w:rPr>
      </w:pPr>
    </w:p>
    <w:p>
      <w:pPr>
        <w:jc w:val="both"/>
        <w:ind w:left="1300" w:right="220" w:hanging="320"/>
        <w:spacing w:after="0" w:line="342" w:lineRule="auto"/>
        <w:tabs>
          <w:tab w:leader="none" w:pos="1290" w:val="left"/>
        </w:tabs>
        <w:numPr>
          <w:ilvl w:val="1"/>
          <w:numId w:val="1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6" w:lineRule="exact"/>
        <w:rPr>
          <w:rFonts w:ascii="Arial" w:cs="Arial" w:eastAsia="Arial" w:hAnsi="Arial"/>
          <w:sz w:val="16"/>
          <w:szCs w:val="16"/>
          <w:color w:val="auto"/>
        </w:rPr>
      </w:pPr>
    </w:p>
    <w:p>
      <w:pPr>
        <w:ind w:left="1300" w:right="200" w:hanging="320"/>
        <w:spacing w:after="0" w:line="263"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43"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5" w:lineRule="exact"/>
        <w:rPr>
          <w:rFonts w:ascii="Arial" w:cs="Arial" w:eastAsia="Arial" w:hAnsi="Arial"/>
          <w:sz w:val="17"/>
          <w:szCs w:val="17"/>
          <w:color w:val="auto"/>
        </w:rPr>
      </w:pPr>
    </w:p>
    <w:p>
      <w:pPr>
        <w:ind w:left="1300" w:right="460" w:hanging="320"/>
        <w:spacing w:after="0" w:line="342" w:lineRule="auto"/>
        <w:tabs>
          <w:tab w:leader="none" w:pos="1290" w:val="left"/>
        </w:tabs>
        <w:numPr>
          <w:ilvl w:val="1"/>
          <w:numId w:val="1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300" w:right="140" w:hanging="320"/>
        <w:spacing w:after="0" w:line="277" w:lineRule="auto"/>
        <w:tabs>
          <w:tab w:leader="none" w:pos="13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August 3, 2020</w:t>
      </w:r>
    </w:p>
    <w:p>
      <w:pPr>
        <w:spacing w:after="0" w:line="38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3588385</wp:posOffset>
            </wp:positionH>
            <wp:positionV relativeFrom="paragraph">
              <wp:posOffset>31750</wp:posOffset>
            </wp:positionV>
            <wp:extent cx="353187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531870" cy="8890"/>
                    </a:xfrm>
                    <a:prstGeom prst="rect">
                      <a:avLst/>
                    </a:prstGeom>
                    <a:noFill/>
                  </pic:spPr>
                </pic:pic>
              </a:graphicData>
            </a:graphic>
          </wp:anchor>
        </w:drawing>
      </w:r>
    </w:p>
    <w:p>
      <w:pPr>
        <w:spacing w:after="0" w:line="5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Ira M. Birns</w:t>
      </w:r>
    </w:p>
    <w:p>
      <w:pPr>
        <w:spacing w:after="0" w:line="6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240"/>
          </w:cols>
          <w:pgMar w:left="320" w:top="121" w:right="33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32.1</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and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 Section 906 of the Sarbanes-Oxley Act of 2002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 1350)</w:t>
      </w:r>
    </w:p>
    <w:p>
      <w:pPr>
        <w:spacing w:after="0" w:line="211" w:lineRule="exact"/>
        <w:rPr>
          <w:sz w:val="20"/>
          <w:szCs w:val="20"/>
          <w:color w:val="auto"/>
        </w:rPr>
      </w:pPr>
    </w:p>
    <w:p>
      <w:pPr>
        <w:jc w:val="both"/>
        <w:ind w:right="120" w:firstLine="357"/>
        <w:spacing w:after="0" w:line="263" w:lineRule="auto"/>
        <w:rPr>
          <w:sz w:val="20"/>
          <w:szCs w:val="20"/>
          <w:color w:val="auto"/>
        </w:rPr>
      </w:pPr>
      <w:r>
        <w:rPr>
          <w:rFonts w:ascii="Arial" w:cs="Arial" w:eastAsia="Arial" w:hAnsi="Arial"/>
          <w:sz w:val="18"/>
          <w:szCs w:val="18"/>
          <w:color w:val="auto"/>
        </w:rPr>
        <w:t>We, Michael J. Kasbar, the Chairman, President and Chief Executive Officer of World Fuel Services Corporation (the “Company”), and Ira M. Birns, the Executive Vice President and Chief Financial Officer of the Company, certify for the purposes of Section 1350 of Chapter 63 of Title 18 of the United States Code that, to the best of our knowledge,</w:t>
      </w:r>
    </w:p>
    <w:p>
      <w:pPr>
        <w:spacing w:after="0" w:line="359" w:lineRule="exact"/>
        <w:rPr>
          <w:sz w:val="20"/>
          <w:szCs w:val="20"/>
          <w:color w:val="auto"/>
        </w:rPr>
      </w:pPr>
    </w:p>
    <w:p>
      <w:pPr>
        <w:ind w:left="660" w:right="320" w:hanging="328"/>
        <w:spacing w:after="0" w:line="277" w:lineRule="auto"/>
        <w:tabs>
          <w:tab w:leader="none" w:pos="647"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period ended June 30, 2020 (the “Report”) fully complies with the requirements of Section 13(a) or 15(d), as applicable, of the Securities Exchange Act of 1934; and</w:t>
      </w:r>
    </w:p>
    <w:p>
      <w:pPr>
        <w:spacing w:after="0" w:line="143"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18"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August 3, 2020</w:t>
      </w:r>
    </w:p>
    <w:p>
      <w:pPr>
        <w:spacing w:after="0" w:line="38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31750</wp:posOffset>
            </wp:positionV>
            <wp:extent cx="354012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3540125" cy="8255"/>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Michael J. Kasbar</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Chairman, 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31750</wp:posOffset>
            </wp:positionV>
            <wp:extent cx="354012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540125" cy="8890"/>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Ira M. Birns</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Executive Vice President and Chief Financial Officer</w:t>
      </w:r>
    </w:p>
    <w:p>
      <w:pPr>
        <w:spacing w:after="0" w:line="200" w:lineRule="exact"/>
        <w:rPr>
          <w:sz w:val="20"/>
          <w:szCs w:val="20"/>
          <w:color w:val="auto"/>
        </w:rPr>
      </w:pPr>
    </w:p>
    <w:p>
      <w:pPr>
        <w:spacing w:after="0" w:line="376" w:lineRule="exact"/>
        <w:rPr>
          <w:sz w:val="20"/>
          <w:szCs w:val="20"/>
          <w:color w:val="auto"/>
        </w:rPr>
      </w:pPr>
    </w:p>
    <w:p>
      <w:pPr>
        <w:jc w:val="both"/>
        <w:ind w:right="40"/>
        <w:spacing w:after="0" w:line="259" w:lineRule="auto"/>
        <w:rPr>
          <w:sz w:val="20"/>
          <w:szCs w:val="20"/>
          <w:color w:val="auto"/>
        </w:rPr>
      </w:pPr>
      <w:r>
        <w:rPr>
          <w:rFonts w:ascii="Arial" w:cs="Arial" w:eastAsia="Arial" w:hAnsi="Arial"/>
          <w:sz w:val="18"/>
          <w:szCs w:val="18"/>
          <w:color w:val="auto"/>
        </w:rPr>
        <w:t>The foregoing certification is being furnished as an exhibit to the Report pursuant to Item 601(b)(32) of Regulation S-K and Section 906 of the Sarbanes-Oxley Act of 2002 and, accordingly, is not being filed with the Securities and Exchange Commission as part of the Report and is not to be incorporated by reference into any filing of the Company under the Securities Act of 1933 or the Securities Exchange Act of 1934 (whether made before or after the date of the Report,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187325</wp:posOffset>
            </wp:positionV>
            <wp:extent cx="692658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6926580" cy="17145"/>
                    </a:xfrm>
                    <a:prstGeom prst="rect">
                      <a:avLst/>
                    </a:prstGeom>
                    <a:noFill/>
                  </pic:spPr>
                </pic:pic>
              </a:graphicData>
            </a:graphic>
          </wp:anchor>
        </w:drawing>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45E146"/>
    <w:multiLevelType w:val="hybridMultilevel"/>
    <w:lvl w:ilvl="0">
      <w:lvlJc w:val="left"/>
      <w:lvlText w:val="☒"/>
      <w:numFmt w:val="bullet"/>
      <w:start w:val="1"/>
    </w:lvl>
  </w:abstractNum>
  <w:abstractNum w:abstractNumId="1">
    <w:nsid w:val="515F007C"/>
    <w:multiLevelType w:val="hybridMultilevel"/>
    <w:lvl w:ilvl="0">
      <w:lvlJc w:val="left"/>
      <w:lvlText w:val="☐"/>
      <w:numFmt w:val="bullet"/>
      <w:start w:val="1"/>
    </w:lvl>
  </w:abstractNum>
  <w:abstractNum w:abstractNumId="2">
    <w:nsid w:val="5BD062C2"/>
    <w:multiLevelType w:val="hybridMultilevel"/>
    <w:lvl w:ilvl="0">
      <w:lvlJc w:val="left"/>
      <w:lvlText w:val="%1."/>
      <w:numFmt w:val="decimal"/>
      <w:start w:val="1"/>
    </w:lvl>
  </w:abstractNum>
  <w:abstractNum w:abstractNumId="3">
    <w:nsid w:val="12200854"/>
    <w:multiLevelType w:val="hybridMultilevel"/>
    <w:lvl w:ilvl="0">
      <w:lvlJc w:val="left"/>
      <w:lvlText w:val="%1."/>
      <w:numFmt w:val="decimal"/>
      <w:start w:val="1"/>
    </w:lvl>
  </w:abstractNum>
  <w:abstractNum w:abstractNumId="4">
    <w:nsid w:val="4DB127F8"/>
    <w:multiLevelType w:val="hybridMultilevel"/>
    <w:lvl w:ilvl="0">
      <w:lvlJc w:val="left"/>
      <w:lvlText w:val="(%1)"/>
      <w:numFmt w:val="decimal"/>
      <w:start w:val="1"/>
    </w:lvl>
  </w:abstractNum>
  <w:abstractNum w:abstractNumId="5">
    <w:nsid w:val="216231B"/>
    <w:multiLevelType w:val="hybridMultilevel"/>
    <w:lvl w:ilvl="0">
      <w:lvlJc w:val="left"/>
      <w:lvlText w:val="(%1)"/>
      <w:numFmt w:val="decimal"/>
      <w:start w:val="1"/>
    </w:lvl>
  </w:abstractNum>
  <w:abstractNum w:abstractNumId="6">
    <w:nsid w:val="1F16E9E8"/>
    <w:multiLevelType w:val="hybridMultilevel"/>
    <w:lvl w:ilvl="0">
      <w:lvlJc w:val="left"/>
      <w:lvlText w:val="%1."/>
      <w:numFmt w:val="decimal"/>
      <w:start w:val="12"/>
    </w:lvl>
  </w:abstractNum>
  <w:abstractNum w:abstractNumId="7">
    <w:nsid w:val="1190CDE7"/>
    <w:multiLevelType w:val="hybridMultilevel"/>
    <w:lvl w:ilvl="0">
      <w:lvlJc w:val="left"/>
      <w:lvlText w:val="•"/>
      <w:numFmt w:val="bullet"/>
      <w:start w:val="1"/>
    </w:lvl>
  </w:abstractNum>
  <w:abstractNum w:abstractNumId="8">
    <w:nsid w:val="66EF438D"/>
    <w:multiLevelType w:val="hybridMultilevel"/>
    <w:lvl w:ilvl="0">
      <w:lvlJc w:val="left"/>
      <w:lvlText w:val="•"/>
      <w:numFmt w:val="bullet"/>
      <w:start w:val="1"/>
    </w:lvl>
  </w:abstractNum>
  <w:abstractNum w:abstractNumId="9">
    <w:nsid w:val="140E0F76"/>
    <w:multiLevelType w:val="hybridMultilevel"/>
    <w:lvl w:ilvl="0">
      <w:lvlJc w:val="left"/>
      <w:lvlText w:val="•"/>
      <w:numFmt w:val="bullet"/>
      <w:start w:val="1"/>
    </w:lvl>
  </w:abstractNum>
  <w:abstractNum w:abstractNumId="10">
    <w:nsid w:val="3352255A"/>
    <w:multiLevelType w:val="hybridMultilevel"/>
    <w:lvl w:ilvl="0">
      <w:lvlJc w:val="left"/>
      <w:lvlText w:val="•"/>
      <w:numFmt w:val="bullet"/>
      <w:start w:val="1"/>
    </w:lvl>
  </w:abstractNum>
  <w:abstractNum w:abstractNumId="11">
    <w:nsid w:val="109CF92E"/>
    <w:multiLevelType w:val="hybridMultilevel"/>
    <w:lvl w:ilvl="0">
      <w:lvlJc w:val="left"/>
      <w:lvlText w:val="(%1)"/>
      <w:numFmt w:val="decimal"/>
      <w:start w:val="1"/>
    </w:lvl>
  </w:abstractNum>
  <w:abstractNum w:abstractNumId="12">
    <w:nsid w:val="DED7263"/>
    <w:multiLevelType w:val="hybridMultilevel"/>
    <w:lvl w:ilvl="0">
      <w:lvlJc w:val="left"/>
      <w:lvlText w:val="%1."/>
      <w:numFmt w:val="decimal"/>
      <w:start w:val="1"/>
    </w:lvl>
    <w:lvl w:ilvl="1">
      <w:lvlJc w:val="left"/>
      <w:lvlText w:val="%2."/>
      <w:numFmt w:val="lowerLetter"/>
      <w:start w:val="1"/>
    </w:lvl>
  </w:abstractNum>
  <w:abstractNum w:abstractNumId="13">
    <w:nsid w:val="7FDCC233"/>
    <w:multiLevelType w:val="hybridMultilevel"/>
    <w:lvl w:ilvl="0">
      <w:lvlJc w:val="left"/>
      <w:lvlText w:val="%1."/>
      <w:numFmt w:val="decimal"/>
      <w:start w:val="1"/>
    </w:lvl>
    <w:lvl w:ilvl="1">
      <w:lvlJc w:val="left"/>
      <w:lvlText w:val="%2."/>
      <w:numFmt w:val="lowerLetter"/>
      <w:start w:val="1"/>
    </w:lvl>
  </w:abstractNum>
  <w:abstractNum w:abstractNumId="14">
    <w:nsid w:val="1BEFD79F"/>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2020-08-03T05:19:34Z</dcterms:created>
  <dcterms:modified xsi:type="dcterms:W3CDTF">2020-08-03T05:19:34Z</dcterms:modified>
</cp:coreProperties>
</file>