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10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8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0" w:lineRule="exact"/>
        <w:rPr>
          <w:sz w:val="24"/>
          <w:szCs w:val="24"/>
          <w:color w:val="auto"/>
        </w:rPr>
      </w:pPr>
    </w:p>
    <w:p>
      <w:pPr>
        <w:spacing w:after="0" w:line="321" w:lineRule="exact"/>
        <w:rPr>
          <w:sz w:val="24"/>
          <w:szCs w:val="24"/>
          <w:color w:val="auto"/>
        </w:rPr>
      </w:pPr>
    </w:p>
    <w:p>
      <w:pPr>
        <w:ind w:left="5400"/>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131" w:lineRule="exact"/>
        <w:rPr>
          <w:sz w:val="24"/>
          <w:szCs w:val="24"/>
          <w:color w:val="auto"/>
        </w:rPr>
      </w:pPr>
    </w:p>
    <w:p>
      <w:pPr>
        <w:ind w:left="3920"/>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2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Date of Report (Date of earliest event reported): </w:t>
      </w:r>
      <w:r>
        <w:rPr>
          <w:rFonts w:ascii="Times New Roman" w:cs="Times New Roman" w:eastAsia="Times New Roman" w:hAnsi="Times New Roman"/>
          <w:sz w:val="19"/>
          <w:szCs w:val="19"/>
          <w:b w:val="1"/>
          <w:bCs w:val="1"/>
          <w:color w:val="auto"/>
        </w:rPr>
        <w:t>April 28, 2022</w:t>
      </w:r>
    </w:p>
    <w:p>
      <w:pPr>
        <w:spacing w:after="0" w:line="3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9"/>
          <w:szCs w:val="39"/>
          <w:b w:val="1"/>
          <w:bCs w:val="1"/>
          <w:color w:val="auto"/>
        </w:rPr>
        <w:t>WORLD FUEL SERVICES CORPORATION</w:t>
      </w:r>
    </w:p>
    <w:p>
      <w:pPr>
        <w:spacing w:after="0" w:line="15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ectPr>
          <w:pgSz w:w="11900" w:h="16838" w:orient="portrait"/>
          <w:cols w:equalWidth="0" w:num="1">
            <w:col w:w="11240"/>
          </w:cols>
          <w:pgMar w:left="320" w:top="1078" w:right="339" w:bottom="1440" w:gutter="0" w:footer="0" w:header="0"/>
        </w:sectPr>
      </w:pPr>
    </w:p>
    <w:p>
      <w:pPr>
        <w:spacing w:after="0" w:line="154" w:lineRule="exact"/>
        <w:rPr>
          <w:sz w:val="24"/>
          <w:szCs w:val="24"/>
          <w:color w:val="auto"/>
        </w:rPr>
      </w:pPr>
    </w:p>
    <w:p>
      <w:pPr>
        <w:ind w:left="1560"/>
        <w:spacing w:after="0"/>
        <w:rPr>
          <w:sz w:val="20"/>
          <w:szCs w:val="20"/>
          <w:color w:val="auto"/>
        </w:rPr>
      </w:pPr>
      <w:r>
        <w:rPr>
          <w:rFonts w:ascii="Times New Roman" w:cs="Times New Roman" w:eastAsia="Times New Roman" w:hAnsi="Times New Roman"/>
          <w:sz w:val="22"/>
          <w:szCs w:val="22"/>
          <w:b w:val="1"/>
          <w:bCs w:val="1"/>
          <w:color w:val="auto"/>
        </w:rPr>
        <w:t>Florida</w:t>
      </w:r>
    </w:p>
    <w:p>
      <w:pPr>
        <w:spacing w:after="0" w:line="20" w:lineRule="exact"/>
        <w:rPr>
          <w:sz w:val="24"/>
          <w:szCs w:val="24"/>
          <w:color w:val="auto"/>
        </w:rPr>
      </w:pPr>
      <w:r>
        <w:rPr>
          <w:sz w:val="24"/>
          <w:szCs w:val="24"/>
          <w:color w:val="auto"/>
        </w:rPr>
        <w:br w:type="column"/>
      </w:r>
    </w:p>
    <w:p>
      <w:pPr>
        <w:spacing w:after="0" w:line="134"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1-9533</w:t>
      </w:r>
    </w:p>
    <w:p>
      <w:pPr>
        <w:spacing w:after="0" w:line="20" w:lineRule="exact"/>
        <w:rPr>
          <w:sz w:val="24"/>
          <w:szCs w:val="24"/>
          <w:color w:val="auto"/>
        </w:rPr>
      </w:pPr>
      <w:r>
        <w:rPr>
          <w:sz w:val="24"/>
          <w:szCs w:val="24"/>
          <w:color w:val="auto"/>
        </w:rPr>
        <w:br w:type="column"/>
      </w:r>
    </w:p>
    <w:p>
      <w:pPr>
        <w:spacing w:after="0" w:line="134"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59-2459427</w:t>
      </w:r>
    </w:p>
    <w:p>
      <w:pPr>
        <w:spacing w:after="0" w:line="44" w:lineRule="exact"/>
        <w:rPr>
          <w:sz w:val="24"/>
          <w:szCs w:val="24"/>
          <w:color w:val="auto"/>
        </w:rPr>
      </w:pPr>
    </w:p>
    <w:p>
      <w:pPr>
        <w:sectPr>
          <w:pgSz w:w="11900" w:h="16838" w:orient="portrait"/>
          <w:cols w:equalWidth="0" w:num="3">
            <w:col w:w="4780" w:space="720"/>
            <w:col w:w="2780" w:space="720"/>
            <w:col w:w="2240"/>
          </w:cols>
          <w:pgMar w:left="320" w:top="1078" w:right="339" w:bottom="1440" w:gutter="0" w:footer="0" w:header="0"/>
          <w:type w:val="continuous"/>
        </w:sectPr>
      </w:pPr>
    </w:p>
    <w:p>
      <w:pPr>
        <w:ind w:left="540"/>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Times New Roman" w:cs="Times New Roman" w:eastAsia="Times New Roman" w:hAnsi="Times New Roman"/>
          <w:sz w:val="14"/>
          <w:szCs w:val="14"/>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p>
      <w:pPr>
        <w:spacing w:after="0" w:line="200" w:lineRule="exact"/>
        <w:rPr>
          <w:sz w:val="24"/>
          <w:szCs w:val="24"/>
          <w:color w:val="auto"/>
        </w:rPr>
      </w:pPr>
    </w:p>
    <w:p>
      <w:pPr>
        <w:sectPr>
          <w:pgSz w:w="11900" w:h="16838" w:orient="portrait"/>
          <w:cols w:equalWidth="0" w:num="3">
            <w:col w:w="4260" w:space="720"/>
            <w:col w:w="2720" w:space="720"/>
            <w:col w:w="2820"/>
          </w:cols>
          <w:pgMar w:left="320" w:top="1078" w:right="339" w:bottom="1440" w:gutter="0" w:footer="0" w:header="0"/>
          <w:type w:val="continuous"/>
        </w:sectPr>
      </w:pPr>
    </w:p>
    <w:p>
      <w:pPr>
        <w:spacing w:after="0" w:line="55" w:lineRule="exact"/>
        <w:rPr>
          <w:sz w:val="24"/>
          <w:szCs w:val="24"/>
          <w:color w:val="auto"/>
        </w:rPr>
      </w:pPr>
    </w:p>
    <w:p>
      <w:pPr>
        <w:ind w:left="380"/>
        <w:spacing w:after="0"/>
        <w:rPr>
          <w:sz w:val="20"/>
          <w:szCs w:val="20"/>
          <w:color w:val="auto"/>
        </w:rPr>
      </w:pPr>
      <w:r>
        <w:rPr>
          <w:rFonts w:ascii="Times New Roman" w:cs="Times New Roman" w:eastAsia="Times New Roman" w:hAnsi="Times New Roman"/>
          <w:sz w:val="21"/>
          <w:szCs w:val="21"/>
          <w:b w:val="1"/>
          <w:bCs w:val="1"/>
          <w:color w:val="auto"/>
        </w:rPr>
        <w:t>9800 N.W. 41st Street,</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Miami,</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Florida</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33178</w:t>
      </w:r>
    </w:p>
    <w:p>
      <w:pPr>
        <w:spacing w:after="0" w:line="98" w:lineRule="exact"/>
        <w:rPr>
          <w:sz w:val="24"/>
          <w:szCs w:val="24"/>
          <w:color w:val="auto"/>
        </w:rPr>
      </w:pPr>
    </w:p>
    <w:p>
      <w:pPr>
        <w:sectPr>
          <w:pgSz w:w="11900" w:h="16838" w:orient="portrait"/>
          <w:cols w:equalWidth="0" w:num="4">
            <w:col w:w="2400" w:space="700"/>
            <w:col w:w="680" w:space="560"/>
            <w:col w:w="2220" w:space="720"/>
            <w:col w:w="3960"/>
          </w:cols>
          <w:pgMar w:left="320" w:top="1078" w:right="339" w:bottom="1440" w:gutter="0" w:footer="0" w:header="0"/>
          <w:type w:val="continuous"/>
        </w:sectPr>
      </w:pPr>
    </w:p>
    <w:p>
      <w:pPr>
        <w:spacing w:after="0" w:line="4"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jc w:val="center"/>
        <w:ind w:right="3300"/>
        <w:spacing w:after="0"/>
        <w:rPr>
          <w:sz w:val="20"/>
          <w:szCs w:val="20"/>
          <w:color w:val="auto"/>
        </w:rPr>
      </w:pPr>
      <w:r>
        <w:rPr>
          <w:rFonts w:ascii="Times New Roman" w:cs="Times New Roman" w:eastAsia="Times New Roman" w:hAnsi="Times New Roman"/>
          <w:sz w:val="16"/>
          <w:szCs w:val="16"/>
          <w:b w:val="1"/>
          <w:bCs w:val="1"/>
          <w:color w:val="auto"/>
        </w:rPr>
        <w:t>(Zip Code)</w:t>
      </w:r>
    </w:p>
    <w:p>
      <w:pPr>
        <w:spacing w:after="0" w:line="200" w:lineRule="exact"/>
        <w:rPr>
          <w:sz w:val="24"/>
          <w:szCs w:val="24"/>
          <w:color w:val="auto"/>
        </w:rPr>
      </w:pPr>
    </w:p>
    <w:p>
      <w:pPr>
        <w:sectPr>
          <w:pgSz w:w="11900" w:h="16838" w:orient="portrait"/>
          <w:cols w:equalWidth="0" w:num="2">
            <w:col w:w="6460" w:space="720"/>
            <w:col w:w="4060"/>
          </w:cols>
          <w:pgMar w:left="320" w:top="1078" w:right="339" w:bottom="1440" w:gutter="0" w:footer="0" w:header="0"/>
          <w:type w:val="continuous"/>
        </w:sectPr>
      </w:pPr>
    </w:p>
    <w:p>
      <w:pPr>
        <w:spacing w:after="0" w:line="15" w:lineRule="exact"/>
        <w:rPr>
          <w:sz w:val="24"/>
          <w:szCs w:val="24"/>
          <w:color w:val="auto"/>
        </w:rPr>
      </w:pPr>
    </w:p>
    <w:p>
      <w:pPr>
        <w:ind w:left="3560"/>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(305) 428-8000</w:t>
      </w:r>
    </w:p>
    <w:p>
      <w:pPr>
        <w:spacing w:after="0" w:line="121"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5"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Written communications pursuant to Rule 425 under Securities Act (17 CFR 230.425)</w:t>
      </w:r>
    </w:p>
    <w:p>
      <w:pPr>
        <w:spacing w:after="0" w:line="124"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Soliciting material pursuant to Rule 14a-12 under the Exchange Act (17 CFR 240.14-12)</w:t>
      </w:r>
    </w:p>
    <w:p>
      <w:pPr>
        <w:spacing w:after="0" w:line="110"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24"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74" w:lineRule="exact"/>
        <w:rPr>
          <w:sz w:val="24"/>
          <w:szCs w:val="24"/>
          <w:color w:val="auto"/>
        </w:rPr>
      </w:pPr>
    </w:p>
    <w:tbl>
      <w:tblPr>
        <w:tblLayout w:type="fixed"/>
        <w:tblInd w:w="1020" w:type="dxa"/>
        <w:tblCellMar>
          <w:top w:w="0" w:type="dxa"/>
          <w:left w:w="0" w:type="dxa"/>
          <w:bottom w:w="0" w:type="dxa"/>
          <w:right w:w="0" w:type="dxa"/>
        </w:tblCellMar>
      </w:tblPr>
      <w:tr>
        <w:trPr>
          <w:trHeight w:val="207"/>
        </w:trPr>
        <w:tc>
          <w:tcPr>
            <w:tcW w:w="860" w:type="dxa"/>
            <w:vAlign w:val="bottom"/>
          </w:tcPr>
          <w:p>
            <w:pPr>
              <w:spacing w:after="0"/>
              <w:rPr>
                <w:sz w:val="18"/>
                <w:szCs w:val="18"/>
                <w:color w:val="auto"/>
              </w:rPr>
            </w:pPr>
          </w:p>
        </w:tc>
        <w:tc>
          <w:tcPr>
            <w:tcW w:w="3440" w:type="dxa"/>
            <w:vAlign w:val="bottom"/>
            <w:gridSpan w:val="2"/>
          </w:tcPr>
          <w:p>
            <w:pPr>
              <w:jc w:val="center"/>
              <w:ind w:right="2140"/>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180" w:type="dxa"/>
            <w:vAlign w:val="bottom"/>
            <w:gridSpan w:val="2"/>
          </w:tcPr>
          <w:p>
            <w:pPr>
              <w:jc w:val="center"/>
              <w:ind w:right="820"/>
              <w:spacing w:after="0"/>
              <w:rPr>
                <w:sz w:val="20"/>
                <w:szCs w:val="20"/>
                <w:color w:val="auto"/>
              </w:rPr>
            </w:pPr>
            <w:r>
              <w:rPr>
                <w:rFonts w:ascii="Times New Roman" w:cs="Times New Roman" w:eastAsia="Times New Roman" w:hAnsi="Times New Roman"/>
                <w:sz w:val="18"/>
                <w:szCs w:val="18"/>
                <w:color w:val="auto"/>
                <w:w w:val="99"/>
              </w:rPr>
              <w:t>Trading Symbol(s)</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0"/>
        </w:trPr>
        <w:tc>
          <w:tcPr>
            <w:tcW w:w="86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r>
      <w:tr>
        <w:trPr>
          <w:trHeight w:val="399"/>
        </w:trPr>
        <w:tc>
          <w:tcPr>
            <w:tcW w:w="4300" w:type="dxa"/>
            <w:vAlign w:val="bottom"/>
            <w:gridSpan w:val="3"/>
          </w:tcPr>
          <w:p>
            <w:pPr>
              <w:jc w:val="center"/>
              <w:ind w:right="1280"/>
              <w:spacing w:after="0"/>
              <w:rPr>
                <w:sz w:val="20"/>
                <w:szCs w:val="20"/>
                <w:color w:val="auto"/>
              </w:rPr>
            </w:pPr>
            <w:r>
              <w:rPr>
                <w:rFonts w:ascii="Times New Roman" w:cs="Times New Roman" w:eastAsia="Times New Roman" w:hAnsi="Times New Roman"/>
                <w:sz w:val="18"/>
                <w:szCs w:val="18"/>
                <w:color w:val="auto"/>
                <w:w w:val="99"/>
              </w:rPr>
              <w:t>Common Stock, par value $0.01 per share</w:t>
            </w:r>
          </w:p>
        </w:tc>
        <w:tc>
          <w:tcPr>
            <w:tcW w:w="2180" w:type="dxa"/>
            <w:vAlign w:val="bottom"/>
            <w:gridSpan w:val="2"/>
          </w:tcPr>
          <w:p>
            <w:pPr>
              <w:jc w:val="center"/>
              <w:ind w:right="800"/>
              <w:spacing w:after="0"/>
              <w:rPr>
                <w:sz w:val="20"/>
                <w:szCs w:val="20"/>
                <w:color w:val="auto"/>
              </w:rPr>
            </w:pPr>
            <w:r>
              <w:rPr>
                <w:rFonts w:ascii="Times New Roman" w:cs="Times New Roman" w:eastAsia="Times New Roman" w:hAnsi="Times New Roman"/>
                <w:sz w:val="18"/>
                <w:szCs w:val="18"/>
                <w:color w:val="auto"/>
                <w:w w:val="99"/>
              </w:rPr>
              <w:t>INT</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New York Stock Exchange</w:t>
            </w:r>
          </w:p>
        </w:tc>
      </w:tr>
    </w:tbl>
    <w:p>
      <w:pPr>
        <w:spacing w:after="0" w:line="171" w:lineRule="exact"/>
        <w:rPr>
          <w:sz w:val="24"/>
          <w:szCs w:val="24"/>
          <w:color w:val="auto"/>
        </w:rPr>
      </w:pPr>
    </w:p>
    <w:p>
      <w:pPr>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71"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601345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78" w:right="3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color w:val="auto"/>
        </w:rPr>
        <w:t>Item 2.02. Results of Operations and Financial Condition</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7.01. Regulation FD Disclosure</w:t>
      </w:r>
    </w:p>
    <w:p>
      <w:pPr>
        <w:spacing w:after="0" w:line="21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information is provided pursuant to Item 7.01 of Form 8-K, “Regulation FD Disclosure” and Item 2.02 of Form 8-K, “Results of Operations and Financial Condition.”</w:t>
      </w:r>
    </w:p>
    <w:p>
      <w:pPr>
        <w:spacing w:after="0" w:line="54" w:lineRule="exact"/>
        <w:rPr>
          <w:sz w:val="20"/>
          <w:szCs w:val="20"/>
          <w:color w:val="auto"/>
        </w:rPr>
      </w:pPr>
    </w:p>
    <w:p>
      <w:pPr>
        <w:ind w:firstLine="51"/>
        <w:spacing w:after="0" w:line="282" w:lineRule="auto"/>
        <w:rPr>
          <w:sz w:val="20"/>
          <w:szCs w:val="20"/>
          <w:color w:val="auto"/>
        </w:rPr>
      </w:pPr>
      <w:r>
        <w:rPr>
          <w:rFonts w:ascii="Times New Roman" w:cs="Times New Roman" w:eastAsia="Times New Roman" w:hAnsi="Times New Roman"/>
          <w:sz w:val="18"/>
          <w:szCs w:val="18"/>
          <w:color w:val="auto"/>
        </w:rPr>
        <w:t>On April 28, 2022, World Fuel Services Corporation (the “Company”) issued a press release reporting its financial results for the first quarter of 2022. A copy of the press release is attached hereto as Exhibit 99.1.</w:t>
      </w:r>
    </w:p>
    <w:p>
      <w:pPr>
        <w:spacing w:after="0" w:line="54" w:lineRule="exact"/>
        <w:rPr>
          <w:sz w:val="20"/>
          <w:szCs w:val="20"/>
          <w:color w:val="auto"/>
        </w:rPr>
      </w:pPr>
    </w:p>
    <w:p>
      <w:pPr>
        <w:jc w:val="both"/>
        <w:ind w:firstLine="50"/>
        <w:spacing w:after="0" w:line="273" w:lineRule="auto"/>
        <w:rPr>
          <w:sz w:val="20"/>
          <w:szCs w:val="20"/>
          <w:color w:val="auto"/>
        </w:rPr>
      </w:pPr>
      <w:r>
        <w:rPr>
          <w:rFonts w:ascii="Times New Roman" w:cs="Times New Roman" w:eastAsia="Times New Roman" w:hAnsi="Times New Roman"/>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except as may be expressly set forth by specific reference in any such filing.</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9.01. Financial Statements and Exhibits</w:t>
      </w:r>
    </w:p>
    <w:p>
      <w:pPr>
        <w:spacing w:after="0" w:line="21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(d) Exhibits</w:t>
      </w:r>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240" w:type="dxa"/>
            <w:vAlign w:val="bottom"/>
          </w:tcPr>
          <w:p>
            <w:pPr>
              <w:spacing w:after="0"/>
              <w:rPr>
                <w:sz w:val="17"/>
                <w:szCs w:val="17"/>
                <w:color w:val="auto"/>
              </w:rPr>
            </w:pPr>
          </w:p>
        </w:tc>
        <w:tc>
          <w:tcPr>
            <w:tcW w:w="8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w w:val="97"/>
              </w:rPr>
              <w:t>Exhibit No.</w:t>
            </w:r>
          </w:p>
        </w:tc>
        <w:tc>
          <w:tcPr>
            <w:tcW w:w="1000" w:type="dxa"/>
            <w:vAlign w:val="bottom"/>
          </w:tcPr>
          <w:p>
            <w:pPr>
              <w:spacing w:after="0"/>
              <w:rPr>
                <w:sz w:val="17"/>
                <w:szCs w:val="17"/>
                <w:color w:val="auto"/>
              </w:rPr>
            </w:pPr>
          </w:p>
        </w:tc>
        <w:tc>
          <w:tcPr>
            <w:tcW w:w="9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w w:val="96"/>
              </w:rPr>
              <w:t>Description</w:t>
            </w:r>
          </w:p>
        </w:tc>
        <w:tc>
          <w:tcPr>
            <w:tcW w:w="6220" w:type="dxa"/>
            <w:vAlign w:val="bottom"/>
          </w:tcPr>
          <w:p>
            <w:pPr>
              <w:spacing w:after="0"/>
              <w:rPr>
                <w:sz w:val="17"/>
                <w:szCs w:val="17"/>
                <w:color w:val="auto"/>
              </w:rPr>
            </w:pPr>
          </w:p>
        </w:tc>
      </w:tr>
      <w:tr>
        <w:trPr>
          <w:trHeight w:val="209"/>
        </w:trPr>
        <w:tc>
          <w:tcPr>
            <w:tcW w:w="2240" w:type="dxa"/>
            <w:vAlign w:val="bottom"/>
          </w:tcPr>
          <w:p>
            <w:pPr>
              <w:spacing w:after="0"/>
              <w:rPr>
                <w:sz w:val="18"/>
                <w:szCs w:val="18"/>
                <w:color w:val="auto"/>
              </w:rPr>
            </w:pPr>
          </w:p>
        </w:tc>
        <w:tc>
          <w:tcPr>
            <w:tcW w:w="3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5"/>
              </w:rPr>
              <w:t>99.</w:t>
            </w:r>
            <w:r>
              <w:rPr>
                <w:rFonts w:ascii="Times New Roman" w:cs="Times New Roman" w:eastAsia="Times New Roman" w:hAnsi="Times New Roman"/>
                <w:sz w:val="18"/>
                <w:szCs w:val="18"/>
                <w:u w:val="single" w:color="auto"/>
                <w:color w:val="0000FF"/>
                <w:w w:val="95"/>
              </w:rPr>
              <w:t>1</w:t>
            </w:r>
          </w:p>
        </w:tc>
        <w:tc>
          <w:tcPr>
            <w:tcW w:w="5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1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Press Release, dated April 28, 2022</w:t>
            </w:r>
          </w:p>
        </w:tc>
      </w:tr>
      <w:tr>
        <w:trPr>
          <w:trHeight w:val="250"/>
        </w:trPr>
        <w:tc>
          <w:tcPr>
            <w:tcW w:w="2560" w:type="dxa"/>
            <w:vAlign w:val="bottom"/>
            <w:gridSpan w:val="2"/>
          </w:tcPr>
          <w:p>
            <w:pPr>
              <w:ind w:left="2240"/>
              <w:spacing w:after="0"/>
              <w:rPr>
                <w:sz w:val="20"/>
                <w:szCs w:val="20"/>
                <w:color w:val="auto"/>
              </w:rPr>
            </w:pPr>
            <w:r>
              <w:rPr>
                <w:rFonts w:ascii="Times New Roman" w:cs="Times New Roman" w:eastAsia="Times New Roman" w:hAnsi="Times New Roman"/>
                <w:sz w:val="18"/>
                <w:szCs w:val="18"/>
                <w:color w:val="auto"/>
              </w:rPr>
              <w:t>104</w:t>
            </w:r>
          </w:p>
        </w:tc>
        <w:tc>
          <w:tcPr>
            <w:tcW w:w="5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71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Cover Page Interactive Data File, formatted in inline XBRL</w:t>
            </w:r>
          </w:p>
        </w:tc>
      </w:tr>
      <w:tr>
        <w:trPr>
          <w:trHeight w:val="1425"/>
        </w:trPr>
        <w:tc>
          <w:tcPr>
            <w:tcW w:w="224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00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62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5"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11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0"/>
        <w:spacing w:after="0"/>
        <w:tabs>
          <w:tab w:leader="none" w:pos="5820" w:val="left"/>
        </w:tabs>
        <w:rPr>
          <w:sz w:val="20"/>
          <w:szCs w:val="20"/>
          <w:color w:val="auto"/>
        </w:rPr>
      </w:pPr>
      <w:r>
        <w:rPr>
          <w:rFonts w:ascii="Times New Roman" w:cs="Times New Roman" w:eastAsia="Times New Roman" w:hAnsi="Times New Roman"/>
          <w:sz w:val="18"/>
          <w:szCs w:val="18"/>
          <w:color w:val="auto"/>
        </w:rPr>
        <w:t>Date: April 28, 2022</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5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3691255</wp:posOffset>
            </wp:positionH>
            <wp:positionV relativeFrom="paragraph">
              <wp:posOffset>17145</wp:posOffset>
            </wp:positionV>
            <wp:extent cx="34290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1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Ira M. Birns</w:t>
      </w:r>
    </w:p>
    <w:p>
      <w:pPr>
        <w:spacing w:after="0" w:line="27"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Executive Vice President and Chief Financial Officer</w:t>
      </w:r>
    </w:p>
    <w:p>
      <w:pPr>
        <w:sectPr>
          <w:pgSz w:w="11900" w:h="16838" w:orient="portrait"/>
          <w:cols w:equalWidth="0" w:num="1">
            <w:col w:w="11240"/>
          </w:cols>
          <w:pgMar w:left="320" w:top="1107"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167640</wp:posOffset>
            </wp:positionV>
            <wp:extent cx="2322830" cy="977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22830" cy="97726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ind w:left="7500"/>
        <w:spacing w:after="0"/>
        <w:rPr>
          <w:sz w:val="20"/>
          <w:szCs w:val="20"/>
          <w:color w:val="auto"/>
        </w:rPr>
      </w:pPr>
      <w:r>
        <w:rPr>
          <w:rFonts w:ascii="Times New Roman" w:cs="Times New Roman" w:eastAsia="Times New Roman" w:hAnsi="Times New Roman"/>
          <w:sz w:val="20"/>
          <w:szCs w:val="20"/>
          <w:u w:val="single" w:color="auto"/>
          <w:color w:val="auto"/>
        </w:rPr>
        <w:t>Contact:</w:t>
      </w:r>
    </w:p>
    <w:p>
      <w:pPr>
        <w:ind w:left="7500"/>
        <w:spacing w:after="0" w:line="211" w:lineRule="auto"/>
        <w:rPr>
          <w:sz w:val="20"/>
          <w:szCs w:val="20"/>
          <w:color w:val="auto"/>
        </w:rPr>
      </w:pPr>
      <w:r>
        <w:rPr>
          <w:rFonts w:ascii="Times New Roman" w:cs="Times New Roman" w:eastAsia="Times New Roman" w:hAnsi="Times New Roman"/>
          <w:sz w:val="20"/>
          <w:szCs w:val="20"/>
          <w:color w:val="auto"/>
        </w:rPr>
        <w:t>Ira M. Birns, Executive Vice President &amp;</w:t>
      </w:r>
    </w:p>
    <w:p>
      <w:pPr>
        <w:ind w:left="7500"/>
        <w:spacing w:after="0"/>
        <w:rPr>
          <w:sz w:val="20"/>
          <w:szCs w:val="20"/>
          <w:color w:val="auto"/>
        </w:rPr>
      </w:pPr>
      <w:r>
        <w:rPr>
          <w:rFonts w:ascii="Times New Roman" w:cs="Times New Roman" w:eastAsia="Times New Roman" w:hAnsi="Times New Roman"/>
          <w:sz w:val="20"/>
          <w:szCs w:val="20"/>
          <w:color w:val="auto"/>
        </w:rPr>
        <w:t>Chief Financial Officer</w:t>
      </w:r>
    </w:p>
    <w:p>
      <w:pPr>
        <w:spacing w:after="0" w:line="121" w:lineRule="exact"/>
        <w:rPr>
          <w:sz w:val="20"/>
          <w:szCs w:val="20"/>
          <w:color w:val="auto"/>
        </w:rPr>
      </w:pPr>
    </w:p>
    <w:p>
      <w:pPr>
        <w:ind w:left="7500"/>
        <w:spacing w:after="0"/>
        <w:rPr>
          <w:sz w:val="20"/>
          <w:szCs w:val="20"/>
          <w:color w:val="auto"/>
        </w:rPr>
      </w:pPr>
      <w:r>
        <w:rPr>
          <w:rFonts w:ascii="Times New Roman" w:cs="Times New Roman" w:eastAsia="Times New Roman" w:hAnsi="Times New Roman"/>
          <w:sz w:val="20"/>
          <w:szCs w:val="20"/>
          <w:color w:val="auto"/>
        </w:rPr>
        <w:t>Glenn Klevitz</w:t>
      </w:r>
    </w:p>
    <w:p>
      <w:pPr>
        <w:ind w:left="7500"/>
        <w:spacing w:after="0" w:line="222" w:lineRule="auto"/>
        <w:rPr>
          <w:sz w:val="20"/>
          <w:szCs w:val="20"/>
          <w:color w:val="auto"/>
        </w:rPr>
      </w:pPr>
      <w:r>
        <w:rPr>
          <w:rFonts w:ascii="Times New Roman" w:cs="Times New Roman" w:eastAsia="Times New Roman" w:hAnsi="Times New Roman"/>
          <w:sz w:val="19"/>
          <w:szCs w:val="19"/>
          <w:color w:val="auto"/>
        </w:rPr>
        <w:t>Vice President, Treasurer &amp; Investor Relations</w:t>
      </w:r>
    </w:p>
    <w:p>
      <w:pPr>
        <w:ind w:left="7500"/>
        <w:spacing w:after="0"/>
        <w:rPr>
          <w:sz w:val="20"/>
          <w:szCs w:val="20"/>
          <w:color w:val="auto"/>
        </w:rPr>
      </w:pPr>
      <w:r>
        <w:rPr>
          <w:rFonts w:ascii="Times New Roman" w:cs="Times New Roman" w:eastAsia="Times New Roman" w:hAnsi="Times New Roman"/>
          <w:sz w:val="20"/>
          <w:szCs w:val="20"/>
          <w:color w:val="auto"/>
        </w:rPr>
        <w:t>305-351-4763</w:t>
      </w:r>
    </w:p>
    <w:p>
      <w:pPr>
        <w:spacing w:after="0" w:line="295"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25"/>
          <w:szCs w:val="25"/>
          <w:b w:val="1"/>
          <w:bCs w:val="1"/>
          <w:color w:val="auto"/>
        </w:rPr>
        <w:t>World Fuel Services Corporation Reports First Quarter 2022 Results</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MIAMI—April 28, 2022 -- World Fuel Services Corporation (NYSE: INT)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First-Quarter 2022 Highlights</w:t>
      </w:r>
    </w:p>
    <w:p>
      <w:pPr>
        <w:spacing w:after="0" w:line="247" w:lineRule="exact"/>
        <w:rPr>
          <w:sz w:val="20"/>
          <w:szCs w:val="20"/>
          <w:color w:val="auto"/>
        </w:rPr>
      </w:pPr>
    </w:p>
    <w:p>
      <w:pPr>
        <w:ind w:left="640" w:hanging="308"/>
        <w:spacing w:after="0"/>
        <w:tabs>
          <w:tab w:leader="none" w:pos="6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Total gross profit of $230.9 million, up 21% year-over-year</w:t>
      </w:r>
    </w:p>
    <w:p>
      <w:pPr>
        <w:spacing w:after="0" w:line="28" w:lineRule="exact"/>
        <w:rPr>
          <w:rFonts w:ascii="Times New Roman" w:cs="Times New Roman" w:eastAsia="Times New Roman" w:hAnsi="Times New Roman"/>
          <w:sz w:val="20"/>
          <w:szCs w:val="20"/>
          <w:color w:val="auto"/>
        </w:rPr>
      </w:pPr>
    </w:p>
    <w:p>
      <w:pPr>
        <w:ind w:left="640" w:hanging="308"/>
        <w:spacing w:after="0"/>
        <w:tabs>
          <w:tab w:leader="none" w:pos="6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GAAP net income of $26.3 million, or $0.41 per diluted share</w:t>
      </w:r>
    </w:p>
    <w:p>
      <w:pPr>
        <w:spacing w:after="0" w:line="13" w:lineRule="exact"/>
        <w:rPr>
          <w:rFonts w:ascii="Times New Roman" w:cs="Times New Roman" w:eastAsia="Times New Roman" w:hAnsi="Times New Roman"/>
          <w:sz w:val="20"/>
          <w:szCs w:val="20"/>
          <w:color w:val="auto"/>
        </w:rPr>
      </w:pPr>
    </w:p>
    <w:p>
      <w:pPr>
        <w:ind w:left="640" w:hanging="308"/>
        <w:spacing w:after="0"/>
        <w:tabs>
          <w:tab w:leader="none" w:pos="6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Adjusted net income of $26.8 million, or $0.42 per diluted share</w:t>
      </w:r>
    </w:p>
    <w:p>
      <w:pPr>
        <w:spacing w:after="0" w:line="6" w:lineRule="exact"/>
        <w:rPr>
          <w:rFonts w:ascii="Times New Roman" w:cs="Times New Roman" w:eastAsia="Times New Roman" w:hAnsi="Times New Roman"/>
          <w:sz w:val="20"/>
          <w:szCs w:val="20"/>
          <w:color w:val="auto"/>
        </w:rPr>
      </w:pPr>
    </w:p>
    <w:p>
      <w:pPr>
        <w:ind w:left="640" w:hanging="308"/>
        <w:spacing w:after="0"/>
        <w:tabs>
          <w:tab w:leader="none" w:pos="6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Adjusted EBITDA of $74.9 million</w:t>
      </w:r>
    </w:p>
    <w:p>
      <w:pPr>
        <w:spacing w:after="0" w:line="2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“Our financial performance this quarter again demonstrates the value of our diversified business model, where challenges in our aviation business were counterbalanced by strong results in our marine and land businesses,” stated Michael J. Kasbar, chairman and chief executive officer. “We remain focused on delivering best in class products and services to our customers worldwide, satisfying their current energy requirements and their growing need for sustainability-related products and services.”</w:t>
      </w:r>
    </w:p>
    <w:p>
      <w:pPr>
        <w:spacing w:after="0" w:line="172"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20"/>
          <w:szCs w:val="20"/>
          <w:color w:val="auto"/>
        </w:rPr>
        <w:t>For the first quarter, our aviation segment generated gross profit of $64.2 million, a decrease of 16% year-over-year, principally attributable to inventory losses driven by unprecedented market dynamics during the quarter and the reduction in our government-related activity in Afghanistan as a result of the military withdrawal which concluded during the third quarter of 2021, partially offset by increased volumes from the continued recovery in demand for air travel. Our marine segment generated gross profit of $47.0 million, an increase of 85% year-over-year, principally related to the impact of the rise in global oil prices and the resulting constrained credit environment. Our land segment generated gross profit of $119.8 million, an increase of 34% year-over-year, principally related to the recent acquisition of Flyers Energy, partially offset by the reduction in our government-related activity in Afghanistan as well as a decline in our natural gas activities relative to the exceptional results during the first quarter of 2021, which benefited from extreme weather conditions.</w:t>
      </w:r>
    </w:p>
    <w:p>
      <w:pPr>
        <w:spacing w:after="0" w:line="19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20"/>
          <w:szCs w:val="20"/>
          <w:color w:val="auto"/>
        </w:rPr>
        <w:t>“The Flyers Energy business delivered very strong results in the first quarter since we closed the transaction contributing to a record level of quarterly gross profit in our Land segment and a strong overall result,” said Ira M. Birns, executive vice president and chief financial officer. “While higher fuel prices have driven increased working capital requirements across the business in the short-term, our balance sheet remains strong and we stand committed to disciplined capital allocation in support of organic growth and strategic opportunities that drive long-term value creation.”</w:t>
      </w:r>
    </w:p>
    <w:p>
      <w:pPr>
        <w:sectPr>
          <w:pgSz w:w="11900" w:h="16838" w:orient="portrait"/>
          <w:cols w:equalWidth="0" w:num="1">
            <w:col w:w="11240"/>
          </w:cols>
          <w:pgMar w:left="320" w:top="1148"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6"/>
          <w:szCs w:val="16"/>
          <w:u w:val="single" w:color="auto"/>
          <w:color w:val="auto"/>
        </w:rPr>
        <w:t>Non-GAAP Financial Measures</w:t>
      </w:r>
    </w:p>
    <w:p>
      <w:pPr>
        <w:spacing w:after="0" w:line="113" w:lineRule="exact"/>
        <w:rPr>
          <w:sz w:val="20"/>
          <w:szCs w:val="20"/>
          <w:color w:val="auto"/>
        </w:rPr>
      </w:pPr>
    </w:p>
    <w:p>
      <w:pPr>
        <w:jc w:val="both"/>
        <w:spacing w:after="0" w:line="263" w:lineRule="auto"/>
        <w:rPr>
          <w:sz w:val="20"/>
          <w:szCs w:val="20"/>
          <w:color w:val="auto"/>
        </w:rPr>
      </w:pPr>
      <w:r>
        <w:rPr>
          <w:rFonts w:ascii="Times New Roman" w:cs="Times New Roman" w:eastAsia="Times New Roman" w:hAnsi="Times New Roman"/>
          <w:sz w:val="16"/>
          <w:szCs w:val="16"/>
          <w:color w:val="auto"/>
        </w:rPr>
        <w:t>This press release contains non-GAAP financial measures (collectively, the “Non-GAAP Measures”), including adjusted net income attributable to World Fuel Services, adjusted diluted earnings per common share, and adjusted earnings before interest, taxes, depreciation and amortization (“EBITDA”). The Non-GAAP Measures exclude acquisition and divestiture related expenses, restructuring costs, impairments, gains or losses on the extinguishment of debt and gains or losses on business dispositions primarily because we do not believe they are reflective of our core operating results. In addition, beginning with the period ending March 31, 2022, the Non-GAAP Measures also exclude integration costs associated with our acquisitions. No changes to the comparable period were made as we did not incur integration costs in 2021.</w:t>
      </w:r>
    </w:p>
    <w:p>
      <w:pPr>
        <w:spacing w:after="0" w:line="72" w:lineRule="exact"/>
        <w:rPr>
          <w:sz w:val="20"/>
          <w:szCs w:val="20"/>
          <w:color w:val="auto"/>
        </w:rPr>
      </w:pPr>
    </w:p>
    <w:p>
      <w:pPr>
        <w:jc w:val="both"/>
        <w:ind w:right="20"/>
        <w:spacing w:after="0" w:line="298" w:lineRule="auto"/>
        <w:rPr>
          <w:sz w:val="20"/>
          <w:szCs w:val="20"/>
          <w:color w:val="auto"/>
        </w:rPr>
      </w:pPr>
      <w:r>
        <w:rPr>
          <w:rFonts w:ascii="Times New Roman" w:cs="Times New Roman" w:eastAsia="Times New Roman" w:hAnsi="Times New Roman"/>
          <w:sz w:val="16"/>
          <w:szCs w:val="16"/>
          <w:color w:val="auto"/>
        </w:rPr>
        <w:t>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43"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6"/>
          <w:szCs w:val="16"/>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Adjusted diluted earnings per common share is computed by dividing adjusted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u w:val="single" w:color="auto"/>
          <w:color w:val="auto"/>
        </w:rPr>
        <w:t>Information Relating to Forward-Looking Statements</w:t>
      </w:r>
    </w:p>
    <w:p>
      <w:pPr>
        <w:spacing w:after="0" w:line="1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6"/>
          <w:szCs w:val="16"/>
          <w:color w:val="auto"/>
        </w:rPr>
        <w:t>This release includes forward-looking statements within the meaning of the Private Securities Litigation Reform Act of 1995, including statements regarding our beliefs and expectations about our ability to capitalize on our sustainability solutions and meet our customers' energy requirements, as well as our view of our balance sheet and capital allocation to support organic growth and strategic opportunities.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successfully implement our growth strategy and integrate acquired businesses and recognize the anticipated benefits, our ability to capitalize on new market opportunities, potential liabilities, limited indemnities and the extent of any insurance coverage, our ability to effectively manage the effects of the COVID-19 pandemic, the extent of the impact of the pandemic on ours and our customers' sales, profitability, operations and supply chains due to actions taken by governments and businesses to contain the virus, customer and counterparty creditworthiness and our ability to collect accounts receivable and settle derivative contracts, sudden changes in the market price of fuel or extremely high or low fuel prices that continue for an extended period of time, the availability of cash and sufficient liquidity to fund our working capital and strategic investment needs, any global economic impacts or other significant volatility that may arise from geopolitical events, wars and other civil unrest, adverse conditions in the markets or industries in which we or our customers and suppliers operate, such as the current global economic environment as a result of the coronavirus pandemic, our ability to manage the changes in supply and other market dynamics in the regions where we operate, our failure to comply with restrictions and covenants in our senior revolving credit facility and our senior term loans, including our financial covenants, our ability to successfully execute and achieve efficiencies, our ability to achieve the expected level of benefit from any restructuring activities and cost reduction initiatives, inflationary pressures and its impact on our customers or the global economy, unanticipated tax liabilities or adverse results of tax audits, assessments, or disputes, our ability to capitalize on new market opportunities, risks related to the complexity of the U.S. and foreign tax legislation and any subsequently issued regulations and our ability to accurately predict the impact on our effective tax rate and future earnings, our ability to effectively leverage technology and operating systems and realize the anticipated benefits, potential liabilities and the extent of any insurance coverage, actions that may be taken under the current administration in the U.S. that increase costs or otherwise negatively impact ours or our customers and suppliers businesses, the outcome of pending litigation and other proceedings, the impact of quarterly fluctuations in results, particularly as a result of seasonality,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uninsured losses, the impact of climate change and natural disasters, adverse results in legal disputes, and other risks detailed from time to time in our SEC filings. In addition, other current or potential risks and uncertainties related to the coronavirus pandemic include, but are not limited to: notices from customers, suppliers and other third parties asserting force majeure or other bases for their non-performance, losses on hedging transactions with customers arising from the volatility in fuel prices, heightened risk of cybersecurity issues as digital technologies may become more vulnerable and experience a higher rate of cyber-attacks in a remote connectivity environment, reduction of our global workforce to adjust to market conditions, including increased costs associated with severance payments, retention issues, and an inability to hire employees when market conditions improve, the impact of asset impairments, including any impairment of the carrying value of our goodwill in our aviation and land segments, as well as other accounting charges if expected future demand for our products and services materially decreases, a structural shift in the global economy and its demand for fuel and related products and services as a result of changes in the way people work, travel and interact, or in connection with a global recession.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ectPr>
          <w:pgSz w:w="11900" w:h="16838" w:orient="portrait"/>
          <w:cols w:equalWidth="0" w:num="1">
            <w:col w:w="11240"/>
          </w:cols>
          <w:pgMar w:left="320" w:top="1368"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6"/>
          <w:szCs w:val="16"/>
          <w:u w:val="single" w:color="auto"/>
          <w:color w:val="auto"/>
        </w:rPr>
        <w:t>About World Fuel Services Corporation</w:t>
      </w:r>
    </w:p>
    <w:p>
      <w:pPr>
        <w:spacing w:after="0" w:line="100"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16"/>
          <w:szCs w:val="16"/>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also offers natural gas and electricity, as well as energy advisory services, including programs for sustainability solutions and renewable energy alternatives. World Fuel Services sells fuel and delivers services to its clients at more than 8,000 locations in more than 200 countries and territories worldwide.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 xml:space="preserve">For more information, visit </w:t>
      </w:r>
      <w:r>
        <w:rPr>
          <w:rFonts w:ascii="Times New Roman" w:cs="Times New Roman" w:eastAsia="Times New Roman" w:hAnsi="Times New Roman"/>
          <w:sz w:val="16"/>
          <w:szCs w:val="16"/>
          <w:u w:val="single" w:color="auto"/>
          <w:color w:val="auto"/>
        </w:rPr>
        <w:t>www.wfscorp.com</w:t>
      </w:r>
      <w:r>
        <w:rPr>
          <w:rFonts w:ascii="Times New Roman" w:cs="Times New Roman" w:eastAsia="Times New Roman" w:hAnsi="Times New Roman"/>
          <w:sz w:val="16"/>
          <w:szCs w:val="16"/>
          <w:color w:val="auto"/>
        </w:rPr>
        <w:t>.</w:t>
      </w:r>
    </w:p>
    <w:p>
      <w:pPr>
        <w:spacing w:after="0" w:line="19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4"/>
          <w:szCs w:val="14"/>
          <w:color w:val="auto"/>
        </w:rPr>
        <w:t>-- Some amounts in this press release may not add due to rounding. All percentages have been calculated using unrounded amounts --</w:t>
      </w:r>
    </w:p>
    <w:p>
      <w:pPr>
        <w:sectPr>
          <w:pgSz w:w="11900" w:h="16838" w:orient="portrait"/>
          <w:cols w:equalWidth="0" w:num="1">
            <w:col w:w="11220"/>
          </w:cols>
          <w:pgMar w:left="320" w:top="1368" w:right="35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WORLD FUEL SERVICES CORPORATION</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(Unaudited - In millions, except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84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 2022</w:t>
            </w:r>
          </w:p>
        </w:tc>
        <w:tc>
          <w:tcPr>
            <w:tcW w:w="200" w:type="dxa"/>
            <w:vAlign w:val="bottom"/>
          </w:tcPr>
          <w:p>
            <w:pPr>
              <w:spacing w:after="0"/>
              <w:rPr>
                <w:sz w:val="20"/>
                <w:szCs w:val="20"/>
                <w:color w:val="auto"/>
              </w:rPr>
            </w:pPr>
          </w:p>
        </w:tc>
        <w:tc>
          <w:tcPr>
            <w:tcW w:w="1780" w:type="dxa"/>
            <w:vAlign w:val="bottom"/>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December 31, 2021</w:t>
            </w:r>
          </w:p>
        </w:tc>
      </w:tr>
      <w:tr>
        <w:trPr>
          <w:trHeight w:val="223"/>
        </w:trPr>
        <w:tc>
          <w:tcPr>
            <w:tcW w:w="71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Assets:</w:t>
            </w:r>
          </w:p>
        </w:tc>
        <w:tc>
          <w:tcPr>
            <w:tcW w:w="260" w:type="dxa"/>
            <w:vAlign w:val="bottom"/>
            <w:tcBorders>
              <w:top w:val="single" w:sz="8" w:color="auto"/>
            </w:tcBorders>
            <w:shd w:val="clear" w:color="auto" w:fill="CCEEFF"/>
          </w:tcPr>
          <w:p>
            <w:pPr>
              <w:spacing w:after="0"/>
              <w:rPr>
                <w:sz w:val="19"/>
                <w:szCs w:val="19"/>
                <w:color w:val="auto"/>
              </w:rPr>
            </w:pPr>
          </w:p>
        </w:tc>
        <w:tc>
          <w:tcPr>
            <w:tcW w:w="17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780" w:type="dxa"/>
            <w:vAlign w:val="bottom"/>
            <w:tcBorders>
              <w:top w:val="single" w:sz="8" w:color="auto"/>
            </w:tcBorders>
            <w:shd w:val="clear" w:color="auto" w:fill="CCEEFF"/>
          </w:tcPr>
          <w:p>
            <w:pPr>
              <w:spacing w:after="0"/>
              <w:rPr>
                <w:sz w:val="19"/>
                <w:szCs w:val="19"/>
                <w:color w:val="auto"/>
              </w:rPr>
            </w:pPr>
          </w:p>
        </w:tc>
      </w:tr>
      <w:tr>
        <w:trPr>
          <w:trHeight w:val="22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assets:</w:t>
            </w:r>
          </w:p>
        </w:tc>
        <w:tc>
          <w:tcPr>
            <w:tcW w:w="26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266.2</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652.2</w:t>
            </w:r>
          </w:p>
        </w:tc>
      </w:tr>
      <w:tr>
        <w:trPr>
          <w:trHeight w:val="175"/>
        </w:trPr>
        <w:tc>
          <w:tcPr>
            <w:tcW w:w="7160" w:type="dxa"/>
            <w:vAlign w:val="bottom"/>
          </w:tcPr>
          <w:p>
            <w:pPr>
              <w:ind w:left="140"/>
              <w:spacing w:after="0" w:line="176" w:lineRule="exact"/>
              <w:rPr>
                <w:sz w:val="20"/>
                <w:szCs w:val="20"/>
                <w:color w:val="auto"/>
              </w:rPr>
            </w:pPr>
            <w:r>
              <w:rPr>
                <w:rFonts w:ascii="Times New Roman" w:cs="Times New Roman" w:eastAsia="Times New Roman" w:hAnsi="Times New Roman"/>
                <w:sz w:val="18"/>
                <w:szCs w:val="18"/>
                <w:color w:val="auto"/>
              </w:rPr>
              <w:t>Accounts receivable, net of allowance for credit losses of $17.2 million and $26.1 million as of</w:t>
            </w:r>
          </w:p>
        </w:tc>
        <w:tc>
          <w:tcPr>
            <w:tcW w:w="26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tcPr>
          <w:p>
            <w:pPr>
              <w:spacing w:after="0"/>
              <w:rPr>
                <w:sz w:val="15"/>
                <w:szCs w:val="15"/>
                <w:color w:val="auto"/>
              </w:rPr>
            </w:pPr>
          </w:p>
        </w:tc>
      </w:tr>
      <w:tr>
        <w:trPr>
          <w:trHeight w:val="243"/>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March 31, 2022 and December 31, 2021, respectively</w:t>
            </w:r>
          </w:p>
        </w:tc>
        <w:tc>
          <w:tcPr>
            <w:tcW w:w="26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3,510.2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2,355.3</w:t>
            </w: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Inventories</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680.5</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477.9</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Prepaid expenses</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59.3</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59.2</w:t>
            </w: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Short-term derivative assets, net</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293.8</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169.2</w:t>
            </w:r>
          </w:p>
        </w:tc>
      </w:tr>
      <w:tr>
        <w:trPr>
          <w:trHeight w:val="229"/>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current assets</w:t>
            </w: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215.3</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305.9</w:t>
            </w:r>
          </w:p>
        </w:tc>
      </w:tr>
      <w:tr>
        <w:trPr>
          <w:trHeight w:val="223"/>
        </w:trPr>
        <w:tc>
          <w:tcPr>
            <w:tcW w:w="7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current assets</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5,025.3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4,019.7</w:t>
            </w:r>
          </w:p>
        </w:tc>
      </w:tr>
      <w:tr>
        <w:trPr>
          <w:trHeight w:val="22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473.9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348.9</w:t>
            </w: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1,244.6</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861.9</w:t>
            </w:r>
          </w:p>
        </w:tc>
      </w:tr>
      <w:tr>
        <w:trPr>
          <w:trHeight w:val="22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Identifiable intangible assets, net</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189.1</w:t>
            </w:r>
          </w:p>
        </w:tc>
      </w:tr>
      <w:tr>
        <w:trPr>
          <w:trHeight w:val="229"/>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non-current assets</w:t>
            </w:r>
          </w:p>
        </w:tc>
        <w:tc>
          <w:tcPr>
            <w:tcW w:w="2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854.7</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522.8</w:t>
            </w:r>
          </w:p>
        </w:tc>
      </w:tr>
      <w:tr>
        <w:trPr>
          <w:trHeight w:val="223"/>
        </w:trPr>
        <w:tc>
          <w:tcPr>
            <w:tcW w:w="71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 assets</w:t>
            </w: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7,968.0</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5,942.4</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r>
      <w:tr>
        <w:trPr>
          <w:trHeight w:val="197"/>
        </w:trPr>
        <w:tc>
          <w:tcPr>
            <w:tcW w:w="7160" w:type="dxa"/>
            <w:vAlign w:val="bottom"/>
            <w:shd w:val="clear" w:color="auto" w:fill="CCEEFF"/>
          </w:tcPr>
          <w:p>
            <w:pPr>
              <w:ind w:left="20"/>
              <w:spacing w:after="0" w:line="196" w:lineRule="exact"/>
              <w:rPr>
                <w:sz w:val="20"/>
                <w:szCs w:val="20"/>
                <w:color w:val="auto"/>
              </w:rPr>
            </w:pPr>
            <w:r>
              <w:rPr>
                <w:rFonts w:ascii="Times New Roman" w:cs="Times New Roman" w:eastAsia="Times New Roman" w:hAnsi="Times New Roman"/>
                <w:sz w:val="18"/>
                <w:szCs w:val="18"/>
                <w:color w:val="auto"/>
              </w:rPr>
              <w:t>Liabilities:</w:t>
            </w:r>
          </w:p>
        </w:tc>
        <w:tc>
          <w:tcPr>
            <w:tcW w:w="26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780" w:type="dxa"/>
            <w:vAlign w:val="bottom"/>
            <w:shd w:val="clear" w:color="auto" w:fill="CCEEFF"/>
          </w:tcPr>
          <w:p>
            <w:pPr>
              <w:spacing w:after="0"/>
              <w:rPr>
                <w:sz w:val="17"/>
                <w:szCs w:val="17"/>
                <w:color w:val="auto"/>
              </w:rPr>
            </w:pPr>
          </w:p>
        </w:tc>
      </w:tr>
      <w:tr>
        <w:trPr>
          <w:trHeight w:val="22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liabilities:</w:t>
            </w:r>
          </w:p>
        </w:tc>
        <w:tc>
          <w:tcPr>
            <w:tcW w:w="26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Current maturities of long-term debt</w:t>
            </w:r>
          </w:p>
        </w:tc>
        <w:tc>
          <w:tcPr>
            <w:tcW w:w="2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Accounts payable</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3,447.5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2,399.6</w:t>
            </w: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Short-term derivative liabilities, net</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317.1</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168.4</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Customer deposits</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205.5</w:t>
            </w: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Accrued expenses and other current liabilities</w:t>
            </w:r>
          </w:p>
        </w:tc>
        <w:tc>
          <w:tcPr>
            <w:tcW w:w="2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398.0</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292.7</w:t>
            </w:r>
          </w:p>
        </w:tc>
      </w:tr>
      <w:tr>
        <w:trPr>
          <w:trHeight w:val="223"/>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4,412.5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3,096.7</w:t>
            </w: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Long-term debt</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869.1</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478.1</w:t>
            </w: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Non-current income tax liabilities, net</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213.9</w:t>
            </w:r>
          </w:p>
        </w:tc>
      </w:tr>
      <w:tr>
        <w:trPr>
          <w:trHeight w:val="229"/>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2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532.5</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236.8</w:t>
            </w:r>
          </w:p>
        </w:tc>
      </w:tr>
      <w:tr>
        <w:trPr>
          <w:trHeight w:val="223"/>
        </w:trPr>
        <w:tc>
          <w:tcPr>
            <w:tcW w:w="716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Total liabilities</w:t>
            </w: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6,022.6</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4,025.6</w:t>
            </w:r>
          </w:p>
        </w:tc>
      </w:tr>
      <w:tr>
        <w:trPr>
          <w:trHeight w:val="209"/>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Equity:</w:t>
            </w:r>
          </w:p>
        </w:tc>
        <w:tc>
          <w:tcPr>
            <w:tcW w:w="26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spacing w:after="0"/>
              <w:rPr>
                <w:sz w:val="18"/>
                <w:szCs w:val="18"/>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World Fuel shareholders' equity:</w:t>
            </w:r>
          </w:p>
        </w:tc>
        <w:tc>
          <w:tcPr>
            <w:tcW w:w="26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Preferred stock, $1.00 par value; 0.1 shares authorized, none issued</w:t>
            </w:r>
          </w:p>
        </w:tc>
        <w:tc>
          <w:tcPr>
            <w:tcW w:w="260" w:type="dxa"/>
            <w:vAlign w:val="bottom"/>
            <w:shd w:val="clear" w:color="auto" w:fill="CCEEFF"/>
          </w:tcPr>
          <w:p>
            <w:pPr>
              <w:spacing w:after="0"/>
              <w:rPr>
                <w:sz w:val="19"/>
                <w:szCs w:val="19"/>
                <w:color w:val="auto"/>
              </w:rPr>
            </w:pPr>
          </w:p>
        </w:tc>
        <w:tc>
          <w:tcPr>
            <w:tcW w:w="1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5"/>
        </w:trPr>
        <w:tc>
          <w:tcPr>
            <w:tcW w:w="7160" w:type="dxa"/>
            <w:vAlign w:val="bottom"/>
          </w:tcPr>
          <w:p>
            <w:pPr>
              <w:ind w:left="140"/>
              <w:spacing w:after="0" w:line="176" w:lineRule="exact"/>
              <w:rPr>
                <w:sz w:val="20"/>
                <w:szCs w:val="20"/>
                <w:color w:val="auto"/>
              </w:rPr>
            </w:pPr>
            <w:r>
              <w:rPr>
                <w:rFonts w:ascii="Times New Roman" w:cs="Times New Roman" w:eastAsia="Times New Roman" w:hAnsi="Times New Roman"/>
                <w:sz w:val="18"/>
                <w:szCs w:val="18"/>
                <w:color w:val="auto"/>
              </w:rPr>
              <w:t>Common stock, $0.01 par value; 100.0 shares authorized, 63.0 and 61.7 issued and outstanding</w:t>
            </w:r>
          </w:p>
        </w:tc>
        <w:tc>
          <w:tcPr>
            <w:tcW w:w="26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tcPr>
          <w:p>
            <w:pPr>
              <w:spacing w:after="0"/>
              <w:rPr>
                <w:sz w:val="15"/>
                <w:szCs w:val="15"/>
                <w:color w:val="auto"/>
              </w:rPr>
            </w:pPr>
          </w:p>
        </w:tc>
      </w:tr>
      <w:tr>
        <w:trPr>
          <w:trHeight w:val="243"/>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as of March 31, 2022 and December 31, 2021, respectively</w:t>
            </w:r>
          </w:p>
        </w:tc>
        <w:tc>
          <w:tcPr>
            <w:tcW w:w="26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Capital in excess of par value</w:t>
            </w:r>
          </w:p>
        </w:tc>
        <w:tc>
          <w:tcPr>
            <w:tcW w:w="26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206.7</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168.1</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Retained earnings</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1,899.4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1,880.6</w:t>
            </w: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2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(165.4)</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(136.7)</w:t>
            </w:r>
          </w:p>
        </w:tc>
      </w:tr>
      <w:tr>
        <w:trPr>
          <w:trHeight w:val="223"/>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World Fuel shareholders' equity</w:t>
            </w: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1,941.4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1,912.7</w:t>
            </w:r>
          </w:p>
        </w:tc>
      </w:tr>
      <w:tr>
        <w:trPr>
          <w:trHeight w:val="229"/>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Noncontrolling interest</w:t>
            </w:r>
          </w:p>
        </w:tc>
        <w:tc>
          <w:tcPr>
            <w:tcW w:w="2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r>
      <w:tr>
        <w:trPr>
          <w:trHeight w:val="223"/>
        </w:trPr>
        <w:tc>
          <w:tcPr>
            <w:tcW w:w="716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Total equity</w:t>
            </w: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1,945.5</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1,916.8</w:t>
            </w:r>
          </w:p>
        </w:tc>
      </w:tr>
      <w:tr>
        <w:trPr>
          <w:trHeight w:val="248"/>
        </w:trPr>
        <w:tc>
          <w:tcPr>
            <w:tcW w:w="71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liabilities and equity</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7,968.0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5,942.4</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78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1359"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WORLD FUEL SERVICES CORPORATION</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INCOME AND COMPREHENSIVE INCOME</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(Unaudited – In millions, except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tcPr>
          <w:p>
            <w:pPr>
              <w:spacing w:after="0"/>
              <w:rPr>
                <w:sz w:val="20"/>
                <w:szCs w:val="20"/>
                <w:color w:val="auto"/>
              </w:rPr>
            </w:pPr>
          </w:p>
        </w:tc>
        <w:tc>
          <w:tcPr>
            <w:tcW w:w="4080" w:type="dxa"/>
            <w:vAlign w:val="bottom"/>
            <w:tcBorders>
              <w:bottom w:val="single" w:sz="8" w:color="auto"/>
            </w:tcBorders>
            <w:gridSpan w:val="5"/>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r>
      <w:tr>
        <w:trPr>
          <w:trHeight w:val="223"/>
        </w:trPr>
        <w:tc>
          <w:tcPr>
            <w:tcW w:w="7160" w:type="dxa"/>
            <w:vAlign w:val="bottom"/>
            <w:tcBorders>
              <w:bottom w:val="single" w:sz="8" w:color="CCEEFF"/>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76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1220" w:type="dxa"/>
            <w:vAlign w:val="bottom"/>
            <w:shd w:val="clear" w:color="auto" w:fill="CCEEFF"/>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12,459.4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5,957.9</w:t>
            </w:r>
          </w:p>
        </w:tc>
      </w:tr>
      <w:tr>
        <w:trPr>
          <w:trHeight w:val="230"/>
        </w:trPr>
        <w:tc>
          <w:tcPr>
            <w:tcW w:w="7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revenue</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12,228.4</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5,766.3</w:t>
            </w: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230.9</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191.6</w:t>
            </w:r>
          </w:p>
        </w:tc>
      </w:tr>
      <w:tr>
        <w:trPr>
          <w:trHeight w:val="21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expenses:</w:t>
            </w:r>
          </w:p>
        </w:tc>
        <w:tc>
          <w:tcPr>
            <w:tcW w:w="1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Compensation and employee benefits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114.9</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92.5</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59.4</w:t>
            </w: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Restructuring charges</w:t>
            </w:r>
          </w:p>
        </w:tc>
        <w:tc>
          <w:tcPr>
            <w:tcW w:w="122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r>
      <w:tr>
        <w:trPr>
          <w:trHeight w:val="223"/>
        </w:trPr>
        <w:tc>
          <w:tcPr>
            <w:tcW w:w="716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2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120" w:type="dxa"/>
            <w:vAlign w:val="bottom"/>
            <w:tcBorders>
              <w:bottom w:val="single" w:sz="8" w:color="CCEEFF"/>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154.0</w:t>
            </w: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from operations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w:t>
            </w:r>
          </w:p>
        </w:tc>
      </w:tr>
      <w:tr>
        <w:trPr>
          <w:trHeight w:val="20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Non-operating income (expenses), net:</w:t>
            </w:r>
          </w:p>
        </w:tc>
        <w:tc>
          <w:tcPr>
            <w:tcW w:w="1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Interest expense and other financing costs, net</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r>
      <w:tr>
        <w:trPr>
          <w:trHeight w:val="229"/>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r>
      <w:tr>
        <w:trPr>
          <w:trHeight w:val="223"/>
        </w:trPr>
        <w:tc>
          <w:tcPr>
            <w:tcW w:w="71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Total non-operating income (expense), net</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32.6</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w:t>
            </w: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w:t>
            </w: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 including noncontrolling interest</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w:t>
            </w: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attributable to noncontrolling interest</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 attributable to World Fuel</w:t>
            </w:r>
          </w:p>
        </w:tc>
        <w:tc>
          <w:tcPr>
            <w:tcW w:w="1220" w:type="dxa"/>
            <w:vAlign w:val="bottom"/>
            <w:tcBorders>
              <w:bottom w:val="single" w:sz="8" w:color="auto"/>
            </w:tcBorders>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75"/>
        </w:trPr>
        <w:tc>
          <w:tcPr>
            <w:tcW w:w="7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520" w:type="dxa"/>
            <w:vAlign w:val="bottom"/>
            <w:shd w:val="clear" w:color="auto" w:fill="CCEEFF"/>
          </w:tcPr>
          <w:p>
            <w:pPr>
              <w:spacing w:after="0"/>
              <w:rPr>
                <w:sz w:val="6"/>
                <w:szCs w:val="6"/>
                <w:color w:val="auto"/>
              </w:rPr>
            </w:pPr>
          </w:p>
        </w:tc>
      </w:tr>
      <w:tr>
        <w:trPr>
          <w:trHeight w:val="22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Basic earnings (loss) per common share</w:t>
            </w:r>
          </w:p>
        </w:tc>
        <w:tc>
          <w:tcPr>
            <w:tcW w:w="1220" w:type="dxa"/>
            <w:vAlign w:val="bottom"/>
            <w:tcBorders>
              <w:bottom w:val="single" w:sz="8" w:color="auto"/>
            </w:tcBorders>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0.42</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0.30</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75"/>
        </w:trPr>
        <w:tc>
          <w:tcPr>
            <w:tcW w:w="7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520" w:type="dxa"/>
            <w:vAlign w:val="bottom"/>
            <w:shd w:val="clear" w:color="auto" w:fill="CCEEFF"/>
          </w:tcPr>
          <w:p>
            <w:pPr>
              <w:spacing w:after="0"/>
              <w:rPr>
                <w:sz w:val="6"/>
                <w:szCs w:val="6"/>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Basic weighted average common shares</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63.4</w:t>
            </w:r>
          </w:p>
        </w:tc>
        <w:tc>
          <w:tcPr>
            <w:tcW w:w="120" w:type="dxa"/>
            <w:vAlign w:val="bottom"/>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63.0</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75"/>
        </w:trPr>
        <w:tc>
          <w:tcPr>
            <w:tcW w:w="7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520" w:type="dxa"/>
            <w:vAlign w:val="bottom"/>
            <w:shd w:val="clear" w:color="auto" w:fill="CCEEFF"/>
          </w:tcPr>
          <w:p>
            <w:pPr>
              <w:spacing w:after="0"/>
              <w:rPr>
                <w:sz w:val="6"/>
                <w:szCs w:val="6"/>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Diluted earnings (loss) per common share</w:t>
            </w:r>
          </w:p>
        </w:tc>
        <w:tc>
          <w:tcPr>
            <w:tcW w:w="1220" w:type="dxa"/>
            <w:vAlign w:val="bottom"/>
            <w:tcBorders>
              <w:bottom w:val="single" w:sz="8" w:color="auto"/>
            </w:tcBorders>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0.30</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75"/>
        </w:trPr>
        <w:tc>
          <w:tcPr>
            <w:tcW w:w="7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520" w:type="dxa"/>
            <w:vAlign w:val="bottom"/>
            <w:shd w:val="clear" w:color="auto" w:fill="CCEEFF"/>
          </w:tcPr>
          <w:p>
            <w:pPr>
              <w:spacing w:after="0"/>
              <w:rPr>
                <w:sz w:val="6"/>
                <w:szCs w:val="6"/>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Diluted weighted average common shares</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63.7</w:t>
            </w:r>
          </w:p>
        </w:tc>
        <w:tc>
          <w:tcPr>
            <w:tcW w:w="120" w:type="dxa"/>
            <w:vAlign w:val="bottom"/>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63.6</w:t>
            </w: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75"/>
        </w:trPr>
        <w:tc>
          <w:tcPr>
            <w:tcW w:w="7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1520" w:type="dxa"/>
            <w:vAlign w:val="bottom"/>
            <w:shd w:val="clear" w:color="auto" w:fill="CCEEFF"/>
          </w:tcPr>
          <w:p>
            <w:pPr>
              <w:spacing w:after="0"/>
              <w:rPr>
                <w:sz w:val="6"/>
                <w:szCs w:val="6"/>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Comprehensive income:</w:t>
            </w:r>
          </w:p>
        </w:tc>
        <w:tc>
          <w:tcPr>
            <w:tcW w:w="1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including noncontrolling interest</w:t>
            </w:r>
          </w:p>
        </w:tc>
        <w:tc>
          <w:tcPr>
            <w:tcW w:w="1220" w:type="dxa"/>
            <w:vAlign w:val="bottom"/>
            <w:tcBorders>
              <w:bottom w:val="single" w:sz="8" w:color="auto"/>
            </w:tcBorders>
            <w:shd w:val="clear" w:color="auto" w:fill="CCEEFF"/>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w:t>
            </w:r>
          </w:p>
        </w:tc>
      </w:tr>
      <w:tr>
        <w:trPr>
          <w:trHeight w:val="21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1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175"/>
        </w:trPr>
        <w:tc>
          <w:tcPr>
            <w:tcW w:w="7160" w:type="dxa"/>
            <w:vAlign w:val="bottom"/>
          </w:tcPr>
          <w:p>
            <w:pPr>
              <w:ind w:left="140"/>
              <w:spacing w:after="0" w:line="176" w:lineRule="exact"/>
              <w:rPr>
                <w:sz w:val="20"/>
                <w:szCs w:val="20"/>
                <w:color w:val="auto"/>
              </w:rPr>
            </w:pPr>
            <w:r>
              <w:rPr>
                <w:rFonts w:ascii="Times New Roman" w:cs="Times New Roman" w:eastAsia="Times New Roman" w:hAnsi="Times New Roman"/>
                <w:sz w:val="18"/>
                <w:szCs w:val="18"/>
                <w:color w:val="auto"/>
              </w:rPr>
              <w:t>Cash flow hedges, net of income tax expense (benefit) of ($7.0) and $5.6 for the three months</w:t>
            </w:r>
          </w:p>
        </w:tc>
        <w:tc>
          <w:tcPr>
            <w:tcW w:w="1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43"/>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ended March 31, 2022 and 2021, respectively</w:t>
            </w:r>
          </w:p>
        </w:tc>
        <w:tc>
          <w:tcPr>
            <w:tcW w:w="1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120" w:type="dxa"/>
            <w:vAlign w:val="bottom"/>
            <w:tcBorders>
              <w:bottom w:val="single" w:sz="8" w:color="CCEEFF"/>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16.4</w:t>
            </w:r>
          </w:p>
        </w:tc>
      </w:tr>
      <w:tr>
        <w:trPr>
          <w:trHeight w:val="223"/>
        </w:trPr>
        <w:tc>
          <w:tcPr>
            <w:tcW w:w="71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Total other comprehensive income (loss)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(28.7)</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w:t>
            </w: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Comprehensive income (loss) including noncontrolling interest</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31.2</w:t>
            </w:r>
          </w:p>
        </w:tc>
      </w:tr>
      <w:tr>
        <w:trPr>
          <w:trHeight w:val="23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noncontrolling interest</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World Fuel</w:t>
            </w:r>
          </w:p>
        </w:tc>
        <w:tc>
          <w:tcPr>
            <w:tcW w:w="1220" w:type="dxa"/>
            <w:vAlign w:val="bottom"/>
            <w:tcBorders>
              <w:bottom w:val="single" w:sz="8" w:color="auto"/>
            </w:tcBorders>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w:t>
            </w:r>
          </w:p>
        </w:tc>
      </w:tr>
      <w:tr>
        <w:trPr>
          <w:trHeight w:val="20"/>
        </w:trPr>
        <w:tc>
          <w:tcPr>
            <w:tcW w:w="716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1359"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WORLD FUEL SERVICES CORPORATION</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 - In millions)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tcPr>
          <w:p>
            <w:pPr>
              <w:spacing w:after="0"/>
              <w:rPr>
                <w:sz w:val="20"/>
                <w:szCs w:val="20"/>
                <w:color w:val="auto"/>
              </w:rPr>
            </w:pPr>
          </w:p>
        </w:tc>
        <w:tc>
          <w:tcPr>
            <w:tcW w:w="4080" w:type="dxa"/>
            <w:vAlign w:val="bottom"/>
            <w:tcBorders>
              <w:bottom w:val="single" w:sz="8" w:color="auto"/>
            </w:tcBorders>
            <w:gridSpan w:val="5"/>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r>
      <w:tr>
        <w:trPr>
          <w:trHeight w:val="223"/>
        </w:trPr>
        <w:tc>
          <w:tcPr>
            <w:tcW w:w="7160" w:type="dxa"/>
            <w:vAlign w:val="bottom"/>
            <w:tcBorders>
              <w:bottom w:val="single" w:sz="8" w:color="CCEEFF"/>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76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09"/>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1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30"/>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Net income (loss) including noncontrolling interest</w:t>
            </w:r>
          </w:p>
        </w:tc>
        <w:tc>
          <w:tcPr>
            <w:tcW w:w="1220" w:type="dxa"/>
            <w:vAlign w:val="bottom"/>
            <w:tcBorders>
              <w:bottom w:val="single" w:sz="8" w:color="auto"/>
            </w:tcBorders>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18.8</w:t>
            </w:r>
          </w:p>
        </w:tc>
      </w:tr>
      <w:tr>
        <w:trPr>
          <w:trHeight w:val="155"/>
        </w:trPr>
        <w:tc>
          <w:tcPr>
            <w:tcW w:w="7160" w:type="dxa"/>
            <w:vAlign w:val="bottom"/>
            <w:shd w:val="clear" w:color="auto" w:fill="CCEEFF"/>
          </w:tcPr>
          <w:p>
            <w:pPr>
              <w:ind w:left="140"/>
              <w:spacing w:after="0" w:line="156" w:lineRule="exact"/>
              <w:rPr>
                <w:sz w:val="20"/>
                <w:szCs w:val="20"/>
                <w:color w:val="auto"/>
              </w:rPr>
            </w:pPr>
            <w:r>
              <w:rPr>
                <w:rFonts w:ascii="Times New Roman" w:cs="Times New Roman" w:eastAsia="Times New Roman" w:hAnsi="Times New Roman"/>
                <w:sz w:val="18"/>
                <w:szCs w:val="18"/>
                <w:color w:val="auto"/>
              </w:rPr>
              <w:t>Adjustments to reconcile net income including noncontrolling interest to net cash provided by</w:t>
            </w:r>
          </w:p>
        </w:tc>
        <w:tc>
          <w:tcPr>
            <w:tcW w:w="122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1520" w:type="dxa"/>
            <w:vAlign w:val="bottom"/>
            <w:shd w:val="clear" w:color="auto" w:fill="CCEEFF"/>
          </w:tcPr>
          <w:p>
            <w:pPr>
              <w:spacing w:after="0"/>
              <w:rPr>
                <w:sz w:val="13"/>
                <w:szCs w:val="13"/>
                <w:color w:val="auto"/>
              </w:rPr>
            </w:pPr>
          </w:p>
        </w:tc>
      </w:tr>
      <w:tr>
        <w:trPr>
          <w:trHeight w:val="243"/>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operating activities:</w:t>
            </w:r>
          </w:p>
        </w:tc>
        <w:tc>
          <w:tcPr>
            <w:tcW w:w="12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46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r>
      <w:tr>
        <w:trPr>
          <w:trHeight w:val="229"/>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w:t>
            </w:r>
          </w:p>
        </w:tc>
      </w:tr>
      <w:tr>
        <w:trPr>
          <w:trHeight w:val="230"/>
        </w:trPr>
        <w:tc>
          <w:tcPr>
            <w:tcW w:w="7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Provision for credit losses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w:t>
            </w:r>
          </w:p>
        </w:tc>
      </w:tr>
      <w:tr>
        <w:trPr>
          <w:trHeight w:val="229"/>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Share-based payment award compensation costs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r>
      <w:tr>
        <w:trPr>
          <w:trHeight w:val="229"/>
        </w:trPr>
        <w:tc>
          <w:tcPr>
            <w:tcW w:w="7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Deferred income tax expense (benefit)</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r>
      <w:tr>
        <w:trPr>
          <w:trHeight w:val="230"/>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Foreign currency (gains) losses, net</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w:t>
            </w:r>
          </w:p>
        </w:tc>
      </w:tr>
      <w:tr>
        <w:trPr>
          <w:trHeight w:val="229"/>
        </w:trPr>
        <w:tc>
          <w:tcPr>
            <w:tcW w:w="7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w:t>
            </w:r>
          </w:p>
        </w:tc>
      </w:tr>
      <w:tr>
        <w:trPr>
          <w:trHeight w:val="229"/>
        </w:trPr>
        <w:tc>
          <w:tcPr>
            <w:tcW w:w="7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Changes in assets and liabilities, net of acquisitions and divestitures:</w:t>
            </w:r>
          </w:p>
        </w:tc>
        <w:tc>
          <w:tcPr>
            <w:tcW w:w="1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30"/>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Accounts receivable, net</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(438.8)</w:t>
            </w:r>
          </w:p>
        </w:tc>
      </w:tr>
      <w:tr>
        <w:trPr>
          <w:trHeight w:val="229"/>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(140.6)</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r>
      <w:tr>
        <w:trPr>
          <w:trHeight w:val="230"/>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Prepaid expenses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w:t>
            </w:r>
          </w:p>
        </w:tc>
      </w:tr>
      <w:tr>
        <w:trPr>
          <w:trHeight w:val="229"/>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Short-term derivative assets, net</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(210.6)</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77.3</w:t>
            </w:r>
          </w:p>
        </w:tc>
      </w:tr>
      <w:tr>
        <w:trPr>
          <w:trHeight w:val="229"/>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current assets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69.3</w:t>
            </w:r>
          </w:p>
        </w:tc>
      </w:tr>
      <w:tr>
        <w:trPr>
          <w:trHeight w:val="230"/>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Cash collateral with counterparties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r>
      <w:tr>
        <w:trPr>
          <w:trHeight w:val="229"/>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non-current assets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(108.9)</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30"/>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996.7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394.3</w:t>
            </w:r>
          </w:p>
        </w:tc>
      </w:tr>
      <w:tr>
        <w:trPr>
          <w:trHeight w:val="230"/>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Customer deposits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w:t>
            </w:r>
          </w:p>
        </w:tc>
      </w:tr>
      <w:tr>
        <w:trPr>
          <w:trHeight w:val="230"/>
        </w:trPr>
        <w:tc>
          <w:tcPr>
            <w:tcW w:w="71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Accrued expenses and other current liabilities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w:t>
            </w:r>
          </w:p>
        </w:tc>
      </w:tr>
      <w:tr>
        <w:trPr>
          <w:trHeight w:val="229"/>
        </w:trPr>
        <w:tc>
          <w:tcPr>
            <w:tcW w:w="71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Non-current income tax, net and other long-term liabilities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86.6</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23"/>
        </w:trPr>
        <w:tc>
          <w:tcPr>
            <w:tcW w:w="7160" w:type="dxa"/>
            <w:vAlign w:val="bottom"/>
            <w:tcBorders>
              <w:bottom w:val="single" w:sz="8" w:color="CCEEFF"/>
            </w:tcBorders>
          </w:tcPr>
          <w:p>
            <w:pPr>
              <w:ind w:left="440"/>
              <w:spacing w:after="0"/>
              <w:rPr>
                <w:sz w:val="20"/>
                <w:szCs w:val="20"/>
                <w:color w:val="auto"/>
              </w:rPr>
            </w:pPr>
            <w:r>
              <w:rPr>
                <w:rFonts w:ascii="Times New Roman" w:cs="Times New Roman" w:eastAsia="Times New Roman" w:hAnsi="Times New Roman"/>
                <w:sz w:val="18"/>
                <w:szCs w:val="18"/>
                <w:color w:val="auto"/>
              </w:rPr>
              <w:t>Total adjustments</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(98.3)</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84.6</w:t>
            </w:r>
          </w:p>
        </w:tc>
      </w:tr>
      <w:tr>
        <w:trPr>
          <w:trHeight w:val="223"/>
        </w:trPr>
        <w:tc>
          <w:tcPr>
            <w:tcW w:w="71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(72.0)</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103.4</w:t>
            </w:r>
          </w:p>
        </w:tc>
      </w:tr>
      <w:tr>
        <w:trPr>
          <w:trHeight w:val="209"/>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1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Acquisition of business, net of cash acquired</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(639.4)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Capital expenditures</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Other investing activities, net</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(0.6)</w:t>
            </w:r>
          </w:p>
        </w:tc>
      </w:tr>
      <w:tr>
        <w:trPr>
          <w:trHeight w:val="223"/>
        </w:trPr>
        <w:tc>
          <w:tcPr>
            <w:tcW w:w="716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Net cash provided by (used in) investing activities</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(657.3)</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210"/>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1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Borrowings of debt</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1,745.8</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Repayments of debt</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(1,369.7)</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w:t>
            </w: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Dividends paid on common stock</w:t>
            </w:r>
          </w:p>
        </w:tc>
        <w:tc>
          <w:tcPr>
            <w:tcW w:w="1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w:t>
            </w: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financing activities, net</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w:t>
            </w:r>
          </w:p>
        </w:tc>
      </w:tr>
      <w:tr>
        <w:trPr>
          <w:trHeight w:val="223"/>
        </w:trPr>
        <w:tc>
          <w:tcPr>
            <w:tcW w:w="71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Net cash provided by (used in) financing activities</w:t>
            </w:r>
          </w:p>
        </w:tc>
        <w:tc>
          <w:tcPr>
            <w:tcW w:w="1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343.7</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w:t>
            </w:r>
          </w:p>
        </w:tc>
      </w:tr>
      <w:tr>
        <w:trPr>
          <w:trHeight w:val="223"/>
        </w:trPr>
        <w:tc>
          <w:tcPr>
            <w:tcW w:w="7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Effect of exchange rate changes on cash and cash equivalents</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w:t>
            </w: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increase (decrease) in cash and cash equivalents</w:t>
            </w:r>
          </w:p>
        </w:tc>
        <w:tc>
          <w:tcPr>
            <w:tcW w:w="1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(386.0)</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76.5</w:t>
            </w:r>
          </w:p>
        </w:tc>
      </w:tr>
      <w:tr>
        <w:trPr>
          <w:trHeight w:val="229"/>
        </w:trPr>
        <w:tc>
          <w:tcPr>
            <w:tcW w:w="7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Cash and cash equivalents, as of the beginning of the period</w:t>
            </w:r>
          </w:p>
        </w:tc>
        <w:tc>
          <w:tcPr>
            <w:tcW w:w="1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652.2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658.8</w:t>
            </w:r>
          </w:p>
        </w:tc>
      </w:tr>
      <w:tr>
        <w:trPr>
          <w:trHeight w:val="248"/>
        </w:trPr>
        <w:tc>
          <w:tcPr>
            <w:tcW w:w="71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Cash and cash equivalents, as of the end of the period</w:t>
            </w:r>
          </w:p>
        </w:tc>
        <w:tc>
          <w:tcPr>
            <w:tcW w:w="1220" w:type="dxa"/>
            <w:vAlign w:val="bottom"/>
            <w:tcBorders>
              <w:bottom w:val="single" w:sz="8" w:color="auto"/>
            </w:tcBorders>
            <w:shd w:val="clear" w:color="auto" w:fill="CCEEFF"/>
          </w:tcPr>
          <w:p>
            <w:pPr>
              <w:jc w:val="right"/>
              <w:ind w:right="101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266.2</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735.3</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1359" w:right="339" w:bottom="1440" w:gutter="0" w:footer="0" w:header="0"/>
        </w:sectPr>
      </w:pPr>
    </w:p>
    <w:bookmarkStart w:id="9" w:name="page10"/>
    <w:bookmarkEnd w:id="9"/>
    <w:p>
      <w:pPr>
        <w:ind w:left="4480"/>
        <w:spacing w:after="0"/>
        <w:rPr>
          <w:sz w:val="20"/>
          <w:szCs w:val="20"/>
          <w:color w:val="auto"/>
        </w:rPr>
      </w:pPr>
      <w:r>
        <w:rPr>
          <w:rFonts w:ascii="Times New Roman" w:cs="Times New Roman" w:eastAsia="Times New Roman" w:hAnsi="Times New Roman"/>
          <w:sz w:val="18"/>
          <w:szCs w:val="18"/>
          <w:b w:val="1"/>
          <w:bCs w:val="1"/>
          <w:color w:val="auto"/>
        </w:rPr>
        <w:t>WORLD FUEL SERVICES CORPORATION</w:t>
      </w:r>
    </w:p>
    <w:p>
      <w:pPr>
        <w:spacing w:after="0" w:line="31"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18"/>
          <w:szCs w:val="18"/>
          <w:b w:val="1"/>
          <w:bCs w:val="1"/>
          <w:color w:val="auto"/>
        </w:rPr>
        <w:t>RECONCILIATION OF GAAP TO NON-GAAP FINANCIAL MEASURES</w:t>
      </w:r>
    </w:p>
    <w:p>
      <w:pPr>
        <w:spacing w:after="0" w:line="9"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18"/>
          <w:szCs w:val="18"/>
          <w:color w:val="auto"/>
        </w:rPr>
        <w:t>(Unaudited - In millions, except per share data)</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Non-GAAP financial measures and reconciliation:</w:t>
            </w:r>
          </w:p>
        </w:tc>
        <w:tc>
          <w:tcPr>
            <w:tcW w:w="300" w:type="dxa"/>
            <w:vAlign w:val="bottom"/>
            <w:tcBorders>
              <w:bottom w:val="single" w:sz="8" w:color="auto"/>
            </w:tcBorders>
          </w:tcPr>
          <w:p>
            <w:pPr>
              <w:spacing w:after="0"/>
              <w:rPr>
                <w:sz w:val="20"/>
                <w:szCs w:val="20"/>
                <w:color w:val="auto"/>
              </w:rPr>
            </w:pPr>
          </w:p>
        </w:tc>
        <w:tc>
          <w:tcPr>
            <w:tcW w:w="3780" w:type="dxa"/>
            <w:vAlign w:val="bottom"/>
            <w:tcBorders>
              <w:bottom w:val="single" w:sz="8" w:color="auto"/>
            </w:tcBorders>
            <w:gridSpan w:val="4"/>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c>
          <w:tcPr>
            <w:tcW w:w="0" w:type="dxa"/>
            <w:vAlign w:val="bottom"/>
          </w:tcPr>
          <w:p>
            <w:pPr>
              <w:spacing w:after="0"/>
              <w:rPr>
                <w:sz w:val="1"/>
                <w:szCs w:val="1"/>
                <w:color w:val="auto"/>
              </w:rPr>
            </w:pPr>
          </w:p>
        </w:tc>
      </w:tr>
      <w:tr>
        <w:trPr>
          <w:trHeight w:val="223"/>
        </w:trPr>
        <w:tc>
          <w:tcPr>
            <w:tcW w:w="7160" w:type="dxa"/>
            <w:vAlign w:val="bottom"/>
            <w:tcBorders>
              <w:bottom w:val="single" w:sz="8" w:color="CCEEFF"/>
            </w:tcBorders>
            <w:vMerge w:val="continue"/>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attributable to World Fuel</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w:t>
            </w:r>
          </w:p>
        </w:tc>
        <w:tc>
          <w:tcPr>
            <w:tcW w:w="0" w:type="dxa"/>
            <w:vAlign w:val="bottom"/>
          </w:tcPr>
          <w:p>
            <w:pPr>
              <w:spacing w:after="0"/>
              <w:rPr>
                <w:sz w:val="1"/>
                <w:szCs w:val="1"/>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Acquisition and divestiture related expenses</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Integration costs</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Restructuring charges</w:t>
            </w:r>
          </w:p>
        </w:tc>
        <w:tc>
          <w:tcPr>
            <w:tcW w:w="300" w:type="dxa"/>
            <w:vAlign w:val="bottom"/>
          </w:tcPr>
          <w:p>
            <w:pPr>
              <w:spacing w:after="0"/>
              <w:rPr>
                <w:sz w:val="19"/>
                <w:szCs w:val="19"/>
                <w:color w:val="auto"/>
              </w:rPr>
            </w:pPr>
          </w:p>
        </w:tc>
        <w:tc>
          <w:tcPr>
            <w:tcW w:w="1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Income tax impacts</w:t>
            </w:r>
          </w:p>
        </w:tc>
        <w:tc>
          <w:tcPr>
            <w:tcW w:w="3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23"/>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Adjusted net income (loss) attributable to World Fuel</w:t>
            </w: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26.8</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w:t>
            </w:r>
          </w:p>
        </w:tc>
        <w:tc>
          <w:tcPr>
            <w:tcW w:w="0" w:type="dxa"/>
            <w:vAlign w:val="bottom"/>
          </w:tcPr>
          <w:p>
            <w:pPr>
              <w:spacing w:after="0"/>
              <w:rPr>
                <w:sz w:val="1"/>
                <w:szCs w:val="1"/>
                <w:color w:val="auto"/>
              </w:rPr>
            </w:pP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1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15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Diluted earnings (loss) per common share</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120" w:type="dxa"/>
            <w:vAlign w:val="bottom"/>
          </w:tcPr>
          <w:p>
            <w:pPr>
              <w:spacing w:after="0"/>
              <w:rPr>
                <w:sz w:val="19"/>
                <w:szCs w:val="19"/>
                <w:color w:val="auto"/>
              </w:rPr>
            </w:pPr>
          </w:p>
        </w:tc>
        <w:tc>
          <w:tcPr>
            <w:tcW w:w="46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0.30</w:t>
            </w:r>
          </w:p>
        </w:tc>
        <w:tc>
          <w:tcPr>
            <w:tcW w:w="0" w:type="dxa"/>
            <w:vAlign w:val="bottom"/>
          </w:tcPr>
          <w:p>
            <w:pPr>
              <w:spacing w:after="0"/>
              <w:rPr>
                <w:sz w:val="1"/>
                <w:szCs w:val="1"/>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Acquisition and divestiture related expenses</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0.04</w:t>
            </w:r>
          </w:p>
        </w:tc>
        <w:tc>
          <w:tcPr>
            <w:tcW w:w="0" w:type="dxa"/>
            <w:vAlign w:val="bottom"/>
          </w:tcPr>
          <w:p>
            <w:pPr>
              <w:spacing w:after="0"/>
              <w:rPr>
                <w:sz w:val="1"/>
                <w:szCs w:val="1"/>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Integration costs</w:t>
            </w:r>
          </w:p>
        </w:tc>
        <w:tc>
          <w:tcPr>
            <w:tcW w:w="300" w:type="dxa"/>
            <w:vAlign w:val="bottom"/>
          </w:tcPr>
          <w:p>
            <w:pPr>
              <w:spacing w:after="0"/>
              <w:rPr>
                <w:sz w:val="19"/>
                <w:szCs w:val="19"/>
                <w:color w:val="auto"/>
              </w:rPr>
            </w:pPr>
          </w:p>
        </w:tc>
        <w:tc>
          <w:tcPr>
            <w:tcW w:w="1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Restructuring charges</w:t>
            </w:r>
          </w:p>
        </w:tc>
        <w:tc>
          <w:tcPr>
            <w:tcW w:w="300" w:type="dxa"/>
            <w:vAlign w:val="bottom"/>
            <w:shd w:val="clear" w:color="auto" w:fill="CCEEFF"/>
          </w:tcPr>
          <w:p>
            <w:pPr>
              <w:spacing w:after="0"/>
              <w:rPr>
                <w:sz w:val="19"/>
                <w:szCs w:val="19"/>
                <w:color w:val="auto"/>
              </w:rPr>
            </w:pPr>
          </w:p>
        </w:tc>
        <w:tc>
          <w:tcPr>
            <w:tcW w:w="18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0.03</w:t>
            </w:r>
          </w:p>
        </w:tc>
        <w:tc>
          <w:tcPr>
            <w:tcW w:w="0" w:type="dxa"/>
            <w:vAlign w:val="bottom"/>
          </w:tcPr>
          <w:p>
            <w:pPr>
              <w:spacing w:after="0"/>
              <w:rPr>
                <w:sz w:val="1"/>
                <w:szCs w:val="1"/>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Income tax impacts</w:t>
            </w:r>
          </w:p>
        </w:tc>
        <w:tc>
          <w:tcPr>
            <w:tcW w:w="300" w:type="dxa"/>
            <w:vAlign w:val="bottom"/>
          </w:tcPr>
          <w:p>
            <w:pPr>
              <w:spacing w:after="0"/>
              <w:rPr>
                <w:sz w:val="19"/>
                <w:szCs w:val="19"/>
                <w:color w:val="auto"/>
              </w:rPr>
            </w:pPr>
          </w:p>
        </w:tc>
        <w:tc>
          <w:tcPr>
            <w:tcW w:w="1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(0.04)</w:t>
            </w:r>
          </w:p>
        </w:tc>
        <w:tc>
          <w:tcPr>
            <w:tcW w:w="0" w:type="dxa"/>
            <w:vAlign w:val="bottom"/>
          </w:tcPr>
          <w:p>
            <w:pPr>
              <w:spacing w:after="0"/>
              <w:rPr>
                <w:sz w:val="1"/>
                <w:szCs w:val="1"/>
                <w:color w:val="auto"/>
              </w:rPr>
            </w:pPr>
          </w:p>
        </w:tc>
      </w:tr>
      <w:tr>
        <w:trPr>
          <w:trHeight w:val="248"/>
        </w:trPr>
        <w:tc>
          <w:tcPr>
            <w:tcW w:w="71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diluted earnings (loss) per common share</w:t>
            </w:r>
          </w:p>
        </w:tc>
        <w:tc>
          <w:tcPr>
            <w:tcW w:w="30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6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0.33</w:t>
            </w: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Non-GAAP financial measures and reconciliation:</w:t>
            </w:r>
          </w:p>
        </w:tc>
        <w:tc>
          <w:tcPr>
            <w:tcW w:w="300" w:type="dxa"/>
            <w:vAlign w:val="bottom"/>
            <w:tcBorders>
              <w:bottom w:val="single" w:sz="8" w:color="auto"/>
            </w:tcBorders>
          </w:tcPr>
          <w:p>
            <w:pPr>
              <w:spacing w:after="0"/>
              <w:rPr>
                <w:sz w:val="20"/>
                <w:szCs w:val="20"/>
                <w:color w:val="auto"/>
              </w:rPr>
            </w:pPr>
          </w:p>
        </w:tc>
        <w:tc>
          <w:tcPr>
            <w:tcW w:w="3780" w:type="dxa"/>
            <w:vAlign w:val="bottom"/>
            <w:tcBorders>
              <w:bottom w:val="single" w:sz="8" w:color="auto"/>
            </w:tcBorders>
            <w:gridSpan w:val="4"/>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c>
          <w:tcPr>
            <w:tcW w:w="0" w:type="dxa"/>
            <w:vAlign w:val="bottom"/>
          </w:tcPr>
          <w:p>
            <w:pPr>
              <w:spacing w:after="0"/>
              <w:rPr>
                <w:sz w:val="1"/>
                <w:szCs w:val="1"/>
                <w:color w:val="auto"/>
              </w:rPr>
            </w:pPr>
          </w:p>
        </w:tc>
      </w:tr>
      <w:tr>
        <w:trPr>
          <w:trHeight w:val="223"/>
        </w:trPr>
        <w:tc>
          <w:tcPr>
            <w:tcW w:w="7160" w:type="dxa"/>
            <w:vAlign w:val="bottom"/>
            <w:tcBorders>
              <w:bottom w:val="single" w:sz="8" w:color="CCEEFF"/>
            </w:tcBorders>
            <w:vMerge w:val="continue"/>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including noncontrolling interest</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w:t>
            </w:r>
          </w:p>
        </w:tc>
        <w:tc>
          <w:tcPr>
            <w:tcW w:w="0" w:type="dxa"/>
            <w:vAlign w:val="bottom"/>
          </w:tcPr>
          <w:p>
            <w:pPr>
              <w:spacing w:after="0"/>
              <w:rPr>
                <w:sz w:val="1"/>
                <w:szCs w:val="1"/>
                <w:color w:val="auto"/>
              </w:rPr>
            </w:pPr>
          </w:p>
        </w:tc>
      </w:tr>
      <w:tr>
        <w:trPr>
          <w:trHeight w:val="229"/>
        </w:trPr>
        <w:tc>
          <w:tcPr>
            <w:tcW w:w="71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Interest expense and other financing costs, net</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Provision (benefit) for income taxes</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0" w:type="dxa"/>
            <w:vAlign w:val="bottom"/>
          </w:tcPr>
          <w:p>
            <w:pPr>
              <w:spacing w:after="0"/>
              <w:rPr>
                <w:sz w:val="1"/>
                <w:szCs w:val="1"/>
                <w:color w:val="auto"/>
              </w:rPr>
            </w:pPr>
          </w:p>
        </w:tc>
      </w:tr>
      <w:tr>
        <w:trPr>
          <w:trHeight w:val="230"/>
        </w:trPr>
        <w:tc>
          <w:tcPr>
            <w:tcW w:w="71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Acquisition and divestiture related expenses</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29"/>
        </w:trPr>
        <w:tc>
          <w:tcPr>
            <w:tcW w:w="71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Integration costs</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Restructuring charges</w:t>
            </w:r>
          </w:p>
        </w:tc>
        <w:tc>
          <w:tcPr>
            <w:tcW w:w="300" w:type="dxa"/>
            <w:vAlign w:val="bottom"/>
            <w:shd w:val="clear" w:color="auto" w:fill="CCEEFF"/>
          </w:tcPr>
          <w:p>
            <w:pPr>
              <w:spacing w:after="0"/>
              <w:rPr>
                <w:sz w:val="19"/>
                <w:szCs w:val="19"/>
                <w:color w:val="auto"/>
              </w:rPr>
            </w:pPr>
          </w:p>
        </w:tc>
        <w:tc>
          <w:tcPr>
            <w:tcW w:w="18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23"/>
        </w:trPr>
        <w:tc>
          <w:tcPr>
            <w:tcW w:w="7160" w:type="dxa"/>
            <w:vAlign w:val="bottom"/>
          </w:tcPr>
          <w:p>
            <w:pPr>
              <w:ind w:left="20"/>
              <w:spacing w:after="0" w:line="223" w:lineRule="exact"/>
              <w:rPr>
                <w:sz w:val="20"/>
                <w:szCs w:val="20"/>
                <w:color w:val="auto"/>
              </w:rPr>
            </w:pPr>
            <w:r>
              <w:rPr>
                <w:rFonts w:ascii="Times New Roman" w:cs="Times New Roman" w:eastAsia="Times New Roman" w:hAnsi="Times New Roman"/>
                <w:sz w:val="18"/>
                <w:szCs w:val="18"/>
                <w:color w:val="auto"/>
              </w:rPr>
              <w:t>Adjusted EBITDA</w:t>
            </w:r>
            <w:r>
              <w:rPr>
                <w:rFonts w:ascii="Times New Roman" w:cs="Times New Roman" w:eastAsia="Times New Roman" w:hAnsi="Times New Roman"/>
                <w:sz w:val="23"/>
                <w:szCs w:val="23"/>
                <w:color w:val="auto"/>
                <w:vertAlign w:val="superscript"/>
              </w:rPr>
              <w:t>(1)</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74.9</w:t>
            </w:r>
          </w:p>
        </w:tc>
        <w:tc>
          <w:tcPr>
            <w:tcW w:w="12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60.7</w:t>
            </w: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92" w:lineRule="exact"/>
        <w:rPr>
          <w:sz w:val="20"/>
          <w:szCs w:val="20"/>
          <w:color w:val="auto"/>
        </w:rPr>
      </w:pPr>
    </w:p>
    <w:p>
      <w:pPr>
        <w:jc w:val="both"/>
        <w:ind w:left="340" w:right="20" w:hanging="332"/>
        <w:spacing w:after="0" w:line="239" w:lineRule="auto"/>
        <w:tabs>
          <w:tab w:leader="none" w:pos="328" w:val="left"/>
        </w:tabs>
        <w:numPr>
          <w:ilvl w:val="0"/>
          <w:numId w:val="2"/>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The Company defines adjusted EBITDA as net income (loss) excluding the impact of interest, tax and depreciation and amortization, in addition to items that are considered to be non-operational and not representative of our core business, including those associated with acquisition and divestiture related expenses, integration costs, asset impairments, and restructuring charges. As the GAAP measure most comparable to Adjusted EBITDA is net income, the reconciliation was updated in the first quarter of 2022 to start with net income.</w:t>
      </w:r>
    </w:p>
    <w:p>
      <w:pPr>
        <w:sectPr>
          <w:pgSz w:w="11900" w:h="16838" w:orient="portrait"/>
          <w:cols w:equalWidth="0" w:num="1">
            <w:col w:w="11240"/>
          </w:cols>
          <w:pgMar w:left="320" w:top="1359" w:right="339" w:bottom="1440" w:gutter="0" w:footer="0" w:header="0"/>
        </w:sectPr>
      </w:pPr>
    </w:p>
    <w:bookmarkStart w:id="10" w:name="page11"/>
    <w:bookmarkEnd w:id="10"/>
    <w:p>
      <w:pPr>
        <w:ind w:left="4480"/>
        <w:spacing w:after="0"/>
        <w:rPr>
          <w:sz w:val="20"/>
          <w:szCs w:val="20"/>
          <w:color w:val="auto"/>
        </w:rPr>
      </w:pPr>
      <w:r>
        <w:rPr>
          <w:rFonts w:ascii="Times New Roman" w:cs="Times New Roman" w:eastAsia="Times New Roman" w:hAnsi="Times New Roman"/>
          <w:sz w:val="18"/>
          <w:szCs w:val="18"/>
          <w:b w:val="1"/>
          <w:bCs w:val="1"/>
          <w:color w:val="auto"/>
        </w:rPr>
        <w:t>WORLD FUEL SERVICES CORPORATION</w:t>
      </w:r>
    </w:p>
    <w:p>
      <w:pPr>
        <w:spacing w:after="0" w:line="31"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(Unaudited - In millions)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1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3780" w:type="dxa"/>
            <w:vAlign w:val="bottom"/>
            <w:tcBorders>
              <w:bottom w:val="single" w:sz="8" w:color="auto"/>
            </w:tcBorders>
            <w:gridSpan w:val="4"/>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c>
          <w:tcPr>
            <w:tcW w:w="0" w:type="dxa"/>
            <w:vAlign w:val="bottom"/>
          </w:tcPr>
          <w:p>
            <w:pPr>
              <w:spacing w:after="0"/>
              <w:rPr>
                <w:sz w:val="1"/>
                <w:szCs w:val="1"/>
                <w:color w:val="auto"/>
              </w:rPr>
            </w:pPr>
          </w:p>
        </w:tc>
      </w:tr>
      <w:tr>
        <w:trPr>
          <w:trHeight w:val="223"/>
        </w:trPr>
        <w:tc>
          <w:tcPr>
            <w:tcW w:w="7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23"/>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Aviation segment</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5,010.5</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2,095.0</w:t>
            </w:r>
          </w:p>
        </w:tc>
        <w:tc>
          <w:tcPr>
            <w:tcW w:w="0" w:type="dxa"/>
            <w:vAlign w:val="bottom"/>
          </w:tcPr>
          <w:p>
            <w:pPr>
              <w:spacing w:after="0"/>
              <w:rPr>
                <w:sz w:val="1"/>
                <w:szCs w:val="1"/>
                <w:color w:val="auto"/>
              </w:rPr>
            </w:pPr>
          </w:p>
        </w:tc>
      </w:tr>
      <w:tr>
        <w:trPr>
          <w:trHeight w:val="230"/>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Land segment</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4,458.2</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2,188.2</w:t>
            </w:r>
          </w:p>
        </w:tc>
        <w:tc>
          <w:tcPr>
            <w:tcW w:w="0" w:type="dxa"/>
            <w:vAlign w:val="bottom"/>
          </w:tcPr>
          <w:p>
            <w:pPr>
              <w:spacing w:after="0"/>
              <w:rPr>
                <w:sz w:val="1"/>
                <w:szCs w:val="1"/>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Marine segment</w:t>
            </w:r>
          </w:p>
        </w:tc>
        <w:tc>
          <w:tcPr>
            <w:tcW w:w="3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2,990.6</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1,674.7</w:t>
            </w:r>
          </w:p>
        </w:tc>
        <w:tc>
          <w:tcPr>
            <w:tcW w:w="0" w:type="dxa"/>
            <w:vAlign w:val="bottom"/>
          </w:tcPr>
          <w:p>
            <w:pPr>
              <w:spacing w:after="0"/>
              <w:rPr>
                <w:sz w:val="1"/>
                <w:szCs w:val="1"/>
                <w:color w:val="auto"/>
              </w:rPr>
            </w:pPr>
          </w:p>
        </w:tc>
      </w:tr>
      <w:tr>
        <w:trPr>
          <w:trHeight w:val="223"/>
        </w:trPr>
        <w:tc>
          <w:tcPr>
            <w:tcW w:w="71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Total revenue</w:t>
            </w: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12,459.4</w:t>
            </w:r>
          </w:p>
        </w:tc>
        <w:tc>
          <w:tcPr>
            <w:tcW w:w="120" w:type="dxa"/>
            <w:vAlign w:val="bottom"/>
          </w:tcPr>
          <w:p>
            <w:pPr>
              <w:spacing w:after="0"/>
              <w:rPr>
                <w:sz w:val="19"/>
                <w:szCs w:val="19"/>
                <w:color w:val="auto"/>
              </w:rPr>
            </w:pPr>
          </w:p>
        </w:tc>
        <w:tc>
          <w:tcPr>
            <w:tcW w:w="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5,957.9</w:t>
            </w:r>
          </w:p>
        </w:tc>
        <w:tc>
          <w:tcPr>
            <w:tcW w:w="0" w:type="dxa"/>
            <w:vAlign w:val="bottom"/>
          </w:tcPr>
          <w:p>
            <w:pPr>
              <w:spacing w:after="0"/>
              <w:rPr>
                <w:sz w:val="1"/>
                <w:szCs w:val="1"/>
                <w:color w:val="auto"/>
              </w:rPr>
            </w:pPr>
          </w:p>
        </w:tc>
      </w:tr>
      <w:tr>
        <w:trPr>
          <w:trHeight w:val="20"/>
        </w:trPr>
        <w:tc>
          <w:tcPr>
            <w:tcW w:w="71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Aviation segment</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64.2</w:t>
            </w:r>
          </w:p>
        </w:tc>
        <w:tc>
          <w:tcPr>
            <w:tcW w:w="120" w:type="dxa"/>
            <w:vAlign w:val="bottom"/>
          </w:tcPr>
          <w:p>
            <w:pPr>
              <w:spacing w:after="0"/>
              <w:rPr>
                <w:sz w:val="19"/>
                <w:szCs w:val="19"/>
                <w:color w:val="auto"/>
              </w:rPr>
            </w:pPr>
          </w:p>
        </w:tc>
        <w:tc>
          <w:tcPr>
            <w:tcW w:w="46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76.7</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Land segment</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119.8</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89.5</w:t>
            </w:r>
          </w:p>
        </w:tc>
        <w:tc>
          <w:tcPr>
            <w:tcW w:w="0" w:type="dxa"/>
            <w:vAlign w:val="bottom"/>
          </w:tcPr>
          <w:p>
            <w:pPr>
              <w:spacing w:after="0"/>
              <w:rPr>
                <w:sz w:val="1"/>
                <w:szCs w:val="1"/>
                <w:color w:val="auto"/>
              </w:rPr>
            </w:pPr>
          </w:p>
        </w:tc>
      </w:tr>
      <w:tr>
        <w:trPr>
          <w:trHeight w:val="229"/>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Marine segment</w:t>
            </w: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47.0</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w:t>
            </w:r>
          </w:p>
        </w:tc>
        <w:tc>
          <w:tcPr>
            <w:tcW w:w="0" w:type="dxa"/>
            <w:vAlign w:val="bottom"/>
          </w:tcPr>
          <w:p>
            <w:pPr>
              <w:spacing w:after="0"/>
              <w:rPr>
                <w:sz w:val="1"/>
                <w:szCs w:val="1"/>
                <w:color w:val="auto"/>
              </w:rPr>
            </w:pPr>
          </w:p>
        </w:tc>
      </w:tr>
      <w:tr>
        <w:trPr>
          <w:trHeight w:val="248"/>
        </w:trPr>
        <w:tc>
          <w:tcPr>
            <w:tcW w:w="716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Total gross profit</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230.9</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191.6</w:t>
            </w: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Income from operations: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1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Aviation segment</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0" w:type="dxa"/>
            <w:vAlign w:val="bottom"/>
          </w:tcPr>
          <w:p>
            <w:pPr>
              <w:spacing w:after="0"/>
              <w:rPr>
                <w:sz w:val="1"/>
                <w:szCs w:val="1"/>
                <w:color w:val="auto"/>
              </w:rPr>
            </w:pPr>
          </w:p>
        </w:tc>
      </w:tr>
      <w:tr>
        <w:trPr>
          <w:trHeight w:val="229"/>
        </w:trPr>
        <w:tc>
          <w:tcPr>
            <w:tcW w:w="71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Land segment</w:t>
            </w:r>
          </w:p>
        </w:tc>
        <w:tc>
          <w:tcPr>
            <w:tcW w:w="3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0" w:type="dxa"/>
            <w:vAlign w:val="bottom"/>
          </w:tcPr>
          <w:p>
            <w:pPr>
              <w:spacing w:after="0"/>
              <w:rPr>
                <w:sz w:val="1"/>
                <w:szCs w:val="1"/>
                <w:color w:val="auto"/>
              </w:rPr>
            </w:pPr>
          </w:p>
        </w:tc>
      </w:tr>
      <w:tr>
        <w:trPr>
          <w:trHeight w:val="230"/>
        </w:trPr>
        <w:tc>
          <w:tcPr>
            <w:tcW w:w="71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Marine segment</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0" w:type="dxa"/>
            <w:vAlign w:val="bottom"/>
          </w:tcPr>
          <w:p>
            <w:pPr>
              <w:spacing w:after="0"/>
              <w:rPr>
                <w:sz w:val="1"/>
                <w:szCs w:val="1"/>
                <w:color w:val="auto"/>
              </w:rPr>
            </w:pPr>
          </w:p>
        </w:tc>
      </w:tr>
      <w:tr>
        <w:trPr>
          <w:trHeight w:val="229"/>
        </w:trPr>
        <w:tc>
          <w:tcPr>
            <w:tcW w:w="71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Corporate overhead - unallocated</w:t>
            </w: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(24.5)</w:t>
            </w:r>
          </w:p>
        </w:tc>
        <w:tc>
          <w:tcPr>
            <w:tcW w:w="0" w:type="dxa"/>
            <w:vAlign w:val="bottom"/>
          </w:tcPr>
          <w:p>
            <w:pPr>
              <w:spacing w:after="0"/>
              <w:rPr>
                <w:sz w:val="1"/>
                <w:szCs w:val="1"/>
                <w:color w:val="auto"/>
              </w:rPr>
            </w:pPr>
          </w:p>
        </w:tc>
      </w:tr>
      <w:tr>
        <w:trPr>
          <w:trHeight w:val="248"/>
        </w:trPr>
        <w:tc>
          <w:tcPr>
            <w:tcW w:w="716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Total income from operations</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w:t>
            </w: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SALES VOLUME SUPPLEMENTAL INFORMATION</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(Unaudited - In millions)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200" w:type="dxa"/>
            <w:vAlign w:val="bottom"/>
          </w:tcPr>
          <w:p>
            <w:pPr>
              <w:spacing w:after="0"/>
              <w:rPr>
                <w:sz w:val="20"/>
                <w:szCs w:val="20"/>
                <w:color w:val="auto"/>
              </w:rPr>
            </w:pPr>
          </w:p>
        </w:tc>
        <w:tc>
          <w:tcPr>
            <w:tcW w:w="4040" w:type="dxa"/>
            <w:vAlign w:val="bottom"/>
            <w:tcBorders>
              <w:bottom w:val="single" w:sz="8" w:color="auto"/>
            </w:tcBorders>
            <w:gridSpan w:val="3"/>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For the Three Months Ended March 31,</w:t>
            </w:r>
          </w:p>
        </w:tc>
      </w:tr>
      <w:tr>
        <w:trPr>
          <w:trHeight w:val="223"/>
        </w:trPr>
        <w:tc>
          <w:tcPr>
            <w:tcW w:w="720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8"/>
                <w:szCs w:val="18"/>
                <w:color w:val="auto"/>
              </w:rPr>
              <w:t>Volume (Gallons):</w:t>
            </w:r>
          </w:p>
        </w:tc>
        <w:tc>
          <w:tcPr>
            <w:tcW w:w="1940" w:type="dxa"/>
            <w:vAlign w:val="bottom"/>
            <w:tcBorders>
              <w:bottom w:val="single" w:sz="8" w:color="auto"/>
            </w:tcBorders>
          </w:tcPr>
          <w:p>
            <w:pPr>
              <w:jc w:val="right"/>
              <w:ind w:right="6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40" w:type="dxa"/>
            <w:vAlign w:val="bottom"/>
            <w:tcBorders>
              <w:bottom w:val="single" w:sz="8" w:color="CCEEFF"/>
            </w:tcBorders>
          </w:tcPr>
          <w:p>
            <w:pPr>
              <w:spacing w:after="0"/>
              <w:rPr>
                <w:sz w:val="19"/>
                <w:szCs w:val="19"/>
                <w:color w:val="auto"/>
              </w:rPr>
            </w:pPr>
          </w:p>
        </w:tc>
        <w:tc>
          <w:tcPr>
            <w:tcW w:w="19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23"/>
        </w:trPr>
        <w:tc>
          <w:tcPr>
            <w:tcW w:w="72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Aviation Segment</w:t>
            </w:r>
          </w:p>
        </w:tc>
        <w:tc>
          <w:tcPr>
            <w:tcW w:w="1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1,655.4</w:t>
            </w:r>
          </w:p>
        </w:tc>
        <w:tc>
          <w:tcPr>
            <w:tcW w:w="14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1,143.4</w:t>
            </w:r>
          </w:p>
        </w:tc>
      </w:tr>
      <w:tr>
        <w:trPr>
          <w:trHeight w:val="230"/>
        </w:trPr>
        <w:tc>
          <w:tcPr>
            <w:tcW w:w="7200" w:type="dxa"/>
            <w:vAlign w:val="bottom"/>
          </w:tcPr>
          <w:p>
            <w:pPr>
              <w:ind w:left="140"/>
              <w:spacing w:after="0" w:line="230" w:lineRule="exact"/>
              <w:rPr>
                <w:sz w:val="20"/>
                <w:szCs w:val="20"/>
                <w:color w:val="auto"/>
              </w:rPr>
            </w:pPr>
            <w:r>
              <w:rPr>
                <w:rFonts w:ascii="Times New Roman" w:cs="Times New Roman" w:eastAsia="Times New Roman" w:hAnsi="Times New Roman"/>
                <w:sz w:val="18"/>
                <w:szCs w:val="18"/>
                <w:color w:val="auto"/>
              </w:rPr>
              <w:t xml:space="preserve">Land Segment </w:t>
            </w:r>
            <w:r>
              <w:rPr>
                <w:rFonts w:ascii="Times New Roman" w:cs="Times New Roman" w:eastAsia="Times New Roman" w:hAnsi="Times New Roman"/>
                <w:sz w:val="23"/>
                <w:szCs w:val="23"/>
                <w:color w:val="auto"/>
                <w:vertAlign w:val="superscript"/>
              </w:rPr>
              <w:t>(1)</w:t>
            </w: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1,582.6</w:t>
            </w:r>
          </w:p>
        </w:tc>
        <w:tc>
          <w:tcPr>
            <w:tcW w:w="14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1,303.0</w:t>
            </w:r>
          </w:p>
        </w:tc>
      </w:tr>
      <w:tr>
        <w:trPr>
          <w:trHeight w:val="229"/>
        </w:trPr>
        <w:tc>
          <w:tcPr>
            <w:tcW w:w="7200" w:type="dxa"/>
            <w:vAlign w:val="bottom"/>
            <w:shd w:val="clear" w:color="auto" w:fill="CCEEFF"/>
          </w:tcPr>
          <w:p>
            <w:pPr>
              <w:ind w:left="140"/>
              <w:spacing w:after="0" w:line="230" w:lineRule="exact"/>
              <w:rPr>
                <w:sz w:val="20"/>
                <w:szCs w:val="20"/>
                <w:color w:val="auto"/>
              </w:rPr>
            </w:pPr>
            <w:r>
              <w:rPr>
                <w:rFonts w:ascii="Times New Roman" w:cs="Times New Roman" w:eastAsia="Times New Roman" w:hAnsi="Times New Roman"/>
                <w:sz w:val="18"/>
                <w:szCs w:val="18"/>
                <w:color w:val="auto"/>
              </w:rPr>
              <w:t xml:space="preserve">Marine Segment </w:t>
            </w:r>
            <w:r>
              <w:rPr>
                <w:rFonts w:ascii="Times New Roman" w:cs="Times New Roman" w:eastAsia="Times New Roman" w:hAnsi="Times New Roman"/>
                <w:sz w:val="23"/>
                <w:szCs w:val="23"/>
                <w:color w:val="auto"/>
                <w:vertAlign w:val="superscript"/>
              </w:rPr>
              <w:t>(2)</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1,238.3</w:t>
            </w:r>
          </w:p>
        </w:tc>
        <w:tc>
          <w:tcPr>
            <w:tcW w:w="140" w:type="dxa"/>
            <w:vAlign w:val="bottom"/>
            <w:shd w:val="clear" w:color="auto" w:fill="CCEEFF"/>
          </w:tcPr>
          <w:p>
            <w:pPr>
              <w:spacing w:after="0"/>
              <w:rPr>
                <w:sz w:val="19"/>
                <w:szCs w:val="19"/>
                <w:color w:val="auto"/>
              </w:rPr>
            </w:pPr>
          </w:p>
        </w:tc>
        <w:tc>
          <w:tcPr>
            <w:tcW w:w="1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1,117.5</w:t>
            </w:r>
          </w:p>
        </w:tc>
      </w:tr>
      <w:tr>
        <w:trPr>
          <w:trHeight w:val="223"/>
        </w:trPr>
        <w:tc>
          <w:tcPr>
            <w:tcW w:w="72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Consolidated Total</w:t>
            </w:r>
          </w:p>
        </w:tc>
        <w:tc>
          <w:tcPr>
            <w:tcW w:w="1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4,476.3</w:t>
            </w:r>
          </w:p>
        </w:tc>
        <w:tc>
          <w:tcPr>
            <w:tcW w:w="140" w:type="dxa"/>
            <w:vAlign w:val="bottom"/>
          </w:tcPr>
          <w:p>
            <w:pPr>
              <w:spacing w:after="0"/>
              <w:rPr>
                <w:sz w:val="19"/>
                <w:szCs w:val="19"/>
                <w:color w:val="auto"/>
              </w:rPr>
            </w:pPr>
          </w:p>
        </w:tc>
        <w:tc>
          <w:tcPr>
            <w:tcW w:w="1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3,563.9</w:t>
            </w:r>
          </w:p>
        </w:tc>
      </w:tr>
      <w:tr>
        <w:trPr>
          <w:trHeight w:val="21"/>
        </w:trPr>
        <w:tc>
          <w:tcPr>
            <w:tcW w:w="72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ind w:left="340" w:hanging="332"/>
        <w:spacing w:after="0" w:line="229" w:lineRule="auto"/>
        <w:tabs>
          <w:tab w:leader="none" w:pos="328" w:val="left"/>
        </w:tabs>
        <w:numPr>
          <w:ilvl w:val="0"/>
          <w:numId w:val="3"/>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Includes gallons and gallon equivalents of British Thermal Units (BTU) for our natural gas sales and Kilowatt Hours (kWh) for our World Kinect power business.</w:t>
      </w:r>
    </w:p>
    <w:p>
      <w:pPr>
        <w:spacing w:after="0" w:line="198" w:lineRule="exact"/>
        <w:rPr>
          <w:rFonts w:ascii="Times New Roman" w:cs="Times New Roman" w:eastAsia="Times New Roman" w:hAnsi="Times New Roman"/>
          <w:sz w:val="23"/>
          <w:szCs w:val="23"/>
          <w:color w:val="auto"/>
          <w:vertAlign w:val="superscript"/>
        </w:rPr>
      </w:pPr>
    </w:p>
    <w:p>
      <w:pPr>
        <w:ind w:left="340" w:hanging="332"/>
        <w:spacing w:after="0" w:line="229" w:lineRule="auto"/>
        <w:tabs>
          <w:tab w:leader="none" w:pos="328" w:val="left"/>
        </w:tabs>
        <w:numPr>
          <w:ilvl w:val="0"/>
          <w:numId w:val="3"/>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Converted from metric tons to gallons at a rate of 264 gallons per metric ton. Marine segment metric tons were 4.7 and 4.2 for the three months ended March 31, 2022 and 2021, respectively.</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CONTACT: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World Fuel Services Corporation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Executive Vice President &amp; Chief Financial Officer</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Glenn Klevitz, 305-428-8000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Vice President, Treasurer &amp; Investor Relations</w:t>
      </w:r>
    </w:p>
    <w:sectPr>
      <w:pgSz w:w="11900" w:h="16838" w:orient="portrait"/>
      <w:cols w:equalWidth="0" w:num="1">
        <w:col w:w="11240"/>
      </w:cols>
      <w:pgMar w:left="320" w:top="135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2022-04-28T16:40:12Z</dcterms:created>
  <dcterms:modified xsi:type="dcterms:W3CDTF">2022-04-28T16:40:12Z</dcterms:modified>
</cp:coreProperties>
</file>