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9"/>
          <w:szCs w:val="29"/>
          <w:b w:val="1"/>
          <w:bCs w:val="1"/>
          <w:color w:val="auto"/>
        </w:rPr>
        <w:t>UNITED STATES</w:t>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SECURITIES AND EXCHANGE COMMISSION</w:t>
      </w:r>
    </w:p>
    <w:p>
      <w:pPr>
        <w:spacing w:after="0" w:line="23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31" w:lineRule="exact"/>
        <w:rPr>
          <w:sz w:val="24"/>
          <w:szCs w:val="24"/>
          <w:color w:val="auto"/>
        </w:rPr>
      </w:pPr>
    </w:p>
    <w:p>
      <w:pPr>
        <w:ind w:left="4500"/>
        <w:spacing w:after="0"/>
        <w:rPr>
          <w:sz w:val="20"/>
          <w:szCs w:val="20"/>
          <w:color w:val="auto"/>
        </w:rPr>
      </w:pPr>
      <w:r>
        <w:rPr>
          <w:rFonts w:ascii="Times New Roman" w:cs="Times New Roman" w:eastAsia="Times New Roman" w:hAnsi="Times New Roman"/>
          <w:sz w:val="18"/>
          <w:szCs w:val="18"/>
          <w:color w:val="auto"/>
        </w:rPr>
        <w:t>_________________________</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5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9" w:lineRule="exact"/>
        <w:rPr>
          <w:sz w:val="24"/>
          <w:szCs w:val="24"/>
          <w:color w:val="auto"/>
        </w:rPr>
      </w:pPr>
    </w:p>
    <w:p>
      <w:pPr>
        <w:ind w:left="4500"/>
        <w:spacing w:after="0"/>
        <w:rPr>
          <w:sz w:val="20"/>
          <w:szCs w:val="20"/>
          <w:color w:val="auto"/>
        </w:rPr>
      </w:pPr>
      <w:r>
        <w:rPr>
          <w:rFonts w:ascii="Times New Roman" w:cs="Times New Roman" w:eastAsia="Times New Roman" w:hAnsi="Times New Roman"/>
          <w:sz w:val="18"/>
          <w:szCs w:val="18"/>
          <w:color w:val="auto"/>
        </w:rPr>
        <w:t>_________________________</w:t>
      </w:r>
    </w:p>
    <w:p>
      <w:pPr>
        <w:spacing w:after="0" w:line="23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 of Report (Date of earliest event reported): November 20, 2020</w:t>
      </w:r>
    </w:p>
    <w:p>
      <w:pPr>
        <w:spacing w:after="0" w:line="2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WORLD FUEL SERVICES CORPORATION</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1240"/>
          </w:cols>
          <w:pgMar w:left="320" w:top="209" w:right="339" w:bottom="1440" w:gutter="0" w:footer="0" w:header="0"/>
        </w:sectPr>
      </w:pPr>
    </w:p>
    <w:p>
      <w:pPr>
        <w:spacing w:after="0" w:line="228" w:lineRule="exact"/>
        <w:rPr>
          <w:sz w:val="24"/>
          <w:szCs w:val="24"/>
          <w:color w:val="auto"/>
        </w:rPr>
      </w:pPr>
    </w:p>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Florida</w:t>
      </w:r>
    </w:p>
    <w:p>
      <w:pPr>
        <w:spacing w:after="0" w:line="31" w:lineRule="exact"/>
        <w:rPr>
          <w:sz w:val="24"/>
          <w:szCs w:val="24"/>
          <w:color w:val="auto"/>
        </w:rPr>
      </w:pPr>
    </w:p>
    <w:p>
      <w:pPr>
        <w:jc w:val="center"/>
        <w:ind w:right="200"/>
        <w:spacing w:after="0"/>
        <w:rPr>
          <w:sz w:val="20"/>
          <w:szCs w:val="20"/>
          <w:color w:val="auto"/>
        </w:rPr>
      </w:pPr>
      <w:r>
        <w:rPr>
          <w:rFonts w:ascii="Times New Roman" w:cs="Times New Roman" w:eastAsia="Times New Roman" w:hAnsi="Times New Roman"/>
          <w:sz w:val="17"/>
          <w:szCs w:val="17"/>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208" w:lineRule="exact"/>
        <w:rPr>
          <w:sz w:val="24"/>
          <w:szCs w:val="24"/>
          <w:color w:val="auto"/>
        </w:rPr>
      </w:pPr>
    </w:p>
    <w:p>
      <w:pPr>
        <w:jc w:val="center"/>
        <w:ind w:right="740"/>
        <w:spacing w:after="0"/>
        <w:rPr>
          <w:sz w:val="20"/>
          <w:szCs w:val="20"/>
          <w:color w:val="auto"/>
        </w:rPr>
      </w:pPr>
      <w:r>
        <w:rPr>
          <w:rFonts w:ascii="Times New Roman" w:cs="Times New Roman" w:eastAsia="Times New Roman" w:hAnsi="Times New Roman"/>
          <w:sz w:val="18"/>
          <w:szCs w:val="18"/>
          <w:b w:val="1"/>
          <w:bCs w:val="1"/>
          <w:color w:val="auto"/>
        </w:rPr>
        <w:t>001-09533</w:t>
      </w:r>
    </w:p>
    <w:p>
      <w:pPr>
        <w:spacing w:after="0" w:line="31" w:lineRule="exact"/>
        <w:rPr>
          <w:sz w:val="24"/>
          <w:szCs w:val="24"/>
          <w:color w:val="auto"/>
        </w:rPr>
      </w:pPr>
    </w:p>
    <w:p>
      <w:pPr>
        <w:jc w:val="center"/>
        <w:ind w:right="740"/>
        <w:spacing w:after="0"/>
        <w:rPr>
          <w:sz w:val="20"/>
          <w:szCs w:val="20"/>
          <w:color w:val="auto"/>
        </w:rPr>
      </w:pPr>
      <w:r>
        <w:rPr>
          <w:rFonts w:ascii="Times New Roman" w:cs="Times New Roman" w:eastAsia="Times New Roman" w:hAnsi="Times New Roman"/>
          <w:sz w:val="17"/>
          <w:szCs w:val="17"/>
          <w:color w:val="auto"/>
        </w:rPr>
        <w:t>(Commission File Number)</w:t>
      </w:r>
    </w:p>
    <w:p>
      <w:pPr>
        <w:spacing w:after="0" w:line="20" w:lineRule="exact"/>
        <w:rPr>
          <w:sz w:val="24"/>
          <w:szCs w:val="24"/>
          <w:color w:val="auto"/>
        </w:rPr>
      </w:pPr>
      <w:r>
        <w:rPr>
          <w:sz w:val="24"/>
          <w:szCs w:val="24"/>
          <w:color w:val="auto"/>
        </w:rPr>
        <w:br w:type="column"/>
      </w:r>
    </w:p>
    <w:p>
      <w:pPr>
        <w:spacing w:after="0" w:line="208" w:lineRule="exact"/>
        <w:rPr>
          <w:sz w:val="24"/>
          <w:szCs w:val="24"/>
          <w:color w:val="auto"/>
        </w:rPr>
      </w:pPr>
    </w:p>
    <w:p>
      <w:pPr>
        <w:jc w:val="center"/>
        <w:ind w:right="540"/>
        <w:spacing w:after="0"/>
        <w:rPr>
          <w:sz w:val="20"/>
          <w:szCs w:val="20"/>
          <w:color w:val="auto"/>
        </w:rPr>
      </w:pPr>
      <w:r>
        <w:rPr>
          <w:rFonts w:ascii="Times New Roman" w:cs="Times New Roman" w:eastAsia="Times New Roman" w:hAnsi="Times New Roman"/>
          <w:sz w:val="18"/>
          <w:szCs w:val="18"/>
          <w:b w:val="1"/>
          <w:bCs w:val="1"/>
          <w:color w:val="auto"/>
        </w:rPr>
        <w:t>59-2459427</w:t>
      </w:r>
    </w:p>
    <w:p>
      <w:pPr>
        <w:spacing w:after="0" w:line="31" w:lineRule="exact"/>
        <w:rPr>
          <w:sz w:val="24"/>
          <w:szCs w:val="24"/>
          <w:color w:val="auto"/>
        </w:rPr>
      </w:pPr>
    </w:p>
    <w:p>
      <w:pPr>
        <w:jc w:val="center"/>
        <w:ind w:right="540"/>
        <w:spacing w:after="0"/>
        <w:rPr>
          <w:sz w:val="20"/>
          <w:szCs w:val="20"/>
          <w:color w:val="auto"/>
        </w:rPr>
      </w:pPr>
      <w:r>
        <w:rPr>
          <w:rFonts w:ascii="Times New Roman" w:cs="Times New Roman" w:eastAsia="Times New Roman" w:hAnsi="Times New Roman"/>
          <w:sz w:val="18"/>
          <w:szCs w:val="18"/>
          <w:color w:val="auto"/>
        </w:rPr>
        <w:t>(I.R.S. Employer Identification No.)</w:t>
      </w:r>
    </w:p>
    <w:p>
      <w:pPr>
        <w:spacing w:after="0" w:line="200" w:lineRule="exact"/>
        <w:rPr>
          <w:sz w:val="24"/>
          <w:szCs w:val="24"/>
          <w:color w:val="auto"/>
        </w:rPr>
      </w:pPr>
    </w:p>
    <w:p>
      <w:pPr>
        <w:sectPr>
          <w:pgSz w:w="11900" w:h="16838" w:orient="portrait"/>
          <w:cols w:equalWidth="0" w:num="3">
            <w:col w:w="3920" w:space="720"/>
            <w:col w:w="2720" w:space="720"/>
            <w:col w:w="3160"/>
          </w:cols>
          <w:pgMar w:left="320" w:top="209" w:right="339" w:bottom="1440" w:gutter="0" w:footer="0" w:header="0"/>
          <w:type w:val="continuous"/>
        </w:sectPr>
      </w:pPr>
    </w:p>
    <w:p>
      <w:pPr>
        <w:spacing w:after="0" w:line="30" w:lineRule="exact"/>
        <w:rPr>
          <w:sz w:val="24"/>
          <w:szCs w:val="24"/>
          <w:color w:val="auto"/>
        </w:rPr>
      </w:pPr>
    </w:p>
    <w:p>
      <w:pPr>
        <w:jc w:val="center"/>
        <w:ind w:right="1700"/>
        <w:spacing w:after="0"/>
        <w:rPr>
          <w:sz w:val="20"/>
          <w:szCs w:val="20"/>
          <w:color w:val="auto"/>
        </w:rPr>
      </w:pPr>
      <w:r>
        <w:rPr>
          <w:rFonts w:ascii="Times New Roman" w:cs="Times New Roman" w:eastAsia="Times New Roman" w:hAnsi="Times New Roman"/>
          <w:sz w:val="18"/>
          <w:szCs w:val="18"/>
          <w:b w:val="1"/>
          <w:bCs w:val="1"/>
          <w:color w:val="auto"/>
        </w:rPr>
        <w:t>9800 N.W. 41st Street</w:t>
      </w:r>
    </w:p>
    <w:p>
      <w:pPr>
        <w:spacing w:after="0" w:line="31" w:lineRule="exact"/>
        <w:rPr>
          <w:sz w:val="24"/>
          <w:szCs w:val="24"/>
          <w:color w:val="auto"/>
        </w:rPr>
      </w:pPr>
    </w:p>
    <w:p>
      <w:pPr>
        <w:jc w:val="center"/>
        <w:ind w:right="1700"/>
        <w:spacing w:after="0"/>
        <w:rPr>
          <w:sz w:val="20"/>
          <w:szCs w:val="20"/>
          <w:color w:val="auto"/>
        </w:rPr>
      </w:pPr>
      <w:r>
        <w:rPr>
          <w:rFonts w:ascii="Times New Roman" w:cs="Times New Roman" w:eastAsia="Times New Roman" w:hAnsi="Times New Roman"/>
          <w:sz w:val="18"/>
          <w:szCs w:val="18"/>
          <w:b w:val="1"/>
          <w:bCs w:val="1"/>
          <w:color w:val="auto"/>
        </w:rPr>
        <w:t>Miami, Florida</w:t>
      </w:r>
    </w:p>
    <w:p>
      <w:pPr>
        <w:spacing w:after="0" w:line="9" w:lineRule="exact"/>
        <w:rPr>
          <w:sz w:val="24"/>
          <w:szCs w:val="24"/>
          <w:color w:val="auto"/>
        </w:rPr>
      </w:pPr>
    </w:p>
    <w:p>
      <w:pPr>
        <w:jc w:val="center"/>
        <w:ind w:right="1700"/>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jc w:val="center"/>
        <w:ind w:right="2420"/>
        <w:spacing w:after="0"/>
        <w:rPr>
          <w:sz w:val="20"/>
          <w:szCs w:val="20"/>
          <w:color w:val="auto"/>
        </w:rPr>
      </w:pPr>
      <w:r>
        <w:rPr>
          <w:rFonts w:ascii="Times New Roman" w:cs="Times New Roman" w:eastAsia="Times New Roman" w:hAnsi="Times New Roman"/>
          <w:sz w:val="18"/>
          <w:szCs w:val="18"/>
          <w:b w:val="1"/>
          <w:bCs w:val="1"/>
          <w:color w:val="auto"/>
        </w:rPr>
        <w:t>33178</w:t>
      </w:r>
    </w:p>
    <w:p>
      <w:pPr>
        <w:spacing w:after="0" w:line="31" w:lineRule="exact"/>
        <w:rPr>
          <w:sz w:val="24"/>
          <w:szCs w:val="24"/>
          <w:color w:val="auto"/>
        </w:rPr>
      </w:pPr>
    </w:p>
    <w:p>
      <w:pPr>
        <w:jc w:val="center"/>
        <w:ind w:right="2420"/>
        <w:spacing w:after="0"/>
        <w:rPr>
          <w:sz w:val="20"/>
          <w:szCs w:val="20"/>
          <w:color w:val="auto"/>
        </w:rPr>
      </w:pPr>
      <w:r>
        <w:rPr>
          <w:rFonts w:ascii="Times New Roman" w:cs="Times New Roman" w:eastAsia="Times New Roman" w:hAnsi="Times New Roman"/>
          <w:sz w:val="17"/>
          <w:szCs w:val="17"/>
          <w:color w:val="auto"/>
        </w:rPr>
        <w:t>(Zip Code)</w:t>
      </w:r>
    </w:p>
    <w:p>
      <w:pPr>
        <w:spacing w:after="0" w:line="427" w:lineRule="exact"/>
        <w:rPr>
          <w:sz w:val="24"/>
          <w:szCs w:val="24"/>
          <w:color w:val="auto"/>
        </w:rPr>
      </w:pPr>
    </w:p>
    <w:p>
      <w:pPr>
        <w:sectPr>
          <w:pgSz w:w="11900" w:h="16838" w:orient="portrait"/>
          <w:cols w:equalWidth="0" w:num="2">
            <w:col w:w="7320" w:space="720"/>
            <w:col w:w="3200"/>
          </w:cols>
          <w:pgMar w:left="320" w:top="209" w:right="339" w:bottom="1440" w:gutter="0" w:footer="0" w:header="0"/>
          <w:type w:val="continuous"/>
        </w:sectPr>
      </w:pPr>
    </w:p>
    <w:p>
      <w:pPr>
        <w:spacing w:after="0" w:line="3" w:lineRule="exact"/>
        <w:rPr>
          <w:sz w:val="24"/>
          <w:szCs w:val="24"/>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(305) 428-8000</w:t>
      </w:r>
    </w:p>
    <w:p>
      <w:pPr>
        <w:spacing w:after="0" w:line="256"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229" w:lineRule="exact"/>
        <w:rPr>
          <w:sz w:val="24"/>
          <w:szCs w:val="24"/>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40" w:lineRule="exact"/>
        <w:rPr>
          <w:rFonts w:ascii="MS PGothic" w:cs="MS PGothic" w:eastAsia="MS PGothic" w:hAnsi="MS PGothic"/>
          <w:sz w:val="22"/>
          <w:szCs w:val="22"/>
          <w:color w:val="auto"/>
        </w:rPr>
      </w:pPr>
    </w:p>
    <w:p>
      <w:pPr>
        <w:ind w:left="300" w:hanging="292"/>
        <w:spacing w:after="0" w:line="234" w:lineRule="auto"/>
        <w:tabs>
          <w:tab w:leader="none" w:pos="3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0"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Pre-commencement communications pursuant to Rule 14d-2(b) under the Exchange Act (17 CFR 240.14d-2(b))</w:t>
      </w:r>
    </w:p>
    <w:p>
      <w:pPr>
        <w:spacing w:after="0" w:line="3"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Pre-commencement communications pursuant to Rule 13e-4(c) under the Exchange Act (17 CFR 240.13e-4(c))</w:t>
      </w:r>
    </w:p>
    <w:p>
      <w:pPr>
        <w:spacing w:after="0" w:line="19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5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tc>
        <w:tc>
          <w:tcPr>
            <w:tcW w:w="3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91"/>
        </w:trPr>
        <w:tc>
          <w:tcPr>
            <w:tcW w:w="13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98"/>
              </w:rPr>
              <w:t>Title of each class</w:t>
            </w:r>
          </w:p>
        </w:tc>
        <w:tc>
          <w:tcPr>
            <w:tcW w:w="3180" w:type="dxa"/>
            <w:vAlign w:val="bottom"/>
          </w:tcPr>
          <w:p>
            <w:pPr>
              <w:spacing w:after="0"/>
              <w:rPr>
                <w:sz w:val="24"/>
                <w:szCs w:val="24"/>
                <w:color w:val="auto"/>
              </w:rPr>
            </w:pPr>
          </w:p>
        </w:tc>
        <w:tc>
          <w:tcPr>
            <w:tcW w:w="2780" w:type="dxa"/>
            <w:vAlign w:val="bottom"/>
            <w:gridSpan w:val="3"/>
          </w:tcPr>
          <w:p>
            <w:pPr>
              <w:jc w:val="center"/>
              <w:ind w:right="600"/>
              <w:spacing w:after="0"/>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33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0"/>
        </w:trPr>
        <w:tc>
          <w:tcPr>
            <w:tcW w:w="1360" w:type="dxa"/>
            <w:vAlign w:val="bottom"/>
            <w:shd w:val="clear" w:color="auto" w:fill="000000"/>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340" w:type="dxa"/>
            <w:vAlign w:val="bottom"/>
            <w:shd w:val="clear" w:color="auto" w:fill="000000"/>
          </w:tcPr>
          <w:p>
            <w:pPr>
              <w:spacing w:after="0" w:line="20" w:lineRule="exact"/>
              <w:rPr>
                <w:sz w:val="1"/>
                <w:szCs w:val="1"/>
                <w:color w:val="auto"/>
              </w:rPr>
            </w:pPr>
          </w:p>
        </w:tc>
      </w:tr>
      <w:tr>
        <w:trPr>
          <w:trHeight w:val="453"/>
        </w:trPr>
        <w:tc>
          <w:tcPr>
            <w:tcW w:w="45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Common Stock, par value $0.01 per share</w:t>
            </w:r>
          </w:p>
        </w:tc>
        <w:tc>
          <w:tcPr>
            <w:tcW w:w="380" w:type="dxa"/>
            <w:vAlign w:val="bottom"/>
          </w:tcPr>
          <w:p>
            <w:pPr>
              <w:spacing w:after="0"/>
              <w:rPr>
                <w:sz w:val="24"/>
                <w:szCs w:val="24"/>
                <w:color w:val="auto"/>
              </w:rPr>
            </w:pPr>
          </w:p>
        </w:tc>
        <w:tc>
          <w:tcPr>
            <w:tcW w:w="2400" w:type="dxa"/>
            <w:vAlign w:val="bottom"/>
            <w:gridSpan w:val="2"/>
          </w:tcPr>
          <w:p>
            <w:pPr>
              <w:jc w:val="center"/>
              <w:ind w:right="980"/>
              <w:spacing w:after="0"/>
              <w:rPr>
                <w:sz w:val="20"/>
                <w:szCs w:val="20"/>
                <w:color w:val="auto"/>
              </w:rPr>
            </w:pPr>
            <w:r>
              <w:rPr>
                <w:rFonts w:ascii="Times New Roman" w:cs="Times New Roman" w:eastAsia="Times New Roman" w:hAnsi="Times New Roman"/>
                <w:sz w:val="18"/>
                <w:szCs w:val="18"/>
                <w:color w:val="auto"/>
                <w:w w:val="99"/>
              </w:rPr>
              <w:t>INT</w:t>
            </w:r>
          </w:p>
        </w:tc>
        <w:tc>
          <w:tcPr>
            <w:tcW w:w="33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New York Stock Exchange</w:t>
            </w:r>
          </w:p>
        </w:tc>
      </w:tr>
    </w:tbl>
    <w:p>
      <w:pPr>
        <w:spacing w:after="0" w:line="225" w:lineRule="exact"/>
        <w:rPr>
          <w:sz w:val="24"/>
          <w:szCs w:val="24"/>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60"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81" w:lineRule="exact"/>
        <w:rPr>
          <w:sz w:val="24"/>
          <w:szCs w:val="24"/>
          <w:color w:val="auto"/>
        </w:rPr>
      </w:pPr>
    </w:p>
    <w:p>
      <w:pPr>
        <w:ind w:right="16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99695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09" w:right="339" w:bottom="1440" w:gutter="0" w:footer="0" w:header="0"/>
          <w:type w:val="continuous"/>
        </w:sectPr>
      </w:pPr>
    </w:p>
    <w:bookmarkStart w:id="1" w:name="page2"/>
    <w:bookmarkEnd w:id="1"/>
    <w:p>
      <w:pPr>
        <w:spacing w:after="0"/>
        <w:tabs>
          <w:tab w:leader="none" w:pos="1200" w:val="left"/>
        </w:tabs>
        <w:rPr>
          <w:sz w:val="20"/>
          <w:szCs w:val="20"/>
          <w:color w:val="auto"/>
        </w:rPr>
      </w:pPr>
      <w:r>
        <w:rPr>
          <w:rFonts w:ascii="Times New Roman" w:cs="Times New Roman" w:eastAsia="Times New Roman" w:hAnsi="Times New Roman"/>
          <w:sz w:val="18"/>
          <w:szCs w:val="18"/>
          <w:b w:val="1"/>
          <w:bCs w:val="1"/>
          <w:color w:val="auto"/>
        </w:rPr>
        <w:t>Item 7.01.</w:t>
      </w:r>
      <w:r>
        <w:rPr>
          <w:sz w:val="20"/>
          <w:szCs w:val="20"/>
          <w:color w:val="auto"/>
        </w:rPr>
        <w:tab/>
      </w:r>
      <w:r>
        <w:rPr>
          <w:rFonts w:ascii="Times New Roman" w:cs="Times New Roman" w:eastAsia="Times New Roman" w:hAnsi="Times New Roman"/>
          <w:sz w:val="17"/>
          <w:szCs w:val="17"/>
          <w:b w:val="1"/>
          <w:bCs w:val="1"/>
          <w:color w:val="auto"/>
        </w:rPr>
        <w:t>Regulation FD Disclosure</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World Fuel Services Corporation announced today that its board of directors has declared a quarterly cash dividend of $0.10 per share payable on January 5, 2021 to shareholders of record on December 11, 2020. A copy of the press release is attached hereto as Exhibit 99.1.</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172" w:lineRule="exact"/>
        <w:rPr>
          <w:sz w:val="20"/>
          <w:szCs w:val="20"/>
          <w:color w:val="auto"/>
        </w:rPr>
      </w:pPr>
    </w:p>
    <w:p>
      <w:pPr>
        <w:spacing w:after="0"/>
        <w:tabs>
          <w:tab w:leader="none" w:pos="120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8"/>
          <w:szCs w:val="18"/>
          <w:b w:val="1"/>
          <w:bCs w:val="1"/>
          <w:color w:val="auto"/>
        </w:rPr>
        <w:t>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0" w:type="dxa"/>
            <w:vAlign w:val="bottom"/>
          </w:tcPr>
          <w:p>
            <w:pPr>
              <w:spacing w:after="0"/>
              <w:rPr>
                <w:sz w:val="20"/>
                <w:szCs w:val="20"/>
                <w:color w:val="auto"/>
              </w:rPr>
            </w:pPr>
            <w:r>
              <w:rPr>
                <w:rFonts w:ascii="Times New Roman" w:cs="Times New Roman" w:eastAsia="Times New Roman" w:hAnsi="Times New Roman"/>
                <w:sz w:val="18"/>
                <w:szCs w:val="18"/>
                <w:color w:val="auto"/>
              </w:rPr>
              <w:t>(d)</w:t>
            </w:r>
          </w:p>
        </w:tc>
        <w:tc>
          <w:tcPr>
            <w:tcW w:w="13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Exhibits</w:t>
            </w: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8420" w:type="dxa"/>
            <w:vAlign w:val="bottom"/>
          </w:tcPr>
          <w:p>
            <w:pPr>
              <w:spacing w:after="0"/>
              <w:rPr>
                <w:sz w:val="20"/>
                <w:szCs w:val="20"/>
                <w:color w:val="auto"/>
              </w:rPr>
            </w:pPr>
          </w:p>
        </w:tc>
      </w:tr>
      <w:tr>
        <w:trPr>
          <w:trHeight w:val="391"/>
        </w:trPr>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w w:val="97"/>
              </w:rPr>
              <w:t>Exhibit No.</w:t>
            </w:r>
          </w:p>
        </w:tc>
        <w:tc>
          <w:tcPr>
            <w:tcW w:w="260" w:type="dxa"/>
            <w:vAlign w:val="bottom"/>
          </w:tcPr>
          <w:p>
            <w:pPr>
              <w:spacing w:after="0"/>
              <w:rPr>
                <w:sz w:val="24"/>
                <w:szCs w:val="24"/>
                <w:color w:val="auto"/>
              </w:rPr>
            </w:pPr>
          </w:p>
        </w:tc>
        <w:tc>
          <w:tcPr>
            <w:tcW w:w="9540" w:type="dxa"/>
            <w:vAlign w:val="bottom"/>
            <w:gridSpan w:val="3"/>
          </w:tcPr>
          <w:p>
            <w:pPr>
              <w:ind w:left="280"/>
              <w:spacing w:after="0"/>
              <w:rPr>
                <w:sz w:val="20"/>
                <w:szCs w:val="20"/>
                <w:color w:val="auto"/>
              </w:rPr>
            </w:pPr>
            <w:r>
              <w:rPr>
                <w:rFonts w:ascii="Times New Roman" w:cs="Times New Roman" w:eastAsia="Times New Roman" w:hAnsi="Times New Roman"/>
                <w:sz w:val="18"/>
                <w:szCs w:val="18"/>
                <w:color w:val="auto"/>
              </w:rPr>
              <w:t>Description</w:t>
            </w:r>
          </w:p>
        </w:tc>
      </w:tr>
      <w:tr>
        <w:trPr>
          <w:trHeight w:val="20"/>
        </w:trPr>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420" w:type="dxa"/>
            <w:vAlign w:val="bottom"/>
          </w:tcPr>
          <w:p>
            <w:pPr>
              <w:spacing w:after="0" w:line="20" w:lineRule="exact"/>
              <w:rPr>
                <w:sz w:val="1"/>
                <w:szCs w:val="1"/>
                <w:color w:val="auto"/>
              </w:rPr>
            </w:pPr>
          </w:p>
        </w:tc>
      </w:tr>
      <w:tr>
        <w:trPr>
          <w:trHeight w:val="453"/>
        </w:trPr>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99.1</w:t>
            </w: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Press Release, dated November 20, 2020.</w:t>
            </w:r>
          </w:p>
        </w:tc>
      </w:tr>
      <w:tr>
        <w:trPr>
          <w:trHeight w:val="183"/>
        </w:trPr>
        <w:tc>
          <w:tcPr>
            <w:tcW w:w="4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8420" w:type="dxa"/>
            <w:vAlign w:val="bottom"/>
            <w:tcBorders>
              <w:bottom w:val="single" w:sz="8" w:color="auto"/>
            </w:tcBorders>
          </w:tcPr>
          <w:p>
            <w:pPr>
              <w:spacing w:after="0"/>
              <w:rPr>
                <w:sz w:val="15"/>
                <w:szCs w:val="15"/>
                <w:color w:val="auto"/>
              </w:rPr>
            </w:pPr>
          </w:p>
        </w:tc>
      </w:tr>
    </w:tbl>
    <w:p>
      <w:pPr>
        <w:sectPr>
          <w:pgSz w:w="11900" w:h="16838" w:orient="portrait"/>
          <w:cols w:equalWidth="0" w:num="1">
            <w:col w:w="11240"/>
          </w:cols>
          <w:pgMar w:left="320" w:top="117" w:right="339" w:bottom="1440" w:gutter="0" w:footer="0" w:header="0"/>
        </w:sectPr>
      </w:pPr>
    </w:p>
    <w:bookmarkStart w:id="2" w:name="page3"/>
    <w:bookmarkEnd w:id="2"/>
    <w:p>
      <w:pPr>
        <w:jc w:val="center"/>
        <w:ind w:right="-53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right="140" w:firstLine="324"/>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58" w:lineRule="exact"/>
        <w:rPr>
          <w:sz w:val="20"/>
          <w:szCs w:val="20"/>
          <w:color w:val="auto"/>
        </w:rPr>
      </w:pPr>
    </w:p>
    <w:p>
      <w:pPr>
        <w:spacing w:after="0"/>
        <w:tabs>
          <w:tab w:leader="none" w:pos="5620" w:val="left"/>
        </w:tabs>
        <w:rPr>
          <w:sz w:val="20"/>
          <w:szCs w:val="20"/>
          <w:color w:val="auto"/>
        </w:rPr>
      </w:pPr>
      <w:r>
        <w:rPr>
          <w:rFonts w:ascii="Times New Roman" w:cs="Times New Roman" w:eastAsia="Times New Roman" w:hAnsi="Times New Roman"/>
          <w:sz w:val="18"/>
          <w:szCs w:val="18"/>
          <w:color w:val="auto"/>
        </w:rPr>
        <w:t>Date: November 20, 2020</w:t>
      </w:r>
      <w:r>
        <w:rPr>
          <w:sz w:val="20"/>
          <w:szCs w:val="20"/>
          <w:color w:val="auto"/>
        </w:rPr>
        <w:tab/>
      </w:r>
      <w:r>
        <w:rPr>
          <w:rFonts w:ascii="Times New Roman" w:cs="Times New Roman" w:eastAsia="Times New Roman" w:hAnsi="Times New Roman"/>
          <w:sz w:val="17"/>
          <w:szCs w:val="17"/>
          <w:b w:val="1"/>
          <w:bCs w:val="1"/>
          <w:color w:val="auto"/>
        </w:rPr>
        <w:t>World Fuel Services Corporation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/s/ R. Alexander Lake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3579495</wp:posOffset>
            </wp:positionH>
            <wp:positionV relativeFrom="paragraph">
              <wp:posOffset>17145</wp:posOffset>
            </wp:positionV>
            <wp:extent cx="284607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16"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R. Alexander Lake</w:t>
      </w:r>
    </w:p>
    <w:p>
      <w:pPr>
        <w:spacing w:after="0" w:line="2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Executive Vice President, Chief Legal Officer and 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40"/>
          </w:cols>
          <w:pgMar w:left="320" w:top="117" w:right="839" w:bottom="1440" w:gutter="0" w:footer="0" w:header="0"/>
        </w:sectPr>
      </w:pPr>
    </w:p>
    <w:bookmarkStart w:id="3" w:name="page4"/>
    <w:bookmarkEnd w:id="3"/>
    <w:p>
      <w:pPr>
        <w:ind w:left="4960"/>
        <w:spacing w:after="0"/>
        <w:rPr>
          <w:sz w:val="20"/>
          <w:szCs w:val="20"/>
          <w:color w:val="auto"/>
        </w:rPr>
      </w:pPr>
      <w:r>
        <w:rPr>
          <w:rFonts w:ascii="Times New Roman" w:cs="Times New Roman" w:eastAsia="Times New Roman" w:hAnsi="Times New Roman"/>
          <w:sz w:val="18"/>
          <w:szCs w:val="18"/>
          <w:color w:val="auto"/>
        </w:rPr>
        <w:t>EXHIBIT INDEX</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Exhibit</w:t>
            </w:r>
          </w:p>
        </w:tc>
        <w:tc>
          <w:tcPr>
            <w:tcW w:w="89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Description</w:t>
            </w:r>
          </w:p>
        </w:tc>
      </w:tr>
      <w:tr>
        <w:trPr>
          <w:trHeight w:val="234"/>
        </w:trPr>
        <w:tc>
          <w:tcPr>
            <w:tcW w:w="1140" w:type="dxa"/>
            <w:vAlign w:val="bottom"/>
            <w:tcBorders>
              <w:top w:val="single" w:sz="8" w:color="auto"/>
            </w:tcBorders>
          </w:tcPr>
          <w:p>
            <w:pPr>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99.1</w:t>
              </w:r>
            </w:hyperlink>
          </w:p>
        </w:tc>
        <w:tc>
          <w:tcPr>
            <w:tcW w:w="440" w:type="dxa"/>
            <w:vAlign w:val="bottom"/>
          </w:tcPr>
          <w:p>
            <w:pPr>
              <w:spacing w:after="0"/>
              <w:rPr>
                <w:sz w:val="20"/>
                <w:szCs w:val="20"/>
                <w:color w:val="auto"/>
              </w:rPr>
            </w:pPr>
          </w:p>
        </w:tc>
        <w:tc>
          <w:tcPr>
            <w:tcW w:w="8540" w:type="dxa"/>
            <w:vAlign w:val="bottom"/>
            <w:tcBorders>
              <w:top w:val="single" w:sz="8" w:color="auto"/>
            </w:tcBorders>
          </w:tcPr>
          <w:p>
            <w:pPr>
              <w:spacing w:after="0"/>
              <w:rPr>
                <w:rFonts w:ascii="Times New Roman" w:cs="Times New Roman" w:eastAsia="Times New Roman" w:hAnsi="Times New Roman"/>
                <w:sz w:val="18"/>
                <w:szCs w:val="18"/>
                <w:color w:val="0000EE"/>
              </w:rPr>
            </w:pPr>
            <w:hyperlink w:anchor="page5">
              <w:r>
                <w:rPr>
                  <w:rFonts w:ascii="Times New Roman" w:cs="Times New Roman" w:eastAsia="Times New Roman" w:hAnsi="Times New Roman"/>
                  <w:sz w:val="18"/>
                  <w:szCs w:val="18"/>
                  <w:u w:val="single" w:color="auto"/>
                  <w:color w:val="0000EE"/>
                </w:rPr>
                <w:t>Press Release, dated November 20, 2020</w:t>
              </w:r>
              <w:r>
                <w:rPr>
                  <w:rFonts w:ascii="Times New Roman" w:cs="Times New Roman" w:eastAsia="Times New Roman" w:hAnsi="Times New Roman"/>
                  <w:sz w:val="18"/>
                  <w:szCs w:val="18"/>
                  <w:color w:val="0000EE"/>
                </w:rPr>
                <w:t>.</w:t>
              </w:r>
            </w:hyperlink>
          </w:p>
        </w:tc>
      </w:tr>
    </w:tbl>
    <w:p>
      <w:pPr>
        <w:sectPr>
          <w:pgSz w:w="11900" w:h="16838" w:orient="portrait"/>
          <w:cols w:equalWidth="0" w:num="1">
            <w:col w:w="10139"/>
          </w:cols>
          <w:pgMar w:left="320" w:top="121" w:right="1440"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World Fuel Services Corporation Declares Regular Quarterly Cash Dividend</w:t>
      </w:r>
    </w:p>
    <w:p>
      <w:pPr>
        <w:spacing w:after="0" w:line="227" w:lineRule="exact"/>
        <w:rPr>
          <w:sz w:val="20"/>
          <w:szCs w:val="20"/>
          <w:color w:val="auto"/>
        </w:rPr>
      </w:pPr>
    </w:p>
    <w:p>
      <w:pPr>
        <w:ind w:right="100"/>
        <w:spacing w:after="0" w:line="244" w:lineRule="auto"/>
        <w:rPr>
          <w:sz w:val="20"/>
          <w:szCs w:val="20"/>
          <w:color w:val="auto"/>
        </w:rPr>
      </w:pPr>
      <w:r>
        <w:rPr>
          <w:rFonts w:ascii="Times New Roman" w:cs="Times New Roman" w:eastAsia="Times New Roman" w:hAnsi="Times New Roman"/>
          <w:sz w:val="22"/>
          <w:szCs w:val="22"/>
          <w:color w:val="auto"/>
        </w:rPr>
        <w:t>MIAMI--(BUSINESS WIRE)--November 20, 2020--World Fuel Services Corporation (NYSE:INT) announced today that its board of directors has declared a quarterly cash dividend of $0.10 per share payable on January 5, 2021 to shareholders of record on December 11, 2020.</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About World Fuel Services Corporation</w:t>
      </w:r>
    </w:p>
    <w:p>
      <w:pPr>
        <w:spacing w:after="0" w:line="206" w:lineRule="exact"/>
        <w:rPr>
          <w:sz w:val="20"/>
          <w:szCs w:val="20"/>
          <w:color w:val="auto"/>
        </w:rPr>
      </w:pPr>
    </w:p>
    <w:p>
      <w:pPr>
        <w:ind w:right="360"/>
        <w:spacing w:after="0" w:line="255" w:lineRule="auto"/>
        <w:rPr>
          <w:sz w:val="20"/>
          <w:szCs w:val="20"/>
          <w:color w:val="auto"/>
        </w:rPr>
      </w:pPr>
      <w:r>
        <w:rPr>
          <w:rFonts w:ascii="Times New Roman" w:cs="Times New Roman" w:eastAsia="Times New Roman" w:hAnsi="Times New Roman"/>
          <w:sz w:val="21"/>
          <w:szCs w:val="21"/>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For more information, call 305-428-8000 or visit www.wfscorp.com.</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Ira M. Birns,</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Executive Vice President &amp;</w:t>
      </w:r>
    </w:p>
    <w:p>
      <w:pPr>
        <w:spacing w:after="0"/>
        <w:rPr>
          <w:sz w:val="20"/>
          <w:szCs w:val="20"/>
          <w:color w:val="auto"/>
        </w:rPr>
      </w:pPr>
      <w:r>
        <w:rPr>
          <w:rFonts w:ascii="Times New Roman" w:cs="Times New Roman" w:eastAsia="Times New Roman" w:hAnsi="Times New Roman"/>
          <w:sz w:val="22"/>
          <w:szCs w:val="22"/>
          <w:color w:val="auto"/>
        </w:rPr>
        <w:t>Chief Financial Officer</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Glenn Klevitz,</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Vice President &amp; Treasurer</w:t>
      </w:r>
    </w:p>
    <w:p>
      <w:pPr>
        <w:spacing w:after="0"/>
        <w:rPr>
          <w:sz w:val="20"/>
          <w:szCs w:val="20"/>
          <w:color w:val="auto"/>
        </w:rPr>
      </w:pPr>
      <w:r>
        <w:rPr>
          <w:rFonts w:ascii="Times New Roman" w:cs="Times New Roman" w:eastAsia="Times New Roman" w:hAnsi="Times New Roman"/>
          <w:sz w:val="22"/>
          <w:szCs w:val="22"/>
          <w:color w:val="auto"/>
        </w:rPr>
        <w:t>305-428-8000</w:t>
      </w:r>
    </w:p>
    <w:sectPr>
      <w:pgSz w:w="11900" w:h="16838" w:orient="portrait"/>
      <w:cols w:equalWidth="0" w:num="1">
        <w:col w:w="11240"/>
      </w:cols>
      <w:pgMar w:left="320" w:top="1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2020-11-20T15:23:13Z</dcterms:created>
  <dcterms:modified xsi:type="dcterms:W3CDTF">2020-11-20T15:23:13Z</dcterms:modified>
</cp:coreProperties>
</file>