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w:t>
      </w:r>
    </w:p>
    <w:p>
      <w:pPr>
        <w:spacing w:after="0" w:line="238" w:lineRule="auto"/>
        <w:rPr>
          <w:sz w:val="20"/>
          <w:szCs w:val="20"/>
          <w:color w:val="auto"/>
        </w:rPr>
      </w:pPr>
      <w:r>
        <w:rPr>
          <w:rFonts w:ascii="Courier New" w:cs="Courier New" w:eastAsia="Courier New" w:hAnsi="Courier New"/>
          <w:sz w:val="18"/>
          <w:szCs w:val="18"/>
          <w:color w:val="auto"/>
        </w:rPr>
        <w:t>World Fuel Services Corporation</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 981475106</w:t>
      </w:r>
    </w:p>
    <w:p>
      <w:pPr>
        <w:spacing w:after="0" w:line="238" w:lineRule="auto"/>
        <w:rPr>
          <w:sz w:val="20"/>
          <w:szCs w:val="20"/>
          <w:color w:val="auto"/>
        </w:rPr>
      </w:pPr>
      <w:r>
        <w:rPr>
          <w:rFonts w:ascii="Courier New" w:cs="Courier New" w:eastAsia="Courier New" w:hAnsi="Courier New"/>
          <w:sz w:val="18"/>
          <w:szCs w:val="18"/>
          <w:color w:val="auto"/>
        </w:rPr>
        <w:t>Filing Fee: Yes</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 981475106</w:t>
      </w:r>
    </w:p>
    <w:p>
      <w:pPr>
        <w:spacing w:after="0"/>
        <w:tabs>
          <w:tab w:leader="none" w:pos="5140" w:val="left"/>
        </w:tabs>
        <w:rPr>
          <w:sz w:val="20"/>
          <w:szCs w:val="20"/>
          <w:color w:val="auto"/>
        </w:rPr>
      </w:pPr>
      <w:r>
        <w:rPr>
          <w:rFonts w:ascii="Courier New" w:cs="Courier New" w:eastAsia="Courier New" w:hAnsi="Courier New"/>
          <w:sz w:val="18"/>
          <w:szCs w:val="18"/>
          <w:color w:val="auto"/>
        </w:rPr>
        <w:t>Item 1: Reporting Person - FMR Corp. - (Tax ID:</w:t>
      </w:r>
      <w:r>
        <w:rPr>
          <w:sz w:val="20"/>
          <w:szCs w:val="20"/>
          <w:color w:val="auto"/>
        </w:rPr>
        <w:tab/>
      </w:r>
      <w:r>
        <w:rPr>
          <w:rFonts w:ascii="Courier New" w:cs="Courier New" w:eastAsia="Courier New" w:hAnsi="Courier New"/>
          <w:sz w:val="16"/>
          <w:szCs w:val="16"/>
          <w:color w:val="auto"/>
        </w:rPr>
        <w:t>04-2507163)</w:t>
      </w:r>
    </w:p>
    <w:p>
      <w:pPr>
        <w:spacing w:after="0"/>
        <w:rPr>
          <w:sz w:val="20"/>
          <w:szCs w:val="20"/>
          <w:color w:val="auto"/>
        </w:rPr>
      </w:pPr>
      <w:r>
        <w:rPr>
          <w:rFonts w:ascii="Courier New" w:cs="Courier New" w:eastAsia="Courier New" w:hAnsi="Courier New"/>
          <w:sz w:val="18"/>
          <w:szCs w:val="18"/>
          <w:color w:val="auto"/>
        </w:rPr>
        <w:t>Item 4: Commonwealth of Massachusetts</w:t>
      </w:r>
    </w:p>
    <w:p>
      <w:pPr>
        <w:sectPr>
          <w:pgSz w:w="11900" w:h="16838" w:orient="portrait"/>
          <w:cols w:equalWidth="0" w:num="1">
            <w:col w:w="10219"/>
          </w:cols>
          <w:pgMar w:left="240" w:top="852" w:right="1440" w:bottom="0" w:gutter="0" w:footer="0" w:header="0"/>
        </w:sectPr>
      </w:pPr>
    </w:p>
    <w:p>
      <w:pPr>
        <w:spacing w:after="0" w:line="3" w:lineRule="exact"/>
        <w:rPr>
          <w:sz w:val="24"/>
          <w:szCs w:val="24"/>
          <w:color w:val="auto"/>
        </w:rPr>
      </w:pPr>
    </w:p>
    <w:p>
      <w:pPr>
        <w:spacing w:after="0" w:line="271" w:lineRule="auto"/>
        <w:rPr>
          <w:sz w:val="20"/>
          <w:szCs w:val="20"/>
          <w:color w:val="auto"/>
        </w:rPr>
      </w:pPr>
      <w:r>
        <w:rPr>
          <w:rFonts w:ascii="Courier New" w:cs="Courier New" w:eastAsia="Courier New" w:hAnsi="Courier New"/>
          <w:sz w:val="16"/>
          <w:szCs w:val="16"/>
          <w:color w:val="auto"/>
        </w:rPr>
        <w:t>Item 5: 4,300 Item 6: None Item 7: 791,804 Item 8: None Item 9: 791,804 Item 11: Item 12:</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9.99%</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HC</w:t>
      </w:r>
    </w:p>
    <w:p>
      <w:pPr>
        <w:spacing w:after="0" w:line="218" w:lineRule="exact"/>
        <w:rPr>
          <w:sz w:val="24"/>
          <w:szCs w:val="24"/>
          <w:color w:val="auto"/>
        </w:rPr>
      </w:pPr>
    </w:p>
    <w:p>
      <w:pPr>
        <w:sectPr>
          <w:pgSz w:w="11900" w:h="16838" w:orient="portrait"/>
          <w:cols w:equalWidth="0" w:num="2">
            <w:col w:w="1580" w:space="120"/>
            <w:col w:w="8519"/>
          </w:cols>
          <w:pgMar w:left="240" w:top="852" w:right="1440" w:bottom="0" w:gutter="0" w:footer="0" w:header="0"/>
          <w:type w:val="continuous"/>
        </w:sectPr>
      </w:pPr>
    </w:p>
    <w:p>
      <w:pPr>
        <w:spacing w:after="0" w:line="200" w:lineRule="exact"/>
        <w:rPr>
          <w:sz w:val="24"/>
          <w:szCs w:val="24"/>
          <w:color w:val="auto"/>
        </w:rPr>
      </w:pPr>
    </w:p>
    <w:p>
      <w:pPr>
        <w:spacing w:after="0" w:line="39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 981475106</w:t>
      </w:r>
    </w:p>
    <w:p>
      <w:pPr>
        <w:spacing w:after="0"/>
        <w:tabs>
          <w:tab w:leader="none" w:pos="6300" w:val="left"/>
        </w:tabs>
        <w:rPr>
          <w:sz w:val="20"/>
          <w:szCs w:val="20"/>
          <w:color w:val="auto"/>
        </w:rPr>
      </w:pPr>
      <w:r>
        <w:rPr>
          <w:rFonts w:ascii="Courier New" w:cs="Courier New" w:eastAsia="Courier New" w:hAnsi="Courier New"/>
          <w:sz w:val="18"/>
          <w:szCs w:val="18"/>
          <w:color w:val="auto"/>
        </w:rPr>
        <w:t>Item 1: Reporting Person - Edward C. Johnson 3d - (Tax ID:</w:t>
      </w:r>
      <w:r>
        <w:rPr>
          <w:sz w:val="20"/>
          <w:szCs w:val="20"/>
          <w:color w:val="auto"/>
        </w:rPr>
        <w:tab/>
      </w:r>
      <w:r>
        <w:rPr>
          <w:rFonts w:ascii="Courier New" w:cs="Courier New" w:eastAsia="Courier New" w:hAnsi="Courier New"/>
          <w:sz w:val="16"/>
          <w:szCs w:val="16"/>
          <w:color w:val="auto"/>
        </w:rPr>
        <w:t>###-##-####)</w:t>
      </w:r>
    </w:p>
    <w:p>
      <w:pPr>
        <w:spacing w:after="0"/>
        <w:rPr>
          <w:sz w:val="20"/>
          <w:szCs w:val="20"/>
          <w:color w:val="auto"/>
        </w:rPr>
      </w:pPr>
      <w:r>
        <w:rPr>
          <w:rFonts w:ascii="Courier New" w:cs="Courier New" w:eastAsia="Courier New" w:hAnsi="Courier New"/>
          <w:sz w:val="18"/>
          <w:szCs w:val="18"/>
          <w:color w:val="auto"/>
        </w:rPr>
        <w:t>Item 4: United States of America</w:t>
      </w:r>
    </w:p>
    <w:p>
      <w:pPr>
        <w:sectPr>
          <w:pgSz w:w="11900" w:h="16838" w:orient="portrait"/>
          <w:cols w:equalWidth="0" w:num="1">
            <w:col w:w="10219"/>
          </w:cols>
          <w:pgMar w:left="240" w:top="852" w:right="1440" w:bottom="0" w:gutter="0" w:footer="0" w:header="0"/>
          <w:type w:val="continuous"/>
        </w:sectPr>
      </w:pPr>
    </w:p>
    <w:p>
      <w:pPr>
        <w:spacing w:after="0" w:line="3" w:lineRule="exact"/>
        <w:rPr>
          <w:sz w:val="24"/>
          <w:szCs w:val="24"/>
          <w:color w:val="auto"/>
        </w:rPr>
      </w:pPr>
    </w:p>
    <w:p>
      <w:pPr>
        <w:spacing w:after="0" w:line="271" w:lineRule="auto"/>
        <w:rPr>
          <w:sz w:val="20"/>
          <w:szCs w:val="20"/>
          <w:color w:val="auto"/>
        </w:rPr>
      </w:pPr>
      <w:r>
        <w:rPr>
          <w:rFonts w:ascii="Courier New" w:cs="Courier New" w:eastAsia="Courier New" w:hAnsi="Courier New"/>
          <w:sz w:val="16"/>
          <w:szCs w:val="16"/>
          <w:color w:val="auto"/>
        </w:rPr>
        <w:t>Item 5: None Item 6: None Item 7: 791,804 Item 8: None Item 9: 791,804 Item 11: Item 12:</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9.99%</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w:t>
      </w:r>
    </w:p>
    <w:p>
      <w:pPr>
        <w:spacing w:after="0" w:line="218" w:lineRule="exact"/>
        <w:rPr>
          <w:sz w:val="24"/>
          <w:szCs w:val="24"/>
          <w:color w:val="auto"/>
        </w:rPr>
      </w:pPr>
    </w:p>
    <w:p>
      <w:pPr>
        <w:sectPr>
          <w:pgSz w:w="11900" w:h="16838" w:orient="portrait"/>
          <w:cols w:equalWidth="0" w:num="2">
            <w:col w:w="1580" w:space="120"/>
            <w:col w:w="8519"/>
          </w:cols>
          <w:pgMar w:left="240" w:top="852" w:right="1440" w:bottom="0" w:gutter="0" w:footer="0" w:header="0"/>
          <w:type w:val="continuous"/>
        </w:sectPr>
      </w:pPr>
    </w:p>
    <w:p>
      <w:pPr>
        <w:spacing w:after="0" w:line="38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 981475106</w:t>
      </w:r>
    </w:p>
    <w:p>
      <w:pPr>
        <w:spacing w:after="0"/>
        <w:tabs>
          <w:tab w:leader="none" w:pos="6100" w:val="left"/>
        </w:tabs>
        <w:rPr>
          <w:sz w:val="20"/>
          <w:szCs w:val="20"/>
          <w:color w:val="auto"/>
        </w:rPr>
      </w:pPr>
      <w:r>
        <w:rPr>
          <w:rFonts w:ascii="Courier New" w:cs="Courier New" w:eastAsia="Courier New" w:hAnsi="Courier New"/>
          <w:sz w:val="18"/>
          <w:szCs w:val="18"/>
          <w:color w:val="auto"/>
        </w:rPr>
        <w:t>Item 1: Reporting Person - Abigail P. Johnson - (Tax ID:</w:t>
      </w:r>
      <w:r>
        <w:rPr>
          <w:sz w:val="20"/>
          <w:szCs w:val="20"/>
          <w:color w:val="auto"/>
        </w:rPr>
        <w:tab/>
      </w:r>
      <w:r>
        <w:rPr>
          <w:rFonts w:ascii="Courier New" w:cs="Courier New" w:eastAsia="Courier New" w:hAnsi="Courier New"/>
          <w:sz w:val="16"/>
          <w:szCs w:val="16"/>
          <w:color w:val="auto"/>
        </w:rPr>
        <w:t>###-##-####)</w:t>
      </w:r>
    </w:p>
    <w:p>
      <w:pPr>
        <w:spacing w:after="0"/>
        <w:rPr>
          <w:sz w:val="20"/>
          <w:szCs w:val="20"/>
          <w:color w:val="auto"/>
        </w:rPr>
      </w:pPr>
      <w:r>
        <w:rPr>
          <w:rFonts w:ascii="Courier New" w:cs="Courier New" w:eastAsia="Courier New" w:hAnsi="Courier New"/>
          <w:sz w:val="18"/>
          <w:szCs w:val="18"/>
          <w:color w:val="auto"/>
        </w:rPr>
        <w:t>Item 4: United States of America</w:t>
      </w:r>
    </w:p>
    <w:p>
      <w:pPr>
        <w:sectPr>
          <w:pgSz w:w="11900" w:h="16838" w:orient="portrait"/>
          <w:cols w:equalWidth="0" w:num="1">
            <w:col w:w="10219"/>
          </w:cols>
          <w:pgMar w:left="240" w:top="852" w:right="1440" w:bottom="0" w:gutter="0" w:footer="0" w:header="0"/>
          <w:type w:val="continuous"/>
        </w:sectPr>
      </w:pPr>
    </w:p>
    <w:p>
      <w:pPr>
        <w:spacing w:after="0" w:line="3" w:lineRule="exact"/>
        <w:rPr>
          <w:sz w:val="24"/>
          <w:szCs w:val="24"/>
          <w:color w:val="auto"/>
        </w:rPr>
      </w:pPr>
    </w:p>
    <w:p>
      <w:pPr>
        <w:spacing w:after="0" w:line="271" w:lineRule="auto"/>
        <w:rPr>
          <w:sz w:val="20"/>
          <w:szCs w:val="20"/>
          <w:color w:val="auto"/>
        </w:rPr>
      </w:pPr>
      <w:r>
        <w:rPr>
          <w:rFonts w:ascii="Courier New" w:cs="Courier New" w:eastAsia="Courier New" w:hAnsi="Courier New"/>
          <w:sz w:val="16"/>
          <w:szCs w:val="16"/>
          <w:color w:val="auto"/>
        </w:rPr>
        <w:t>Item 5: None Item 6: None Item 7: 791,804 Item 8: None Item 9: 791,804 Item 11: Item 12:</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9.99%</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w:t>
      </w:r>
    </w:p>
    <w:p>
      <w:pPr>
        <w:spacing w:after="0" w:line="218" w:lineRule="exact"/>
        <w:rPr>
          <w:sz w:val="24"/>
          <w:szCs w:val="24"/>
          <w:color w:val="auto"/>
        </w:rPr>
      </w:pPr>
    </w:p>
    <w:p>
      <w:pPr>
        <w:sectPr>
          <w:pgSz w:w="11900" w:h="16838" w:orient="portrait"/>
          <w:cols w:equalWidth="0" w:num="2">
            <w:col w:w="1580" w:space="120"/>
            <w:col w:w="8519"/>
          </w:cols>
          <w:pgMar w:left="240" w:top="852" w:right="1440" w:bottom="0" w:gutter="0" w:footer="0" w:header="0"/>
          <w:type w:val="continuous"/>
        </w:sectPr>
      </w:pPr>
    </w:p>
    <w:p>
      <w:pPr>
        <w:spacing w:after="0" w:line="38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 - TO BE INCLUDED IN STATEMENTS</w:t>
      </w:r>
    </w:p>
    <w:p>
      <w:pPr>
        <w:spacing w:after="0" w:line="238" w:lineRule="auto"/>
        <w:rPr>
          <w:sz w:val="20"/>
          <w:szCs w:val="20"/>
          <w:color w:val="auto"/>
        </w:rPr>
      </w:pPr>
      <w:r>
        <w:rPr>
          <w:rFonts w:ascii="Courier New" w:cs="Courier New" w:eastAsia="Courier New" w:hAnsi="Courier New"/>
          <w:sz w:val="18"/>
          <w:szCs w:val="18"/>
          <w:color w:val="auto"/>
        </w:rPr>
        <w:t>FILED PURSUANT TO RULE 13d-1(b) or 13d-2(b)</w:t>
      </w:r>
    </w:p>
    <w:p>
      <w:pPr>
        <w:spacing w:after="0" w:line="200" w:lineRule="exact"/>
        <w:rPr>
          <w:sz w:val="24"/>
          <w:szCs w:val="24"/>
          <w:color w:val="auto"/>
        </w:rPr>
      </w:pPr>
    </w:p>
    <w:p>
      <w:pPr>
        <w:spacing w:after="0" w:line="204"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4"/>
          <w:szCs w:val="24"/>
          <w:color w:val="auto"/>
        </w:rPr>
      </w:pPr>
    </w:p>
    <w:p>
      <w:pPr>
        <w:ind w:left="1700"/>
        <w:spacing w:after="0"/>
        <w:rPr>
          <w:sz w:val="20"/>
          <w:szCs w:val="20"/>
          <w:color w:val="auto"/>
        </w:rPr>
      </w:pPr>
      <w:r>
        <w:rPr>
          <w:rFonts w:ascii="Courier New" w:cs="Courier New" w:eastAsia="Courier New" w:hAnsi="Courier New"/>
          <w:sz w:val="18"/>
          <w:szCs w:val="18"/>
          <w:color w:val="auto"/>
        </w:rPr>
        <w:t>World Fuel Services Corporation</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Name of Issuer's Principal Executive Offices:</w:t>
      </w:r>
    </w:p>
    <w:p>
      <w:pPr>
        <w:spacing w:after="0" w:line="201" w:lineRule="exact"/>
        <w:rPr>
          <w:sz w:val="24"/>
          <w:szCs w:val="24"/>
          <w:color w:val="auto"/>
        </w:rPr>
      </w:pPr>
    </w:p>
    <w:p>
      <w:pPr>
        <w:ind w:left="1700"/>
        <w:spacing w:after="0"/>
        <w:rPr>
          <w:sz w:val="20"/>
          <w:szCs w:val="20"/>
          <w:color w:val="auto"/>
        </w:rPr>
      </w:pPr>
      <w:r>
        <w:rPr>
          <w:rFonts w:ascii="Courier New" w:cs="Courier New" w:eastAsia="Courier New" w:hAnsi="Courier New"/>
          <w:sz w:val="18"/>
          <w:szCs w:val="18"/>
          <w:color w:val="auto"/>
        </w:rPr>
        <w:t>700 South Royal Poinciana Blvd.</w:t>
      </w:r>
    </w:p>
    <w:p>
      <w:pPr>
        <w:ind w:left="1700"/>
        <w:spacing w:after="0"/>
        <w:tabs>
          <w:tab w:leader="none" w:pos="3680" w:val="left"/>
        </w:tabs>
        <w:rPr>
          <w:sz w:val="20"/>
          <w:szCs w:val="20"/>
          <w:color w:val="auto"/>
        </w:rPr>
      </w:pPr>
      <w:r>
        <w:rPr>
          <w:rFonts w:ascii="Courier New" w:cs="Courier New" w:eastAsia="Courier New" w:hAnsi="Courier New"/>
          <w:sz w:val="18"/>
          <w:szCs w:val="18"/>
          <w:color w:val="auto"/>
        </w:rPr>
        <w:t>Miami Springs, FL</w:t>
      </w:r>
      <w:r>
        <w:rPr>
          <w:sz w:val="20"/>
          <w:szCs w:val="20"/>
          <w:color w:val="auto"/>
        </w:rPr>
        <w:tab/>
      </w:r>
      <w:r>
        <w:rPr>
          <w:rFonts w:ascii="Courier New" w:cs="Courier New" w:eastAsia="Courier New" w:hAnsi="Courier New"/>
          <w:sz w:val="16"/>
          <w:szCs w:val="16"/>
          <w:color w:val="auto"/>
        </w:rPr>
        <w:t>33166</w:t>
      </w:r>
    </w:p>
    <w:p>
      <w:pPr>
        <w:spacing w:after="0" w:line="202"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2(a).</w:t>
      </w:r>
      <w:r>
        <w:rPr>
          <w:sz w:val="20"/>
          <w:szCs w:val="20"/>
          <w:color w:val="auto"/>
        </w:rPr>
        <w:tab/>
      </w:r>
      <w:r>
        <w:rPr>
          <w:rFonts w:ascii="Courier New" w:cs="Courier New" w:eastAsia="Courier New" w:hAnsi="Courier New"/>
          <w:sz w:val="16"/>
          <w:szCs w:val="16"/>
          <w:color w:val="auto"/>
        </w:rPr>
        <w:t>Name of Person Filing:</w:t>
      </w:r>
    </w:p>
    <w:p>
      <w:pPr>
        <w:spacing w:after="0" w:line="201" w:lineRule="exact"/>
        <w:rPr>
          <w:sz w:val="24"/>
          <w:szCs w:val="24"/>
          <w:color w:val="auto"/>
        </w:rPr>
      </w:pPr>
    </w:p>
    <w:p>
      <w:pPr>
        <w:ind w:left="1700"/>
        <w:spacing w:after="0"/>
        <w:rPr>
          <w:sz w:val="20"/>
          <w:szCs w:val="20"/>
          <w:color w:val="auto"/>
        </w:rPr>
      </w:pPr>
      <w:r>
        <w:rPr>
          <w:rFonts w:ascii="Courier New" w:cs="Courier New" w:eastAsia="Courier New" w:hAnsi="Courier New"/>
          <w:sz w:val="18"/>
          <w:szCs w:val="18"/>
          <w:color w:val="auto"/>
        </w:rPr>
        <w:t>FMR Corp.</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2(b).</w:t>
      </w:r>
      <w:r>
        <w:rPr>
          <w:sz w:val="20"/>
          <w:szCs w:val="20"/>
          <w:color w:val="auto"/>
        </w:rPr>
        <w:tab/>
      </w:r>
      <w:r>
        <w:rPr>
          <w:rFonts w:ascii="Courier New" w:cs="Courier New" w:eastAsia="Courier New" w:hAnsi="Courier New"/>
          <w:sz w:val="16"/>
          <w:szCs w:val="16"/>
          <w:color w:val="auto"/>
        </w:rPr>
        <w:t>Address or Principal Business Office or, if None, Residence:</w:t>
      </w:r>
    </w:p>
    <w:p>
      <w:pPr>
        <w:spacing w:after="0" w:line="201" w:lineRule="exact"/>
        <w:rPr>
          <w:sz w:val="24"/>
          <w:szCs w:val="24"/>
          <w:color w:val="auto"/>
        </w:rPr>
      </w:pPr>
    </w:p>
    <w:p>
      <w:pPr>
        <w:ind w:left="1700"/>
        <w:spacing w:after="0"/>
        <w:tabs>
          <w:tab w:leader="none" w:pos="6420" w:val="left"/>
        </w:tabs>
        <w:rPr>
          <w:sz w:val="20"/>
          <w:szCs w:val="20"/>
          <w:color w:val="auto"/>
        </w:rPr>
      </w:pPr>
      <w:r>
        <w:rPr>
          <w:rFonts w:ascii="Courier New" w:cs="Courier New" w:eastAsia="Courier New" w:hAnsi="Courier New"/>
          <w:sz w:val="18"/>
          <w:szCs w:val="18"/>
          <w:color w:val="auto"/>
        </w:rPr>
        <w:t>82 Devonshire Street, Boston, Massachusetts</w:t>
      </w:r>
      <w:r>
        <w:rPr>
          <w:sz w:val="20"/>
          <w:szCs w:val="20"/>
          <w:color w:val="auto"/>
        </w:rPr>
        <w:tab/>
      </w:r>
      <w:r>
        <w:rPr>
          <w:rFonts w:ascii="Courier New" w:cs="Courier New" w:eastAsia="Courier New" w:hAnsi="Courier New"/>
          <w:sz w:val="16"/>
          <w:szCs w:val="16"/>
          <w:color w:val="auto"/>
        </w:rPr>
        <w:t>02109</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2(c).</w:t>
      </w:r>
      <w:r>
        <w:rPr>
          <w:sz w:val="20"/>
          <w:szCs w:val="20"/>
          <w:color w:val="auto"/>
        </w:rPr>
        <w:tab/>
      </w:r>
      <w:r>
        <w:rPr>
          <w:rFonts w:ascii="Courier New" w:cs="Courier New" w:eastAsia="Courier New" w:hAnsi="Courier New"/>
          <w:sz w:val="16"/>
          <w:szCs w:val="16"/>
          <w:color w:val="auto"/>
        </w:rPr>
        <w:t>Citizenship:</w:t>
      </w:r>
    </w:p>
    <w:p>
      <w:pPr>
        <w:spacing w:after="0" w:line="201" w:lineRule="exact"/>
        <w:rPr>
          <w:sz w:val="24"/>
          <w:szCs w:val="24"/>
          <w:color w:val="auto"/>
        </w:rPr>
      </w:pPr>
    </w:p>
    <w:p>
      <w:pPr>
        <w:jc w:val="center"/>
        <w:ind w:right="5359"/>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2(d).</w:t>
      </w:r>
      <w:r>
        <w:rPr>
          <w:sz w:val="20"/>
          <w:szCs w:val="20"/>
          <w:color w:val="auto"/>
        </w:rPr>
        <w:tab/>
      </w:r>
      <w:r>
        <w:rPr>
          <w:rFonts w:ascii="Courier New" w:cs="Courier New" w:eastAsia="Courier New" w:hAnsi="Courier New"/>
          <w:sz w:val="16"/>
          <w:szCs w:val="16"/>
          <w:color w:val="auto"/>
        </w:rPr>
        <w:t>Title of Class of Securities:</w:t>
      </w:r>
    </w:p>
    <w:p>
      <w:pPr>
        <w:spacing w:after="0" w:line="201" w:lineRule="exact"/>
        <w:rPr>
          <w:sz w:val="24"/>
          <w:szCs w:val="24"/>
          <w:color w:val="auto"/>
        </w:rPr>
      </w:pPr>
    </w:p>
    <w:p>
      <w:pPr>
        <w:ind w:left="1700"/>
        <w:spacing w:after="0"/>
        <w:rPr>
          <w:sz w:val="20"/>
          <w:szCs w:val="20"/>
          <w:color w:val="auto"/>
        </w:rPr>
      </w:pPr>
      <w:r>
        <w:rPr>
          <w:rFonts w:ascii="Courier New" w:cs="Courier New" w:eastAsia="Courier New" w:hAnsi="Courier New"/>
          <w:sz w:val="18"/>
          <w:szCs w:val="18"/>
          <w:color w:val="auto"/>
        </w:rPr>
        <w:t>Common Stock</w:t>
      </w:r>
    </w:p>
    <w:p>
      <w:pPr>
        <w:sectPr>
          <w:pgSz w:w="11900" w:h="16838" w:orient="portrait"/>
          <w:cols w:equalWidth="0" w:num="1">
            <w:col w:w="10219"/>
          </w:cols>
          <w:pgMar w:left="240" w:top="852" w:right="1440" w:bottom="0" w:gutter="0" w:footer="0" w:header="0"/>
          <w:type w:val="continuous"/>
        </w:sectPr>
      </w:pPr>
    </w:p>
    <w:bookmarkStart w:id="1" w:name="page2"/>
    <w:bookmarkEnd w:id="1"/>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981475106</w:t>
      </w:r>
    </w:p>
    <w:p>
      <w:pPr>
        <w:spacing w:after="0" w:line="207" w:lineRule="exact"/>
        <w:rPr>
          <w:sz w:val="20"/>
          <w:szCs w:val="20"/>
          <w:color w:val="auto"/>
        </w:rPr>
      </w:pPr>
    </w:p>
    <w:p>
      <w:pPr>
        <w:ind w:right="209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and the person filing, FMR Corp., is a parent holding company in accordance with Section 240.13d-1(b)(ii)(G). (Note: See Item 7).</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ind w:left="1700" w:hanging="849"/>
        <w:spacing w:after="0"/>
        <w:tabs>
          <w:tab w:leader="none" w:pos="170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791,804</w:t>
      </w:r>
    </w:p>
    <w:p>
      <w:pPr>
        <w:spacing w:after="0" w:line="201" w:lineRule="exact"/>
        <w:rPr>
          <w:rFonts w:ascii="Courier New" w:cs="Courier New" w:eastAsia="Courier New" w:hAnsi="Courier New"/>
          <w:sz w:val="18"/>
          <w:szCs w:val="18"/>
          <w:color w:val="auto"/>
        </w:rPr>
      </w:pPr>
    </w:p>
    <w:p>
      <w:pPr>
        <w:ind w:left="1700" w:hanging="849"/>
        <w:spacing w:after="0"/>
        <w:tabs>
          <w:tab w:leader="none" w:pos="170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w:t>
      </w:r>
    </w:p>
    <w:p>
      <w:pPr>
        <w:ind w:left="860"/>
        <w:spacing w:after="0" w:line="238" w:lineRule="auto"/>
        <w:rPr>
          <w:sz w:val="20"/>
          <w:szCs w:val="20"/>
          <w:color w:val="auto"/>
        </w:rPr>
      </w:pPr>
      <w:r>
        <w:rPr>
          <w:rFonts w:ascii="Courier New" w:cs="Courier New" w:eastAsia="Courier New" w:hAnsi="Courier New"/>
          <w:sz w:val="18"/>
          <w:szCs w:val="18"/>
          <w:color w:val="auto"/>
        </w:rPr>
        <w:t>9.99%</w:t>
      </w:r>
    </w:p>
    <w:p>
      <w:pPr>
        <w:spacing w:after="0" w:line="202" w:lineRule="exact"/>
        <w:rPr>
          <w:sz w:val="20"/>
          <w:szCs w:val="20"/>
          <w:color w:val="auto"/>
        </w:rPr>
      </w:pPr>
    </w:p>
    <w:p>
      <w:pPr>
        <w:ind w:left="1700" w:hanging="849"/>
        <w:spacing w:after="0"/>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4,300</w:t>
      </w:r>
    </w:p>
    <w:p>
      <w:pPr>
        <w:spacing w:after="0" w:line="201" w:lineRule="exact"/>
        <w:rPr>
          <w:rFonts w:ascii="Courier New" w:cs="Courier New" w:eastAsia="Courier New" w:hAnsi="Courier New"/>
          <w:sz w:val="18"/>
          <w:szCs w:val="18"/>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1" w:lineRule="exact"/>
        <w:rPr>
          <w:rFonts w:ascii="Courier New" w:cs="Courier New" w:eastAsia="Courier New" w:hAnsi="Courier New"/>
          <w:sz w:val="18"/>
          <w:szCs w:val="18"/>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791,804</w:t>
      </w:r>
    </w:p>
    <w:p>
      <w:pPr>
        <w:spacing w:after="0" w:line="201" w:lineRule="exact"/>
        <w:rPr>
          <w:rFonts w:ascii="Courier New" w:cs="Courier New" w:eastAsia="Courier New" w:hAnsi="Courier New"/>
          <w:sz w:val="18"/>
          <w:szCs w:val="18"/>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3359" w:firstLine="843"/>
        <w:spacing w:after="0" w:line="268" w:lineRule="auto"/>
        <w:rPr>
          <w:sz w:val="20"/>
          <w:szCs w:val="20"/>
          <w:color w:val="auto"/>
        </w:rPr>
      </w:pPr>
      <w:r>
        <w:rPr>
          <w:rFonts w:ascii="Courier New" w:cs="Courier New" w:eastAsia="Courier New" w:hAnsi="Courier New"/>
          <w:sz w:val="16"/>
          <w:szCs w:val="16"/>
          <w:color w:val="auto"/>
        </w:rPr>
        <w:t>Various persons have the right to receive or the power to direct the receipt of dividends from, or the proceeds from the sale of, the common stock of World Fuel Services Corporation.</w:t>
      </w:r>
    </w:p>
    <w:p>
      <w:pPr>
        <w:spacing w:after="0" w:line="1" w:lineRule="exact"/>
        <w:rPr>
          <w:sz w:val="20"/>
          <w:szCs w:val="20"/>
          <w:color w:val="auto"/>
        </w:rPr>
      </w:pPr>
    </w:p>
    <w:p>
      <w:pPr>
        <w:ind w:right="3679"/>
        <w:spacing w:after="0" w:line="237" w:lineRule="auto"/>
        <w:rPr>
          <w:sz w:val="20"/>
          <w:szCs w:val="20"/>
          <w:color w:val="auto"/>
        </w:rPr>
      </w:pPr>
      <w:r>
        <w:rPr>
          <w:rFonts w:ascii="Courier New" w:cs="Courier New" w:eastAsia="Courier New" w:hAnsi="Courier New"/>
          <w:sz w:val="18"/>
          <w:szCs w:val="18"/>
          <w:color w:val="auto"/>
        </w:rPr>
        <w:t>The interest of one person, Fidelity Low-Priced Stock Fund, an investment company registered under the Investment Company Act of 1940, in the common stock of World Fuel Services Corporation, amounted to 787,504 shares or 9.94% of the total outstanding common stock at December 31, 1995.</w:t>
      </w:r>
    </w:p>
    <w:p>
      <w:pPr>
        <w:spacing w:after="0" w:line="209"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See attached Exhibit(s) A and B.</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 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right="3039" w:firstLine="843"/>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in</w:t>
      </w:r>
    </w:p>
    <w:p>
      <w:pPr>
        <w:ind w:right="3579"/>
        <w:spacing w:after="0" w:line="237" w:lineRule="auto"/>
        <w:rPr>
          <w:sz w:val="20"/>
          <w:szCs w:val="20"/>
          <w:color w:val="auto"/>
        </w:rPr>
      </w:pPr>
      <w:r>
        <w:rPr>
          <w:rFonts w:ascii="Courier New" w:cs="Courier New" w:eastAsia="Courier New" w:hAnsi="Courier New"/>
          <w:sz w:val="18"/>
          <w:szCs w:val="18"/>
          <w:color w:val="auto"/>
        </w:rPr>
        <w:t>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039" w:firstLine="843"/>
        <w:spacing w:after="0" w:line="235"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w:t>
      </w:r>
    </w:p>
    <w:p>
      <w:pPr>
        <w:spacing w:after="0" w:line="6" w:lineRule="exact"/>
        <w:rPr>
          <w:sz w:val="20"/>
          <w:szCs w:val="20"/>
          <w:color w:val="auto"/>
        </w:rPr>
      </w:pPr>
    </w:p>
    <w:p>
      <w:pPr>
        <w:ind w:right="3579"/>
        <w:spacing w:after="0" w:line="279" w:lineRule="auto"/>
        <w:rPr>
          <w:sz w:val="20"/>
          <w:szCs w:val="20"/>
          <w:color w:val="auto"/>
        </w:rPr>
      </w:pPr>
      <w:r>
        <w:rPr>
          <w:rFonts w:ascii="Courier New" w:cs="Courier New" w:eastAsia="Courier New" w:hAnsi="Courier New"/>
          <w:sz w:val="16"/>
          <w:szCs w:val="16"/>
          <w:color w:val="auto"/>
        </w:rPr>
        <w:t>Schedule 13G in connection with FMR Corp.'s beneficial ownership of the common stock of World Fuel Services Corporation at December 31, 1995 is true, complete and correct.</w:t>
      </w:r>
    </w:p>
    <w:p>
      <w:pPr>
        <w:sectPr>
          <w:pgSz w:w="11900" w:h="16838" w:orient="portrait"/>
          <w:cols w:equalWidth="0" w:num="1">
            <w:col w:w="10219"/>
          </w:cols>
          <w:pgMar w:left="240" w:top="136" w:right="1440" w:bottom="104" w:gutter="0" w:footer="0" w:header="0"/>
        </w:sectPr>
      </w:pPr>
    </w:p>
    <w:bookmarkStart w:id="2" w:name="page3"/>
    <w:bookmarkEnd w:id="2"/>
    <w:p>
      <w:pPr>
        <w:ind w:left="860"/>
        <w:spacing w:after="0"/>
        <w:rPr>
          <w:sz w:val="20"/>
          <w:szCs w:val="20"/>
          <w:color w:val="auto"/>
        </w:rPr>
      </w:pPr>
      <w:r>
        <w:rPr>
          <w:rFonts w:ascii="Courier New" w:cs="Courier New" w:eastAsia="Courier New" w:hAnsi="Courier New"/>
          <w:sz w:val="18"/>
          <w:szCs w:val="18"/>
          <w:color w:val="auto"/>
        </w:rPr>
        <w:t>February 14, 1996</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/s/Arthur S. Loring</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Arthur S. Loring, Vice</w:t>
      </w:r>
    </w:p>
    <w:p>
      <w:pPr>
        <w:spacing w:after="0" w:line="238" w:lineRule="auto"/>
        <w:rPr>
          <w:sz w:val="20"/>
          <w:szCs w:val="20"/>
          <w:color w:val="auto"/>
        </w:rPr>
      </w:pPr>
      <w:r>
        <w:rPr>
          <w:rFonts w:ascii="Courier New" w:cs="Courier New" w:eastAsia="Courier New" w:hAnsi="Courier New"/>
          <w:sz w:val="18"/>
          <w:szCs w:val="18"/>
          <w:color w:val="auto"/>
        </w:rPr>
        <w:t>President</w:t>
      </w:r>
    </w:p>
    <w:p>
      <w:pPr>
        <w:spacing w:after="0"/>
        <w:rPr>
          <w:sz w:val="20"/>
          <w:szCs w:val="20"/>
          <w:color w:val="auto"/>
        </w:rPr>
      </w:pPr>
      <w:r>
        <w:rPr>
          <w:rFonts w:ascii="Courier New" w:cs="Courier New" w:eastAsia="Courier New" w:hAnsi="Courier New"/>
          <w:sz w:val="18"/>
          <w:szCs w:val="18"/>
          <w:color w:val="auto"/>
        </w:rPr>
        <w:t>Name/Title</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SCHEDULE 13G - TO BE INCLUDED IN STATEMENTS</w:t>
      </w:r>
    </w:p>
    <w:p>
      <w:pPr>
        <w:spacing w:after="0" w:line="238" w:lineRule="auto"/>
        <w:rPr>
          <w:sz w:val="20"/>
          <w:szCs w:val="20"/>
          <w:color w:val="auto"/>
        </w:rPr>
      </w:pPr>
      <w:r>
        <w:rPr>
          <w:rFonts w:ascii="Courier New" w:cs="Courier New" w:eastAsia="Courier New" w:hAnsi="Courier New"/>
          <w:sz w:val="18"/>
          <w:szCs w:val="18"/>
          <w:color w:val="auto"/>
        </w:rPr>
        <w:t>FILED PURSUANT TO RULE 13d-1(b) or 13d-2(b)</w:t>
      </w:r>
    </w:p>
    <w:p>
      <w:pPr>
        <w:spacing w:after="0" w:line="207" w:lineRule="exact"/>
        <w:rPr>
          <w:sz w:val="20"/>
          <w:szCs w:val="20"/>
          <w:color w:val="auto"/>
        </w:rPr>
      </w:pPr>
    </w:p>
    <w:p>
      <w:pPr>
        <w:ind w:right="2099" w:firstLine="843"/>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Fidelity Management &amp; Research Company ("Fidelity"), 82 Devonshire Street, Boston, Massachusetts 02109, a wholly-owned subsidiary of FMR Corp. and an investment adviser registered under Section 203 of the Investment Advisers Act of 1940, is the beneficial owner of 787,504 shares or 9.94% of the common stock outstanding of World Fuel Services Corporation ("the Company") as a result of acting as investment adviser to various investment companies registered under Section 8 of the Investment Company Act of 1940.</w:t>
      </w:r>
    </w:p>
    <w:p>
      <w:pPr>
        <w:spacing w:after="0" w:line="212" w:lineRule="exact"/>
        <w:rPr>
          <w:sz w:val="20"/>
          <w:szCs w:val="20"/>
          <w:color w:val="auto"/>
        </w:rPr>
      </w:pPr>
    </w:p>
    <w:p>
      <w:pPr>
        <w:ind w:right="1779" w:firstLine="843"/>
        <w:spacing w:after="0" w:line="237" w:lineRule="auto"/>
        <w:rPr>
          <w:sz w:val="20"/>
          <w:szCs w:val="20"/>
          <w:color w:val="auto"/>
        </w:rPr>
      </w:pPr>
      <w:r>
        <w:rPr>
          <w:rFonts w:ascii="Courier New" w:cs="Courier New" w:eastAsia="Courier New" w:hAnsi="Courier New"/>
          <w:sz w:val="18"/>
          <w:szCs w:val="18"/>
          <w:color w:val="auto"/>
        </w:rPr>
        <w:t>The ownership of one investment company, Fidelity Low-Priced Stock Fund, amounted to 787,504 shares or 9.94% of the common stock outstanding. Fidelity Low-Priced Stock Fund has its principal business office at 82 Devonshire Street, Boston, Massachusetts 02109.</w:t>
      </w:r>
    </w:p>
    <w:p>
      <w:pPr>
        <w:spacing w:after="0" w:line="207" w:lineRule="exact"/>
        <w:rPr>
          <w:sz w:val="20"/>
          <w:szCs w:val="20"/>
          <w:color w:val="auto"/>
        </w:rPr>
      </w:pPr>
    </w:p>
    <w:p>
      <w:pPr>
        <w:ind w:right="1679" w:firstLine="843"/>
        <w:spacing w:after="0" w:line="290" w:lineRule="auto"/>
        <w:rPr>
          <w:sz w:val="20"/>
          <w:szCs w:val="20"/>
          <w:color w:val="auto"/>
        </w:rPr>
      </w:pPr>
      <w:r>
        <w:rPr>
          <w:rFonts w:ascii="Courier New" w:cs="Courier New" w:eastAsia="Courier New" w:hAnsi="Courier New"/>
          <w:sz w:val="16"/>
          <w:szCs w:val="16"/>
          <w:color w:val="auto"/>
        </w:rPr>
        <w:t>Edward C. Johnson 3d, FMR Corp., through its control of Fidelity, and the Funds each has sole power to dispose of the 787,504 shares owned by the Funds.</w:t>
      </w:r>
    </w:p>
    <w:p>
      <w:pPr>
        <w:spacing w:after="0" w:line="170" w:lineRule="exact"/>
        <w:rPr>
          <w:sz w:val="20"/>
          <w:szCs w:val="20"/>
          <w:color w:val="auto"/>
        </w:rPr>
      </w:pPr>
    </w:p>
    <w:p>
      <w:pPr>
        <w:ind w:right="1999" w:firstLine="843"/>
        <w:spacing w:after="0" w:line="237" w:lineRule="auto"/>
        <w:rPr>
          <w:sz w:val="20"/>
          <w:szCs w:val="20"/>
          <w:color w:val="auto"/>
        </w:rPr>
      </w:pPr>
      <w:r>
        <w:rPr>
          <w:rFonts w:ascii="Courier New" w:cs="Courier New" w:eastAsia="Courier New" w:hAnsi="Courier New"/>
          <w:sz w:val="18"/>
          <w:szCs w:val="18"/>
          <w:color w:val="auto"/>
        </w:rPr>
        <w:t>Neither FMR Corp. nor Edward C. Johnson 3d, Chairman of FMR Corp., has the sole power to vote or direct the voting of the shares owned directly by the Fidelity Funds, which power resides with the Funds' Boards of Trustees. Fidelity carries out the voting of the shares under written guidelines established by the Funds' Boards of Trustees.</w:t>
      </w:r>
    </w:p>
    <w:p>
      <w:pPr>
        <w:spacing w:after="0" w:line="209" w:lineRule="exact"/>
        <w:rPr>
          <w:sz w:val="20"/>
          <w:szCs w:val="20"/>
          <w:color w:val="auto"/>
        </w:rPr>
      </w:pPr>
    </w:p>
    <w:p>
      <w:pPr>
        <w:ind w:right="2199" w:firstLine="843"/>
        <w:spacing w:after="0" w:line="237" w:lineRule="auto"/>
        <w:rPr>
          <w:sz w:val="20"/>
          <w:szCs w:val="20"/>
          <w:color w:val="auto"/>
        </w:rPr>
      </w:pPr>
      <w:r>
        <w:rPr>
          <w:rFonts w:ascii="Courier New" w:cs="Courier New" w:eastAsia="Courier New" w:hAnsi="Courier New"/>
          <w:sz w:val="18"/>
          <w:szCs w:val="18"/>
          <w:color w:val="auto"/>
        </w:rPr>
        <w:t>Fidelity Management Trust Company, 82 Devonshire Street, Boston, Massachusetts 02109, a wholly-owned subsidiary of FMR Corp. and a bank as defined in Section 3(a)(6) of the Securities Exchange Act of 1934, is the beneficial owner of 4,300 shares or 0.05% of the common stock outstanding of the Company as a result of its serving as investment manager of the institutional account(s).</w:t>
      </w:r>
    </w:p>
    <w:p>
      <w:pPr>
        <w:spacing w:after="0" w:line="210" w:lineRule="exact"/>
        <w:rPr>
          <w:sz w:val="20"/>
          <w:szCs w:val="20"/>
          <w:color w:val="auto"/>
        </w:rPr>
      </w:pPr>
    </w:p>
    <w:p>
      <w:pPr>
        <w:ind w:right="1999" w:firstLine="843"/>
        <w:spacing w:after="0" w:line="237" w:lineRule="auto"/>
        <w:rPr>
          <w:sz w:val="20"/>
          <w:szCs w:val="20"/>
          <w:color w:val="auto"/>
        </w:rPr>
      </w:pPr>
      <w:r>
        <w:rPr>
          <w:rFonts w:ascii="Courier New" w:cs="Courier New" w:eastAsia="Courier New" w:hAnsi="Courier New"/>
          <w:sz w:val="18"/>
          <w:szCs w:val="18"/>
          <w:color w:val="auto"/>
        </w:rPr>
        <w:t>Edward C. Johnson 3d and FMR Corp., through its control of Fidelity Management Trust Company, has sole dispositive power over 4,300 shares and sole power to vote or to direct the voting of shares, and no power to vote or to direct the voting of Shares of common stock owned by the institutional account(s) as reported above.</w:t>
      </w:r>
    </w:p>
    <w:p>
      <w:pPr>
        <w:spacing w:after="0" w:line="209"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Members of the Edward C. Johnson 3d family and trusts for their benefit are the predominant owners of Class B shares of common stock of FMR Corp., representing approximately 49% of the voting power of FMR Corp. Mr. Johnson 3d owns 12.0% and Abigail P. Johnson owns 24.5% of the aggregate outstanding voting stock of FMR Corp. Mr. Johnson 3d is chairman of FMR Corp. and Abigail P. Johnson is a Director of FMR Corp. The Johnson family group and all other Class B shareholders have entered into a shareholder's voting agreement under which all Class B shares will be voted in accordance with the majority vote of Class B shares. Accordingly, through their ownership of voting common stock and the execution of the shareholder's voting agreement, members of the Johnson family may be deemed, under the Investment Company Act of 1940, to form a controlling group with respect to FMR Corp.</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SCHEDULE 13G - TO BE INCLUDED IN STATEMENTS</w:t>
      </w:r>
    </w:p>
    <w:p>
      <w:pPr>
        <w:spacing w:after="0" w:line="238" w:lineRule="auto"/>
        <w:rPr>
          <w:sz w:val="20"/>
          <w:szCs w:val="20"/>
          <w:color w:val="auto"/>
        </w:rPr>
      </w:pPr>
      <w:r>
        <w:rPr>
          <w:rFonts w:ascii="Courier New" w:cs="Courier New" w:eastAsia="Courier New" w:hAnsi="Courier New"/>
          <w:sz w:val="18"/>
          <w:szCs w:val="18"/>
          <w:color w:val="auto"/>
        </w:rPr>
        <w:t>FILED PURSUANT TO RULE 13d-1(b) or 13d-2(b)</w:t>
      </w:r>
    </w:p>
    <w:p>
      <w:pPr>
        <w:spacing w:after="0" w:line="202" w:lineRule="exact"/>
        <w:rPr>
          <w:sz w:val="20"/>
          <w:szCs w:val="20"/>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RULE 13d-1(f)(1)</w:t>
      </w:r>
      <w:r>
        <w:rPr>
          <w:sz w:val="20"/>
          <w:szCs w:val="20"/>
          <w:color w:val="auto"/>
        </w:rPr>
        <w:tab/>
      </w:r>
      <w:r>
        <w:rPr>
          <w:rFonts w:ascii="Courier New" w:cs="Courier New" w:eastAsia="Courier New" w:hAnsi="Courier New"/>
          <w:sz w:val="16"/>
          <w:szCs w:val="16"/>
          <w:color w:val="auto"/>
        </w:rPr>
        <w:t>AGREEMENT</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The undersigned persons, on February 14, 1996, agree and consent to the joint filing on their behalf of this Schedule 13G in connection with their beneficial ownership of the common stock of World Fuel Services Corporation at December 31, 1995.</w:t>
      </w:r>
    </w:p>
    <w:p>
      <w:pPr>
        <w:sectPr>
          <w:pgSz w:w="11900" w:h="16838" w:orient="portrait"/>
          <w:cols w:equalWidth="0" w:num="1">
            <w:col w:w="10219"/>
          </w:cols>
          <w:pgMar w:left="240" w:top="339" w:right="1440" w:bottom="0" w:gutter="0" w:footer="0" w:header="0"/>
        </w:sectPr>
      </w:pPr>
    </w:p>
    <w:bookmarkStart w:id="3" w:name="page4"/>
    <w:bookmarkEnd w:id="3"/>
    <w:p>
      <w:pPr>
        <w:ind w:left="860"/>
        <w:spacing w:after="0"/>
        <w:rPr>
          <w:sz w:val="20"/>
          <w:szCs w:val="20"/>
          <w:color w:val="auto"/>
        </w:rPr>
      </w:pPr>
      <w:r>
        <w:rPr>
          <w:rFonts w:ascii="Courier New" w:cs="Courier New" w:eastAsia="Courier New" w:hAnsi="Courier New"/>
          <w:sz w:val="18"/>
          <w:szCs w:val="18"/>
          <w:color w:val="auto"/>
        </w:rPr>
        <w:t>FMR Corp.</w:t>
      </w:r>
    </w:p>
    <w:p>
      <w:pPr>
        <w:ind w:left="860"/>
        <w:spacing w:after="0" w:line="238" w:lineRule="auto"/>
        <w:tabs>
          <w:tab w:leader="none" w:pos="16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rPr>
          <w:sz w:val="20"/>
          <w:szCs w:val="20"/>
          <w:color w:val="auto"/>
        </w:rPr>
      </w:pPr>
      <w:r>
        <w:rPr>
          <w:rFonts w:ascii="Courier New" w:cs="Courier New" w:eastAsia="Courier New" w:hAnsi="Courier New"/>
          <w:sz w:val="18"/>
          <w:szCs w:val="18"/>
          <w:color w:val="auto"/>
        </w:rPr>
        <w:t>Arthur S. Loring</w:t>
      </w:r>
    </w:p>
    <w:p>
      <w:pPr>
        <w:spacing w:after="0" w:line="200" w:lineRule="exact"/>
        <w:rPr>
          <w:sz w:val="20"/>
          <w:szCs w:val="20"/>
          <w:color w:val="auto"/>
        </w:rPr>
      </w:pPr>
    </w:p>
    <w:p>
      <w:pPr>
        <w:spacing w:after="0" w:line="203" w:lineRule="exact"/>
        <w:rPr>
          <w:sz w:val="20"/>
          <w:szCs w:val="20"/>
          <w:color w:val="auto"/>
        </w:rPr>
      </w:pPr>
    </w:p>
    <w:p>
      <w:pPr>
        <w:ind w:left="860"/>
        <w:spacing w:after="0"/>
        <w:tabs>
          <w:tab w:leader="none" w:pos="16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line="238" w:lineRule="auto"/>
        <w:rPr>
          <w:sz w:val="20"/>
          <w:szCs w:val="20"/>
          <w:color w:val="auto"/>
        </w:rPr>
      </w:pPr>
      <w:r>
        <w:rPr>
          <w:rFonts w:ascii="Courier New" w:cs="Courier New" w:eastAsia="Courier New" w:hAnsi="Courier New"/>
          <w:sz w:val="18"/>
          <w:szCs w:val="18"/>
          <w:color w:val="auto"/>
        </w:rPr>
        <w:t>Arthur S. Loring</w:t>
      </w:r>
    </w:p>
    <w:p>
      <w:pPr>
        <w:spacing w:after="0"/>
        <w:rPr>
          <w:sz w:val="20"/>
          <w:szCs w:val="20"/>
          <w:color w:val="auto"/>
        </w:rPr>
      </w:pPr>
      <w:r>
        <w:rPr>
          <w:rFonts w:ascii="Courier New" w:cs="Courier New" w:eastAsia="Courier New" w:hAnsi="Courier New"/>
          <w:sz w:val="18"/>
          <w:szCs w:val="18"/>
          <w:color w:val="auto"/>
        </w:rPr>
        <w:t>Under Power of Attorney dated</w:t>
      </w:r>
    </w:p>
    <w:p>
      <w:pPr>
        <w:spacing w:after="0" w:line="237" w:lineRule="auto"/>
        <w:rPr>
          <w:sz w:val="20"/>
          <w:szCs w:val="20"/>
          <w:color w:val="auto"/>
        </w:rPr>
      </w:pPr>
      <w:r>
        <w:rPr>
          <w:rFonts w:ascii="Courier New" w:cs="Courier New" w:eastAsia="Courier New" w:hAnsi="Courier New"/>
          <w:sz w:val="18"/>
          <w:szCs w:val="18"/>
          <w:color w:val="auto"/>
        </w:rPr>
        <w:t>5/17/89</w:t>
      </w:r>
    </w:p>
    <w:p>
      <w:pPr>
        <w:spacing w:after="0" w:line="238" w:lineRule="auto"/>
        <w:rPr>
          <w:sz w:val="20"/>
          <w:szCs w:val="20"/>
          <w:color w:val="auto"/>
        </w:rPr>
      </w:pPr>
      <w:r>
        <w:rPr>
          <w:rFonts w:ascii="Courier New" w:cs="Courier New" w:eastAsia="Courier New" w:hAnsi="Courier New"/>
          <w:sz w:val="18"/>
          <w:szCs w:val="18"/>
          <w:color w:val="auto"/>
        </w:rPr>
        <w:t>On File with Schedule 13G for</w:t>
      </w:r>
    </w:p>
    <w:p>
      <w:pPr>
        <w:spacing w:after="0"/>
        <w:rPr>
          <w:sz w:val="20"/>
          <w:szCs w:val="20"/>
          <w:color w:val="auto"/>
        </w:rPr>
      </w:pPr>
      <w:r>
        <w:rPr>
          <w:rFonts w:ascii="Courier New" w:cs="Courier New" w:eastAsia="Courier New" w:hAnsi="Courier New"/>
          <w:sz w:val="18"/>
          <w:szCs w:val="18"/>
          <w:color w:val="auto"/>
        </w:rPr>
        <w:t>Airborne Freight Corp. 9/10/91</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Abigail P. Johnson</w:t>
      </w:r>
    </w:p>
    <w:p>
      <w:pPr>
        <w:spacing w:after="0" w:line="200" w:lineRule="exact"/>
        <w:rPr>
          <w:sz w:val="20"/>
          <w:szCs w:val="20"/>
          <w:color w:val="auto"/>
        </w:rPr>
      </w:pPr>
    </w:p>
    <w:p>
      <w:pPr>
        <w:spacing w:after="0" w:line="204" w:lineRule="exact"/>
        <w:rPr>
          <w:sz w:val="20"/>
          <w:szCs w:val="20"/>
          <w:color w:val="auto"/>
        </w:rPr>
      </w:pPr>
    </w:p>
    <w:p>
      <w:pPr>
        <w:ind w:left="860"/>
        <w:spacing w:after="0"/>
        <w:tabs>
          <w:tab w:leader="none" w:pos="16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line="238" w:lineRule="auto"/>
        <w:rPr>
          <w:sz w:val="20"/>
          <w:szCs w:val="20"/>
          <w:color w:val="auto"/>
        </w:rPr>
      </w:pPr>
      <w:r>
        <w:rPr>
          <w:rFonts w:ascii="Courier New" w:cs="Courier New" w:eastAsia="Courier New" w:hAnsi="Courier New"/>
          <w:sz w:val="18"/>
          <w:szCs w:val="18"/>
          <w:color w:val="auto"/>
        </w:rPr>
        <w:t>Arthur S. Loring</w:t>
      </w:r>
    </w:p>
    <w:p>
      <w:pPr>
        <w:spacing w:after="0"/>
        <w:rPr>
          <w:sz w:val="20"/>
          <w:szCs w:val="20"/>
          <w:color w:val="auto"/>
        </w:rPr>
      </w:pPr>
      <w:r>
        <w:rPr>
          <w:rFonts w:ascii="Courier New" w:cs="Courier New" w:eastAsia="Courier New" w:hAnsi="Courier New"/>
          <w:sz w:val="18"/>
          <w:szCs w:val="18"/>
          <w:color w:val="auto"/>
        </w:rPr>
        <w:t>Under Power of Attorney dated</w:t>
      </w:r>
    </w:p>
    <w:p>
      <w:pPr>
        <w:spacing w:after="0" w:line="237" w:lineRule="auto"/>
        <w:rPr>
          <w:sz w:val="20"/>
          <w:szCs w:val="20"/>
          <w:color w:val="auto"/>
        </w:rPr>
      </w:pPr>
      <w:r>
        <w:rPr>
          <w:rFonts w:ascii="Courier New" w:cs="Courier New" w:eastAsia="Courier New" w:hAnsi="Courier New"/>
          <w:sz w:val="18"/>
          <w:szCs w:val="18"/>
          <w:color w:val="auto"/>
        </w:rPr>
        <w:t>1/5/96</w:t>
      </w:r>
    </w:p>
    <w:p>
      <w:pPr>
        <w:spacing w:after="0" w:line="238" w:lineRule="auto"/>
        <w:rPr>
          <w:sz w:val="20"/>
          <w:szCs w:val="20"/>
          <w:color w:val="auto"/>
        </w:rPr>
      </w:pPr>
      <w:r>
        <w:rPr>
          <w:rFonts w:ascii="Courier New" w:cs="Courier New" w:eastAsia="Courier New" w:hAnsi="Courier New"/>
          <w:sz w:val="18"/>
          <w:szCs w:val="18"/>
          <w:color w:val="auto"/>
        </w:rPr>
        <w:t>On File with Schedule 13G for</w:t>
      </w:r>
    </w:p>
    <w:p>
      <w:pPr>
        <w:spacing w:after="0"/>
        <w:rPr>
          <w:sz w:val="20"/>
          <w:szCs w:val="20"/>
          <w:color w:val="auto"/>
        </w:rPr>
      </w:pPr>
      <w:r>
        <w:rPr>
          <w:rFonts w:ascii="Courier New" w:cs="Courier New" w:eastAsia="Courier New" w:hAnsi="Courier New"/>
          <w:sz w:val="18"/>
          <w:szCs w:val="18"/>
          <w:color w:val="auto"/>
        </w:rPr>
        <w:t>Acclaim Entertainment Inc.</w:t>
      </w:r>
    </w:p>
    <w:p>
      <w:pPr>
        <w:spacing w:after="0" w:line="237" w:lineRule="auto"/>
        <w:rPr>
          <w:sz w:val="20"/>
          <w:szCs w:val="20"/>
          <w:color w:val="auto"/>
        </w:rPr>
      </w:pPr>
      <w:r>
        <w:rPr>
          <w:rFonts w:ascii="Courier New" w:cs="Courier New" w:eastAsia="Courier New" w:hAnsi="Courier New"/>
          <w:sz w:val="18"/>
          <w:szCs w:val="18"/>
          <w:color w:val="auto"/>
        </w:rPr>
        <w:t>1/10/96</w:t>
      </w:r>
    </w:p>
    <w:p>
      <w:pPr>
        <w:spacing w:after="0" w:line="5"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Fidelity Management &amp; Research Company</w:t>
      </w:r>
    </w:p>
    <w:p>
      <w:pPr>
        <w:spacing w:after="0" w:line="16" w:lineRule="exact"/>
        <w:rPr>
          <w:sz w:val="20"/>
          <w:szCs w:val="20"/>
          <w:color w:val="auto"/>
        </w:rPr>
      </w:pPr>
    </w:p>
    <w:p>
      <w:pPr>
        <w:ind w:left="860"/>
        <w:spacing w:after="0"/>
        <w:tabs>
          <w:tab w:leader="none" w:pos="16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line="238" w:lineRule="auto"/>
        <w:rPr>
          <w:sz w:val="20"/>
          <w:szCs w:val="20"/>
          <w:color w:val="auto"/>
        </w:rPr>
      </w:pPr>
      <w:r>
        <w:rPr>
          <w:rFonts w:ascii="Courier New" w:cs="Courier New" w:eastAsia="Courier New" w:hAnsi="Courier New"/>
          <w:sz w:val="18"/>
          <w:szCs w:val="18"/>
          <w:color w:val="auto"/>
        </w:rPr>
        <w:t>Arthur S. Loring</w:t>
      </w:r>
    </w:p>
    <w:p>
      <w:pPr>
        <w:spacing w:after="0"/>
        <w:rPr>
          <w:sz w:val="20"/>
          <w:szCs w:val="20"/>
          <w:color w:val="auto"/>
        </w:rPr>
      </w:pPr>
      <w:r>
        <w:rPr>
          <w:rFonts w:ascii="Courier New" w:cs="Courier New" w:eastAsia="Courier New" w:hAnsi="Courier New"/>
          <w:sz w:val="18"/>
          <w:szCs w:val="18"/>
          <w:color w:val="auto"/>
        </w:rPr>
        <w:t>Sr. V.P. and General Counsel</w:t>
      </w:r>
    </w:p>
    <w:p>
      <w:pPr>
        <w:ind w:left="860"/>
        <w:spacing w:after="0" w:line="237" w:lineRule="auto"/>
        <w:rPr>
          <w:sz w:val="20"/>
          <w:szCs w:val="20"/>
          <w:color w:val="auto"/>
        </w:rPr>
      </w:pPr>
      <w:r>
        <w:rPr>
          <w:rFonts w:ascii="Courier New" w:cs="Courier New" w:eastAsia="Courier New" w:hAnsi="Courier New"/>
          <w:sz w:val="18"/>
          <w:szCs w:val="18"/>
          <w:color w:val="auto"/>
        </w:rPr>
        <w:t>Fidelity Low-Priced Stock Fund</w:t>
      </w:r>
    </w:p>
    <w:p>
      <w:pPr>
        <w:ind w:left="860"/>
        <w:spacing w:after="0" w:line="238" w:lineRule="auto"/>
        <w:tabs>
          <w:tab w:leader="none" w:pos="16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/s/Arthur S. Loring</w:t>
      </w:r>
    </w:p>
    <w:p>
      <w:pPr>
        <w:spacing w:after="0"/>
        <w:rPr>
          <w:sz w:val="20"/>
          <w:szCs w:val="20"/>
          <w:color w:val="auto"/>
        </w:rPr>
      </w:pPr>
      <w:r>
        <w:rPr>
          <w:rFonts w:ascii="Courier New" w:cs="Courier New" w:eastAsia="Courier New" w:hAnsi="Courier New"/>
          <w:sz w:val="18"/>
          <w:szCs w:val="18"/>
          <w:color w:val="auto"/>
        </w:rPr>
        <w:t>Arthur S. Loring</w:t>
      </w:r>
    </w:p>
    <w:p>
      <w:pPr>
        <w:spacing w:after="0" w:line="237" w:lineRule="auto"/>
        <w:rPr>
          <w:sz w:val="20"/>
          <w:szCs w:val="20"/>
          <w:color w:val="auto"/>
        </w:rPr>
      </w:pPr>
      <w:r>
        <w:rPr>
          <w:rFonts w:ascii="Courier New" w:cs="Courier New" w:eastAsia="Courier New" w:hAnsi="Courier New"/>
          <w:sz w:val="18"/>
          <w:szCs w:val="18"/>
          <w:color w:val="auto"/>
        </w:rPr>
        <w:t>Secretary</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lowerLetter"/>
      <w:start w:val="1"/>
    </w:lvl>
  </w:abstractNum>
  <w:abstractNum w:abstractNumId="1">
    <w:nsid w:val="74B0DC51"/>
    <w:multiLevelType w:val="hybridMultilevel"/>
    <w:lvl w:ilvl="0">
      <w:lvlJc w:val="left"/>
      <w:lvlText w:val="(%1)"/>
      <w:numFmt w:val="lowerLetter"/>
      <w:start w:val="3"/>
    </w:lvl>
  </w:abstractNum>
  <w:abstractNum w:abstractNumId="2">
    <w:nsid w:val="19495CFF"/>
    <w:multiLevelType w:val="hybridMultilevel"/>
    <w:lvl w:ilvl="0">
      <w:lvlJc w:val="left"/>
      <w:lvlText w:val="(%1)"/>
      <w:numFmt w:val="lowerRoman"/>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2019-12-13T16:08:26Z</dcterms:created>
  <dcterms:modified xsi:type="dcterms:W3CDTF">2019-12-13T16:08:26Z</dcterms:modified>
</cp:coreProperties>
</file>