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11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134"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0" w:lineRule="exact"/>
        <w:rPr>
          <w:sz w:val="24"/>
          <w:szCs w:val="24"/>
          <w:color w:val="auto"/>
        </w:rPr>
      </w:pPr>
    </w:p>
    <w:p>
      <w:pPr>
        <w:spacing w:after="0" w:line="24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0" w:lineRule="exact"/>
        <w:rPr>
          <w:sz w:val="24"/>
          <w:szCs w:val="24"/>
          <w:color w:val="auto"/>
        </w:rPr>
      </w:pPr>
    </w:p>
    <w:p>
      <w:pPr>
        <w:spacing w:after="0" w:line="285" w:lineRule="exact"/>
        <w:rPr>
          <w:sz w:val="24"/>
          <w:szCs w:val="24"/>
          <w:color w:val="auto"/>
        </w:rPr>
      </w:pPr>
    </w:p>
    <w:p>
      <w:pPr>
        <w:ind w:left="5180"/>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112" w:lineRule="exact"/>
        <w:rPr>
          <w:sz w:val="24"/>
          <w:szCs w:val="24"/>
          <w:color w:val="auto"/>
        </w:rPr>
      </w:pPr>
    </w:p>
    <w:p>
      <w:pPr>
        <w:ind w:left="3560"/>
        <w:spacing w:after="0"/>
        <w:rPr>
          <w:sz w:val="20"/>
          <w:szCs w:val="20"/>
          <w:color w:val="auto"/>
        </w:rPr>
      </w:pPr>
      <w:r>
        <w:rPr>
          <w:rFonts w:ascii="Times New Roman" w:cs="Times New Roman" w:eastAsia="Times New Roman" w:hAnsi="Times New Roman"/>
          <w:sz w:val="22"/>
          <w:szCs w:val="22"/>
          <w:b w:val="1"/>
          <w:bCs w:val="1"/>
          <w:color w:val="auto"/>
        </w:rPr>
        <w:t>PURSUANT TO SECTION 13 OR 15(d) OF</w:t>
      </w:r>
    </w:p>
    <w:p>
      <w:pPr>
        <w:spacing w:after="0" w:line="112" w:lineRule="exact"/>
        <w:rPr>
          <w:sz w:val="24"/>
          <w:szCs w:val="24"/>
          <w:color w:val="auto"/>
        </w:rPr>
      </w:pPr>
    </w:p>
    <w:p>
      <w:pPr>
        <w:ind w:left="3380"/>
        <w:spacing w:after="0"/>
        <w:rPr>
          <w:sz w:val="20"/>
          <w:szCs w:val="20"/>
          <w:color w:val="auto"/>
        </w:rPr>
      </w:pPr>
      <w:r>
        <w:rPr>
          <w:rFonts w:ascii="Times New Roman" w:cs="Times New Roman" w:eastAsia="Times New Roman" w:hAnsi="Times New Roman"/>
          <w:sz w:val="22"/>
          <w:szCs w:val="22"/>
          <w:b w:val="1"/>
          <w:bCs w:val="1"/>
          <w:color w:val="auto"/>
        </w:rPr>
        <w:t>THE SECURITIES EXCHANGE ACT OF 1934</w:t>
      </w:r>
    </w:p>
    <w:p>
      <w:pPr>
        <w:spacing w:after="0" w:line="1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Date of Report (Date of earliest event reported): April 14, 2022</w:t>
      </w:r>
    </w:p>
    <w:p>
      <w:pPr>
        <w:spacing w:after="0" w:line="36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9"/>
          <w:szCs w:val="39"/>
          <w:b w:val="1"/>
          <w:bCs w:val="1"/>
          <w:color w:val="auto"/>
        </w:rPr>
        <w:t>WORLD FUEL SERVICES CORPORATION</w:t>
      </w:r>
    </w:p>
    <w:p>
      <w:pPr>
        <w:spacing w:after="0" w:line="231"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4"/>
          <w:szCs w:val="14"/>
          <w:color w:val="auto"/>
        </w:rPr>
        <w:t>(Exact name of registrant as specified in its charter)</w:t>
      </w:r>
    </w:p>
    <w:p>
      <w:pPr>
        <w:sectPr>
          <w:pgSz w:w="11900" w:h="16838" w:orient="portrait"/>
          <w:cols w:equalWidth="0" w:num="1">
            <w:col w:w="11240"/>
          </w:cols>
          <w:pgMar w:left="320" w:top="1091" w:right="339" w:bottom="1440" w:gutter="0" w:footer="0" w:header="0"/>
        </w:sectPr>
      </w:pPr>
    </w:p>
    <w:p>
      <w:pPr>
        <w:spacing w:after="0" w:line="154" w:lineRule="exact"/>
        <w:rPr>
          <w:sz w:val="24"/>
          <w:szCs w:val="24"/>
          <w:color w:val="auto"/>
        </w:rPr>
      </w:pPr>
    </w:p>
    <w:p>
      <w:pPr>
        <w:ind w:left="1560"/>
        <w:spacing w:after="0"/>
        <w:rPr>
          <w:sz w:val="20"/>
          <w:szCs w:val="20"/>
          <w:color w:val="auto"/>
        </w:rPr>
      </w:pPr>
      <w:r>
        <w:rPr>
          <w:rFonts w:ascii="Times New Roman" w:cs="Times New Roman" w:eastAsia="Times New Roman" w:hAnsi="Times New Roman"/>
          <w:sz w:val="21"/>
          <w:szCs w:val="21"/>
          <w:b w:val="1"/>
          <w:bCs w:val="1"/>
          <w:color w:val="auto"/>
        </w:rPr>
        <w:t>Florida</w:t>
      </w:r>
    </w:p>
    <w:p>
      <w:pPr>
        <w:spacing w:after="0" w:line="20" w:lineRule="exact"/>
        <w:rPr>
          <w:sz w:val="24"/>
          <w:szCs w:val="24"/>
          <w:color w:val="auto"/>
        </w:rPr>
      </w:pPr>
      <w:r>
        <w:rPr>
          <w:sz w:val="24"/>
          <w:szCs w:val="24"/>
          <w:color w:val="auto"/>
        </w:rPr>
        <w:br w:type="column"/>
      </w:r>
    </w:p>
    <w:p>
      <w:pPr>
        <w:spacing w:after="0" w:line="134"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1-9533</w:t>
      </w:r>
    </w:p>
    <w:p>
      <w:pPr>
        <w:spacing w:after="0" w:line="20" w:lineRule="exact"/>
        <w:rPr>
          <w:sz w:val="24"/>
          <w:szCs w:val="24"/>
          <w:color w:val="auto"/>
        </w:rPr>
      </w:pPr>
      <w:r>
        <w:rPr>
          <w:sz w:val="24"/>
          <w:szCs w:val="24"/>
          <w:color w:val="auto"/>
        </w:rPr>
        <w:br w:type="column"/>
      </w:r>
    </w:p>
    <w:p>
      <w:pPr>
        <w:spacing w:after="0" w:line="134"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59-2459427</w:t>
      </w:r>
    </w:p>
    <w:p>
      <w:pPr>
        <w:spacing w:after="0" w:line="200" w:lineRule="exact"/>
        <w:rPr>
          <w:sz w:val="24"/>
          <w:szCs w:val="24"/>
          <w:color w:val="auto"/>
        </w:rPr>
      </w:pPr>
    </w:p>
    <w:p>
      <w:pPr>
        <w:sectPr>
          <w:pgSz w:w="11900" w:h="16838" w:orient="portrait"/>
          <w:cols w:equalWidth="0" w:num="3">
            <w:col w:w="4760" w:space="720"/>
            <w:col w:w="2780" w:space="720"/>
            <w:col w:w="2260"/>
          </w:cols>
          <w:pgMar w:left="320" w:top="1091" w:right="339" w:bottom="1440" w:gutter="0" w:footer="0" w:header="0"/>
          <w:type w:val="continuous"/>
        </w:sectPr>
      </w:pPr>
    </w:p>
    <w:p>
      <w:pPr>
        <w:spacing w:after="0" w:line="247" w:lineRule="exact"/>
        <w:rPr>
          <w:sz w:val="24"/>
          <w:szCs w:val="24"/>
          <w:color w:val="auto"/>
        </w:rPr>
      </w:pPr>
    </w:p>
    <w:p>
      <w:pPr>
        <w:ind w:left="300"/>
        <w:spacing w:after="0"/>
        <w:rPr>
          <w:sz w:val="20"/>
          <w:szCs w:val="20"/>
          <w:color w:val="auto"/>
        </w:rPr>
      </w:pPr>
      <w:r>
        <w:rPr>
          <w:rFonts w:ascii="Times New Roman" w:cs="Times New Roman" w:eastAsia="Times New Roman" w:hAnsi="Times New Roman"/>
          <w:sz w:val="21"/>
          <w:szCs w:val="21"/>
          <w:b w:val="1"/>
          <w:bCs w:val="1"/>
          <w:color w:val="auto"/>
        </w:rPr>
        <w:t>9800 N. W. 41st. Street,</w:t>
      </w:r>
    </w:p>
    <w:p>
      <w:pPr>
        <w:spacing w:after="0" w:line="20" w:lineRule="exact"/>
        <w:rPr>
          <w:sz w:val="24"/>
          <w:szCs w:val="24"/>
          <w:color w:val="auto"/>
        </w:rPr>
      </w:pPr>
      <w:r>
        <w:rPr>
          <w:sz w:val="24"/>
          <w:szCs w:val="24"/>
          <w:color w:val="auto"/>
        </w:rPr>
        <w:br w:type="column"/>
      </w:r>
    </w:p>
    <w:p>
      <w:pPr>
        <w:spacing w:after="0" w:line="227"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Miami,</w:t>
      </w:r>
    </w:p>
    <w:p>
      <w:pPr>
        <w:spacing w:after="0" w:line="20" w:lineRule="exact"/>
        <w:rPr>
          <w:sz w:val="24"/>
          <w:szCs w:val="24"/>
          <w:color w:val="auto"/>
        </w:rPr>
      </w:pPr>
      <w:r>
        <w:rPr>
          <w:sz w:val="24"/>
          <w:szCs w:val="24"/>
          <w:color w:val="auto"/>
        </w:rPr>
        <w:br w:type="column"/>
      </w:r>
    </w:p>
    <w:p>
      <w:pPr>
        <w:spacing w:after="0" w:line="227"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Florida</w:t>
      </w:r>
    </w:p>
    <w:p>
      <w:pPr>
        <w:spacing w:after="0" w:line="20" w:lineRule="exact"/>
        <w:rPr>
          <w:sz w:val="24"/>
          <w:szCs w:val="24"/>
          <w:color w:val="auto"/>
        </w:rPr>
      </w:pPr>
      <w:r>
        <w:rPr>
          <w:sz w:val="24"/>
          <w:szCs w:val="24"/>
          <w:color w:val="auto"/>
        </w:rPr>
        <w:br w:type="column"/>
      </w:r>
    </w:p>
    <w:p>
      <w:pPr>
        <w:spacing w:after="0" w:line="227"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33178</w:t>
      </w:r>
    </w:p>
    <w:p>
      <w:pPr>
        <w:spacing w:after="0" w:line="44" w:lineRule="exact"/>
        <w:rPr>
          <w:sz w:val="24"/>
          <w:szCs w:val="24"/>
          <w:color w:val="auto"/>
        </w:rPr>
      </w:pPr>
    </w:p>
    <w:p>
      <w:pPr>
        <w:sectPr>
          <w:pgSz w:w="11900" w:h="16838" w:orient="portrait"/>
          <w:cols w:equalWidth="0" w:num="4">
            <w:col w:w="2460" w:space="720"/>
            <w:col w:w="840" w:space="720"/>
            <w:col w:w="4780" w:space="720"/>
            <w:col w:w="1000"/>
          </w:cols>
          <w:pgMar w:left="320" w:top="1091" w:right="339" w:bottom="1440" w:gutter="0" w:footer="0" w:header="0"/>
          <w:type w:val="continuous"/>
        </w:sectPr>
      </w:pPr>
    </w:p>
    <w:p>
      <w:pPr>
        <w:ind w:left="1740"/>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4"/>
          <w:szCs w:val="14"/>
          <w:b w:val="1"/>
          <w:bCs w:val="1"/>
          <w:color w:val="auto"/>
        </w:rPr>
        <w:t>(Zip Code)</w:t>
      </w:r>
    </w:p>
    <w:p>
      <w:pPr>
        <w:spacing w:after="0" w:line="200" w:lineRule="exact"/>
        <w:rPr>
          <w:sz w:val="24"/>
          <w:szCs w:val="24"/>
          <w:color w:val="auto"/>
        </w:rPr>
      </w:pPr>
    </w:p>
    <w:p>
      <w:pPr>
        <w:sectPr>
          <w:pgSz w:w="11900" w:h="16838" w:orient="portrait"/>
          <w:cols w:equalWidth="0" w:num="2">
            <w:col w:w="9460" w:space="720"/>
            <w:col w:w="1060"/>
          </w:cols>
          <w:pgMar w:left="320" w:top="1091" w:right="339" w:bottom="1440" w:gutter="0" w:footer="0" w:header="0"/>
          <w:type w:val="continuous"/>
        </w:sectPr>
      </w:pPr>
    </w:p>
    <w:p>
      <w:pPr>
        <w:spacing w:after="0" w:line="104"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(305) 428-8000</w:t>
      </w:r>
    </w:p>
    <w:p>
      <w:pPr>
        <w:spacing w:after="0" w:line="229"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25"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Written communications pursuant to Rule 425 under Securities Act (17 CFR 230.425)</w:t>
      </w:r>
    </w:p>
    <w:p>
      <w:pPr>
        <w:spacing w:after="0" w:line="58"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Soliciting material pursuant to Rule 14a-12 under the Exchange Act (17 CFR 240.14-12)</w:t>
      </w:r>
    </w:p>
    <w:p>
      <w:pPr>
        <w:spacing w:after="0" w:line="2"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6"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124" w:lineRule="exact"/>
        <w:rPr>
          <w:sz w:val="24"/>
          <w:szCs w:val="24"/>
          <w:color w:val="auto"/>
        </w:rPr>
      </w:pPr>
    </w:p>
    <w:tbl>
      <w:tblPr>
        <w:tblLayout w:type="fixed"/>
        <w:tblInd w:w="1020" w:type="dxa"/>
        <w:tblCellMar>
          <w:top w:w="0" w:type="dxa"/>
          <w:left w:w="0" w:type="dxa"/>
          <w:bottom w:w="0" w:type="dxa"/>
          <w:right w:w="0" w:type="dxa"/>
        </w:tblCellMar>
      </w:tblPr>
      <w:tr>
        <w:trPr>
          <w:trHeight w:val="207"/>
        </w:trPr>
        <w:tc>
          <w:tcPr>
            <w:tcW w:w="860" w:type="dxa"/>
            <w:vAlign w:val="bottom"/>
          </w:tcPr>
          <w:p>
            <w:pPr>
              <w:spacing w:after="0"/>
              <w:rPr>
                <w:sz w:val="18"/>
                <w:szCs w:val="18"/>
                <w:color w:val="auto"/>
              </w:rPr>
            </w:pPr>
          </w:p>
        </w:tc>
        <w:tc>
          <w:tcPr>
            <w:tcW w:w="3440" w:type="dxa"/>
            <w:vAlign w:val="bottom"/>
            <w:gridSpan w:val="2"/>
          </w:tcPr>
          <w:p>
            <w:pPr>
              <w:jc w:val="center"/>
              <w:ind w:right="2140"/>
              <w:spacing w:after="0"/>
              <w:rPr>
                <w:sz w:val="20"/>
                <w:szCs w:val="20"/>
                <w:color w:val="auto"/>
              </w:rPr>
            </w:pPr>
            <w:r>
              <w:rPr>
                <w:rFonts w:ascii="Times New Roman" w:cs="Times New Roman" w:eastAsia="Times New Roman" w:hAnsi="Times New Roman"/>
                <w:sz w:val="18"/>
                <w:szCs w:val="18"/>
                <w:color w:val="auto"/>
                <w:w w:val="99"/>
              </w:rPr>
              <w:t>Title of each class</w:t>
            </w:r>
          </w:p>
        </w:tc>
        <w:tc>
          <w:tcPr>
            <w:tcW w:w="2180" w:type="dxa"/>
            <w:vAlign w:val="bottom"/>
            <w:gridSpan w:val="2"/>
          </w:tcPr>
          <w:p>
            <w:pPr>
              <w:jc w:val="center"/>
              <w:ind w:right="820"/>
              <w:spacing w:after="0"/>
              <w:rPr>
                <w:sz w:val="20"/>
                <w:szCs w:val="20"/>
                <w:color w:val="auto"/>
              </w:rPr>
            </w:pPr>
            <w:r>
              <w:rPr>
                <w:rFonts w:ascii="Times New Roman" w:cs="Times New Roman" w:eastAsia="Times New Roman" w:hAnsi="Times New Roman"/>
                <w:sz w:val="18"/>
                <w:szCs w:val="18"/>
                <w:color w:val="auto"/>
                <w:w w:val="99"/>
              </w:rPr>
              <w:t>Trading Symbol(s)</w:t>
            </w:r>
          </w:p>
        </w:tc>
        <w:tc>
          <w:tcPr>
            <w:tcW w:w="3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Name of each exchange on which registered</w:t>
            </w:r>
          </w:p>
        </w:tc>
      </w:tr>
      <w:tr>
        <w:trPr>
          <w:trHeight w:val="20"/>
        </w:trPr>
        <w:tc>
          <w:tcPr>
            <w:tcW w:w="860" w:type="dxa"/>
            <w:vAlign w:val="bottom"/>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180" w:type="dxa"/>
            <w:vAlign w:val="bottom"/>
            <w:shd w:val="clear" w:color="auto" w:fill="000000"/>
          </w:tcPr>
          <w:p>
            <w:pPr>
              <w:spacing w:after="0" w:line="20" w:lineRule="exact"/>
              <w:rPr>
                <w:sz w:val="1"/>
                <w:szCs w:val="1"/>
                <w:color w:val="auto"/>
              </w:rPr>
            </w:pPr>
          </w:p>
        </w:tc>
      </w:tr>
      <w:tr>
        <w:trPr>
          <w:trHeight w:val="399"/>
        </w:trPr>
        <w:tc>
          <w:tcPr>
            <w:tcW w:w="4300" w:type="dxa"/>
            <w:vAlign w:val="bottom"/>
            <w:gridSpan w:val="3"/>
          </w:tcPr>
          <w:p>
            <w:pPr>
              <w:jc w:val="center"/>
              <w:ind w:right="1280"/>
              <w:spacing w:after="0"/>
              <w:rPr>
                <w:sz w:val="20"/>
                <w:szCs w:val="20"/>
                <w:color w:val="auto"/>
              </w:rPr>
            </w:pPr>
            <w:r>
              <w:rPr>
                <w:rFonts w:ascii="Times New Roman" w:cs="Times New Roman" w:eastAsia="Times New Roman" w:hAnsi="Times New Roman"/>
                <w:sz w:val="18"/>
                <w:szCs w:val="18"/>
                <w:color w:val="auto"/>
                <w:w w:val="99"/>
              </w:rPr>
              <w:t>Common Stock, par value $0.01 per share</w:t>
            </w:r>
          </w:p>
        </w:tc>
        <w:tc>
          <w:tcPr>
            <w:tcW w:w="2180" w:type="dxa"/>
            <w:vAlign w:val="bottom"/>
            <w:gridSpan w:val="2"/>
          </w:tcPr>
          <w:p>
            <w:pPr>
              <w:jc w:val="center"/>
              <w:ind w:right="800"/>
              <w:spacing w:after="0"/>
              <w:rPr>
                <w:sz w:val="20"/>
                <w:szCs w:val="20"/>
                <w:color w:val="auto"/>
              </w:rPr>
            </w:pPr>
            <w:r>
              <w:rPr>
                <w:rFonts w:ascii="Times New Roman" w:cs="Times New Roman" w:eastAsia="Times New Roman" w:hAnsi="Times New Roman"/>
                <w:sz w:val="18"/>
                <w:szCs w:val="18"/>
                <w:color w:val="auto"/>
                <w:w w:val="99"/>
              </w:rPr>
              <w:t>INT</w:t>
            </w:r>
          </w:p>
        </w:tc>
        <w:tc>
          <w:tcPr>
            <w:tcW w:w="3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New York Stock Exchange</w:t>
            </w:r>
          </w:p>
        </w:tc>
      </w:tr>
    </w:tbl>
    <w:p>
      <w:pPr>
        <w:spacing w:after="0" w:line="184" w:lineRule="exact"/>
        <w:rPr>
          <w:sz w:val="24"/>
          <w:szCs w:val="24"/>
          <w:color w:val="auto"/>
        </w:rPr>
      </w:pPr>
    </w:p>
    <w:p>
      <w:pPr>
        <w:ind w:right="20"/>
        <w:spacing w:after="0" w:line="23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is an emerging growth company as defined in Rule 405 of the Securities Act of 1933 (§230.405 of this chapter) or Rule 12b-2 of the Securities Exchange Act of 1934 (§240.12b-2 of this chapter). Emerging growth company </w:t>
      </w:r>
      <w:r>
        <w:rPr>
          <w:rFonts w:ascii="MS PGothic" w:cs="MS PGothic" w:eastAsia="MS PGothic" w:hAnsi="MS PGothic"/>
          <w:sz w:val="18"/>
          <w:szCs w:val="18"/>
          <w:color w:val="auto"/>
        </w:rPr>
        <w:t>☐</w:t>
      </w:r>
    </w:p>
    <w:p>
      <w:pPr>
        <w:spacing w:after="0" w:line="71" w:lineRule="exact"/>
        <w:rPr>
          <w:sz w:val="24"/>
          <w:szCs w:val="24"/>
          <w:color w:val="auto"/>
        </w:rPr>
      </w:pPr>
    </w:p>
    <w:p>
      <w:pPr>
        <w:spacing w:after="0" w:line="256"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600710</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91" w:right="339" w:bottom="144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22"/>
          <w:szCs w:val="22"/>
          <w:b w:val="1"/>
          <w:bCs w:val="1"/>
          <w:color w:val="auto"/>
        </w:rPr>
        <w:t>Item 7.01. Regulation FD Disclosure</w:t>
      </w:r>
    </w:p>
    <w:p>
      <w:pPr>
        <w:spacing w:after="0" w:line="215"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On April 14, 2022, World Fuel Services Corporation (the “Company”) issued a press release announcing that a conference call has been scheduled on Thursday, April 28, 2022 at 5:00 PM Eastern Time to discuss the Company’s first quarter results, as well as certain forward-looking information. The Company plans to release its first quarter results after the market closes on the same date. A copy of the press release is attached hereto as Exhibit 99.1.</w:t>
      </w:r>
    </w:p>
    <w:p>
      <w:pPr>
        <w:spacing w:after="0" w:line="72"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20"/>
          <w:szCs w:val="20"/>
          <w:color w:val="auto"/>
        </w:rPr>
        <w:t>This information and the information contained in Exhibit 99.1 shall not be deemed “filed” for purposes of Section 18 of the Securities Exchange Act of 1934, as amended (the “Exchange Act”), or incorporated by reference in any filing under the Securities Act of 1933, as amended, or the Exchange Act, except as may be expressly set forth by specific reference in any such filing.</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Item 9.01. Financial Statements and Exhibits</w:t>
      </w:r>
    </w:p>
    <w:p>
      <w:pPr>
        <w:spacing w:after="0" w:line="21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0"/>
          <w:szCs w:val="20"/>
          <w:color w:val="auto"/>
        </w:rPr>
        <w:t>(d) Exhibits</w:t>
      </w:r>
    </w:p>
    <w:p>
      <w:pPr>
        <w:spacing w:after="0" w:line="37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240" w:type="dxa"/>
            <w:vAlign w:val="bottom"/>
          </w:tcPr>
          <w:p>
            <w:pPr>
              <w:spacing w:after="0"/>
              <w:rPr>
                <w:sz w:val="19"/>
                <w:szCs w:val="19"/>
                <w:color w:val="auto"/>
              </w:rPr>
            </w:pPr>
          </w:p>
        </w:tc>
        <w:tc>
          <w:tcPr>
            <w:tcW w:w="30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w w:val="94"/>
              </w:rPr>
              <w:t>No.</w:t>
            </w:r>
          </w:p>
        </w:tc>
        <w:tc>
          <w:tcPr>
            <w:tcW w:w="1080" w:type="dxa"/>
            <w:vAlign w:val="bottom"/>
            <w:vMerge w:val="restart"/>
          </w:tcPr>
          <w:p>
            <w:pPr>
              <w:spacing w:after="0"/>
              <w:rPr>
                <w:sz w:val="19"/>
                <w:szCs w:val="19"/>
                <w:color w:val="auto"/>
              </w:rPr>
            </w:pPr>
          </w:p>
        </w:tc>
        <w:tc>
          <w:tcPr>
            <w:tcW w:w="1360" w:type="dxa"/>
            <w:vAlign w:val="bottom"/>
            <w:gridSpan w:val="3"/>
          </w:tcPr>
          <w:p>
            <w:pPr>
              <w:spacing w:after="0"/>
              <w:rPr>
                <w:sz w:val="20"/>
                <w:szCs w:val="20"/>
                <w:color w:val="auto"/>
              </w:rPr>
            </w:pPr>
            <w:r>
              <w:rPr>
                <w:rFonts w:ascii="Times New Roman" w:cs="Times New Roman" w:eastAsia="Times New Roman" w:hAnsi="Times New Roman"/>
                <w:sz w:val="20"/>
                <w:szCs w:val="20"/>
                <w:b w:val="1"/>
                <w:bCs w:val="1"/>
                <w:color w:val="auto"/>
              </w:rPr>
              <w:t>Exhibit</w:t>
            </w:r>
          </w:p>
        </w:tc>
        <w:tc>
          <w:tcPr>
            <w:tcW w:w="6260" w:type="dxa"/>
            <w:vAlign w:val="bottom"/>
            <w:gridSpan w:val="3"/>
          </w:tcPr>
          <w:p>
            <w:pPr>
              <w:ind w:left="720"/>
              <w:spacing w:after="0"/>
              <w:rPr>
                <w:sz w:val="20"/>
                <w:szCs w:val="20"/>
                <w:color w:val="auto"/>
              </w:rPr>
            </w:pPr>
            <w:r>
              <w:rPr>
                <w:rFonts w:ascii="Times New Roman" w:cs="Times New Roman" w:eastAsia="Times New Roman" w:hAnsi="Times New Roman"/>
                <w:sz w:val="20"/>
                <w:szCs w:val="20"/>
                <w:b w:val="1"/>
                <w:bCs w:val="1"/>
                <w:color w:val="auto"/>
              </w:rPr>
              <w:t>Description</w:t>
            </w:r>
          </w:p>
        </w:tc>
        <w:tc>
          <w:tcPr>
            <w:tcW w:w="0" w:type="dxa"/>
            <w:vAlign w:val="bottom"/>
          </w:tcPr>
          <w:p>
            <w:pPr>
              <w:spacing w:after="0"/>
              <w:rPr>
                <w:sz w:val="1"/>
                <w:szCs w:val="1"/>
                <w:color w:val="auto"/>
              </w:rPr>
            </w:pPr>
          </w:p>
        </w:tc>
      </w:tr>
      <w:tr>
        <w:trPr>
          <w:trHeight w:val="174"/>
        </w:trPr>
        <w:tc>
          <w:tcPr>
            <w:tcW w:w="2240" w:type="dxa"/>
            <w:vAlign w:val="bottom"/>
          </w:tcPr>
          <w:p>
            <w:pPr>
              <w:spacing w:after="0"/>
              <w:rPr>
                <w:sz w:val="14"/>
                <w:szCs w:val="14"/>
                <w:color w:val="auto"/>
              </w:rPr>
            </w:pPr>
          </w:p>
        </w:tc>
        <w:tc>
          <w:tcPr>
            <w:tcW w:w="300" w:type="dxa"/>
            <w:vAlign w:val="bottom"/>
            <w:tcBorders>
              <w:bottom w:val="single" w:sz="8" w:color="auto"/>
            </w:tcBorders>
            <w:vMerge w:val="continue"/>
          </w:tcPr>
          <w:p>
            <w:pPr>
              <w:spacing w:after="0"/>
              <w:rPr>
                <w:sz w:val="14"/>
                <w:szCs w:val="14"/>
                <w:color w:val="auto"/>
              </w:rPr>
            </w:pPr>
          </w:p>
        </w:tc>
        <w:tc>
          <w:tcPr>
            <w:tcW w:w="1080" w:type="dxa"/>
            <w:vAlign w:val="bottom"/>
            <w:vMerge w:val="continue"/>
          </w:tcPr>
          <w:p>
            <w:pPr>
              <w:spacing w:after="0"/>
              <w:rPr>
                <w:sz w:val="14"/>
                <w:szCs w:val="14"/>
                <w:color w:val="auto"/>
              </w:rPr>
            </w:pPr>
          </w:p>
        </w:tc>
        <w:tc>
          <w:tcPr>
            <w:tcW w:w="340" w:type="dxa"/>
            <w:vAlign w:val="bottom"/>
            <w:tcBorders>
              <w:top w:val="single" w:sz="8" w:color="auto"/>
            </w:tcBorders>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7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80" w:type="dxa"/>
            <w:vAlign w:val="bottom"/>
            <w:tcBorders>
              <w:top w:val="single" w:sz="8" w:color="auto"/>
            </w:tcBorders>
          </w:tcPr>
          <w:p>
            <w:pPr>
              <w:spacing w:after="0"/>
              <w:rPr>
                <w:sz w:val="14"/>
                <w:szCs w:val="14"/>
                <w:color w:val="auto"/>
              </w:rPr>
            </w:pPr>
          </w:p>
        </w:tc>
        <w:tc>
          <w:tcPr>
            <w:tcW w:w="4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4240" w:type="dxa"/>
            <w:vAlign w:val="bottom"/>
            <w:gridSpan w:val="5"/>
          </w:tcPr>
          <w:p>
            <w:pPr>
              <w:ind w:left="3620"/>
              <w:spacing w:after="0" w:line="223" w:lineRule="exact"/>
              <w:rPr>
                <w:rFonts w:ascii="Times New Roman" w:cs="Times New Roman" w:eastAsia="Times New Roman" w:hAnsi="Times New Roman"/>
                <w:sz w:val="20"/>
                <w:szCs w:val="20"/>
                <w:color w:val="0000FF"/>
              </w:rPr>
            </w:pPr>
            <w:hyperlink w:anchor="page4">
              <w:r>
                <w:rPr>
                  <w:rFonts w:ascii="Times New Roman" w:cs="Times New Roman" w:eastAsia="Times New Roman" w:hAnsi="Times New Roman"/>
                  <w:sz w:val="20"/>
                  <w:szCs w:val="20"/>
                  <w:color w:val="0000FF"/>
                </w:rPr>
                <w:t>99.</w:t>
              </w:r>
              <w:r>
                <w:rPr>
                  <w:rFonts w:ascii="Times New Roman" w:cs="Times New Roman" w:eastAsia="Times New Roman" w:hAnsi="Times New Roman"/>
                  <w:sz w:val="20"/>
                  <w:szCs w:val="20"/>
                  <w:u w:val="single" w:color="auto"/>
                  <w:color w:val="0000FF"/>
                </w:rPr>
                <w:t>1</w:t>
              </w:r>
            </w:hyperlink>
          </w:p>
        </w:tc>
        <w:tc>
          <w:tcPr>
            <w:tcW w:w="740" w:type="dxa"/>
            <w:vAlign w:val="bottom"/>
          </w:tcPr>
          <w:p>
            <w:pPr>
              <w:spacing w:after="0"/>
              <w:rPr>
                <w:sz w:val="19"/>
                <w:szCs w:val="19"/>
                <w:color w:val="auto"/>
              </w:rPr>
            </w:pPr>
          </w:p>
        </w:tc>
        <w:tc>
          <w:tcPr>
            <w:tcW w:w="6260" w:type="dxa"/>
            <w:vAlign w:val="bottom"/>
            <w:gridSpan w:val="3"/>
          </w:tcPr>
          <w:p>
            <w:pPr>
              <w:ind w:left="720"/>
              <w:spacing w:after="0" w:line="223" w:lineRule="exact"/>
              <w:rPr>
                <w:sz w:val="20"/>
                <w:szCs w:val="20"/>
                <w:color w:val="auto"/>
              </w:rPr>
            </w:pPr>
            <w:r>
              <w:rPr>
                <w:rFonts w:ascii="Times New Roman" w:cs="Times New Roman" w:eastAsia="Times New Roman" w:hAnsi="Times New Roman"/>
                <w:sz w:val="20"/>
                <w:szCs w:val="20"/>
                <w:color w:val="auto"/>
              </w:rPr>
              <w:t>Press Release, dated April 14, 2022</w:t>
            </w:r>
          </w:p>
        </w:tc>
        <w:tc>
          <w:tcPr>
            <w:tcW w:w="0" w:type="dxa"/>
            <w:vAlign w:val="bottom"/>
          </w:tcPr>
          <w:p>
            <w:pPr>
              <w:spacing w:after="0"/>
              <w:rPr>
                <w:sz w:val="1"/>
                <w:szCs w:val="1"/>
                <w:color w:val="auto"/>
              </w:rPr>
            </w:pPr>
          </w:p>
        </w:tc>
      </w:tr>
      <w:tr>
        <w:trPr>
          <w:trHeight w:val="20"/>
        </w:trPr>
        <w:tc>
          <w:tcPr>
            <w:tcW w:w="3620" w:type="dxa"/>
            <w:vAlign w:val="bottom"/>
            <w:gridSpan w:val="3"/>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626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9"/>
        </w:trPr>
        <w:tc>
          <w:tcPr>
            <w:tcW w:w="3960" w:type="dxa"/>
            <w:vAlign w:val="bottom"/>
            <w:gridSpan w:val="4"/>
          </w:tcPr>
          <w:p>
            <w:pPr>
              <w:ind w:left="3620"/>
              <w:spacing w:after="0"/>
              <w:rPr>
                <w:sz w:val="20"/>
                <w:szCs w:val="20"/>
                <w:color w:val="auto"/>
              </w:rPr>
            </w:pPr>
            <w:r>
              <w:rPr>
                <w:rFonts w:ascii="Times New Roman" w:cs="Times New Roman" w:eastAsia="Times New Roman" w:hAnsi="Times New Roman"/>
                <w:sz w:val="20"/>
                <w:szCs w:val="20"/>
                <w:color w:val="auto"/>
              </w:rPr>
              <w:t>104</w:t>
            </w:r>
          </w:p>
        </w:tc>
        <w:tc>
          <w:tcPr>
            <w:tcW w:w="2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260" w:type="dxa"/>
            <w:vAlign w:val="bottom"/>
            <w:gridSpan w:val="3"/>
          </w:tcPr>
          <w:p>
            <w:pPr>
              <w:ind w:left="720"/>
              <w:spacing w:after="0"/>
              <w:rPr>
                <w:sz w:val="20"/>
                <w:szCs w:val="20"/>
                <w:color w:val="auto"/>
              </w:rPr>
            </w:pPr>
            <w:r>
              <w:rPr>
                <w:rFonts w:ascii="Times New Roman" w:cs="Times New Roman" w:eastAsia="Times New Roman" w:hAnsi="Times New Roman"/>
                <w:sz w:val="20"/>
                <w:szCs w:val="20"/>
                <w:color w:val="auto"/>
              </w:rPr>
              <w:t>Cover Page Interactive Data File, formatted in inline XBRL.</w:t>
            </w:r>
          </w:p>
        </w:tc>
        <w:tc>
          <w:tcPr>
            <w:tcW w:w="0" w:type="dxa"/>
            <w:vAlign w:val="bottom"/>
          </w:tcPr>
          <w:p>
            <w:pPr>
              <w:spacing w:after="0"/>
              <w:rPr>
                <w:sz w:val="1"/>
                <w:szCs w:val="1"/>
                <w:color w:val="auto"/>
              </w:rPr>
            </w:pPr>
          </w:p>
        </w:tc>
      </w:tr>
      <w:tr>
        <w:trPr>
          <w:trHeight w:val="1351"/>
        </w:trPr>
        <w:tc>
          <w:tcPr>
            <w:tcW w:w="2240" w:type="dxa"/>
            <w:vAlign w:val="bottom"/>
            <w:tcBorders>
              <w:bottom w:val="single" w:sz="8" w:color="9A9A9A"/>
            </w:tcBorders>
          </w:tcPr>
          <w:p>
            <w:pPr>
              <w:spacing w:after="0"/>
              <w:rPr>
                <w:sz w:val="24"/>
                <w:szCs w:val="24"/>
                <w:color w:val="auto"/>
              </w:rPr>
            </w:pPr>
          </w:p>
        </w:tc>
        <w:tc>
          <w:tcPr>
            <w:tcW w:w="300" w:type="dxa"/>
            <w:vAlign w:val="bottom"/>
            <w:tcBorders>
              <w:bottom w:val="single" w:sz="8" w:color="9A9A9A"/>
            </w:tcBorders>
          </w:tcPr>
          <w:p>
            <w:pPr>
              <w:spacing w:after="0"/>
              <w:rPr>
                <w:sz w:val="24"/>
                <w:szCs w:val="24"/>
                <w:color w:val="auto"/>
              </w:rPr>
            </w:pPr>
          </w:p>
        </w:tc>
        <w:tc>
          <w:tcPr>
            <w:tcW w:w="1080" w:type="dxa"/>
            <w:vAlign w:val="bottom"/>
            <w:tcBorders>
              <w:bottom w:val="single" w:sz="8" w:color="9A9A9A"/>
            </w:tcBorders>
          </w:tcPr>
          <w:p>
            <w:pPr>
              <w:spacing w:after="0"/>
              <w:rPr>
                <w:sz w:val="24"/>
                <w:szCs w:val="24"/>
                <w:color w:val="auto"/>
              </w:rPr>
            </w:pPr>
          </w:p>
        </w:tc>
        <w:tc>
          <w:tcPr>
            <w:tcW w:w="34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740" w:type="dxa"/>
            <w:vAlign w:val="bottom"/>
            <w:tcBorders>
              <w:bottom w:val="single" w:sz="8" w:color="9A9A9A"/>
            </w:tcBorders>
          </w:tcPr>
          <w:p>
            <w:pPr>
              <w:spacing w:after="0"/>
              <w:rPr>
                <w:sz w:val="24"/>
                <w:szCs w:val="24"/>
                <w:color w:val="auto"/>
              </w:rPr>
            </w:pPr>
          </w:p>
        </w:tc>
        <w:tc>
          <w:tcPr>
            <w:tcW w:w="720" w:type="dxa"/>
            <w:vAlign w:val="bottom"/>
            <w:tcBorders>
              <w:bottom w:val="single" w:sz="8" w:color="9A9A9A"/>
            </w:tcBorders>
          </w:tcPr>
          <w:p>
            <w:pPr>
              <w:spacing w:after="0"/>
              <w:rPr>
                <w:sz w:val="24"/>
                <w:szCs w:val="24"/>
                <w:color w:val="auto"/>
              </w:rPr>
            </w:pPr>
          </w:p>
        </w:tc>
        <w:tc>
          <w:tcPr>
            <w:tcW w:w="980" w:type="dxa"/>
            <w:vAlign w:val="bottom"/>
            <w:tcBorders>
              <w:bottom w:val="single" w:sz="8" w:color="9A9A9A"/>
            </w:tcBorders>
          </w:tcPr>
          <w:p>
            <w:pPr>
              <w:spacing w:after="0"/>
              <w:rPr>
                <w:sz w:val="24"/>
                <w:szCs w:val="24"/>
                <w:color w:val="auto"/>
              </w:rPr>
            </w:pPr>
          </w:p>
        </w:tc>
        <w:tc>
          <w:tcPr>
            <w:tcW w:w="456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5" w:right="3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22"/>
          <w:szCs w:val="22"/>
          <w:b w:val="1"/>
          <w:bCs w:val="1"/>
          <w:color w:val="auto"/>
        </w:rPr>
        <w:t>SIGNATURES</w:t>
      </w:r>
    </w:p>
    <w:p>
      <w:pPr>
        <w:spacing w:after="0" w:line="21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20"/>
        <w:spacing w:after="0"/>
        <w:tabs>
          <w:tab w:leader="none" w:pos="5820" w:val="left"/>
        </w:tabs>
        <w:rPr>
          <w:sz w:val="20"/>
          <w:szCs w:val="20"/>
          <w:color w:val="auto"/>
        </w:rPr>
      </w:pPr>
      <w:r>
        <w:rPr>
          <w:rFonts w:ascii="Times New Roman" w:cs="Times New Roman" w:eastAsia="Times New Roman" w:hAnsi="Times New Roman"/>
          <w:sz w:val="18"/>
          <w:szCs w:val="18"/>
          <w:color w:val="auto"/>
        </w:rPr>
        <w:t>Date: April 14, 2022</w:t>
      </w:r>
      <w:r>
        <w:rPr>
          <w:sz w:val="20"/>
          <w:szCs w:val="20"/>
          <w:color w:val="auto"/>
        </w:rPr>
        <w:tab/>
      </w:r>
      <w:r>
        <w:rPr>
          <w:rFonts w:ascii="Times New Roman" w:cs="Times New Roman" w:eastAsia="Times New Roman" w:hAnsi="Times New Roman"/>
          <w:sz w:val="17"/>
          <w:szCs w:val="17"/>
          <w:b w:val="1"/>
          <w:bCs w:val="1"/>
          <w:color w:val="auto"/>
        </w:rPr>
        <w:t>World Fuel Services Corporation</w:t>
      </w:r>
    </w:p>
    <w:p>
      <w:pPr>
        <w:spacing w:after="0" w:line="200" w:lineRule="exact"/>
        <w:rPr>
          <w:sz w:val="20"/>
          <w:szCs w:val="20"/>
          <w:color w:val="auto"/>
        </w:rPr>
      </w:pPr>
    </w:p>
    <w:p>
      <w:pPr>
        <w:spacing w:after="0" w:line="218"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18"/>
          <w:szCs w:val="18"/>
          <w:color w:val="auto"/>
        </w:rPr>
        <w:t>/s/ Amy Quintana Avalos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3691255</wp:posOffset>
            </wp:positionH>
            <wp:positionV relativeFrom="paragraph">
              <wp:posOffset>102870</wp:posOffset>
            </wp:positionV>
            <wp:extent cx="342900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00" cy="8255"/>
                    </a:xfrm>
                    <a:prstGeom prst="rect">
                      <a:avLst/>
                    </a:prstGeom>
                    <a:noFill/>
                  </pic:spPr>
                </pic:pic>
              </a:graphicData>
            </a:graphic>
          </wp:anchor>
        </w:drawing>
      </w:r>
    </w:p>
    <w:p>
      <w:pPr>
        <w:spacing w:after="0" w:line="165"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18"/>
          <w:szCs w:val="18"/>
          <w:color w:val="auto"/>
        </w:rPr>
        <w:t>Amy Quintana Avalos</w:t>
      </w:r>
    </w:p>
    <w:p>
      <w:pPr>
        <w:spacing w:after="0" w:line="63"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18"/>
          <w:szCs w:val="18"/>
          <w:color w:val="auto"/>
        </w:rPr>
        <w:t>Senior Vice President, Chief Corporate Counsel and Corporate Secretary</w:t>
      </w:r>
    </w:p>
    <w:p>
      <w:pPr>
        <w:sectPr>
          <w:pgSz w:w="11900" w:h="16838" w:orient="portrait"/>
          <w:cols w:equalWidth="0" w:num="1">
            <w:col w:w="11240"/>
          </w:cols>
          <w:pgMar w:left="320" w:top="1215" w:right="3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20"/>
          <w:szCs w:val="20"/>
          <w:b w:val="1"/>
          <w:bCs w:val="1"/>
          <w:color w:val="auto"/>
        </w:rPr>
        <w:t>Exhibit 99.1</w:t>
      </w:r>
    </w:p>
    <w:p>
      <w:pPr>
        <w:spacing w:after="0" w:line="2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WORLD FUEL SERVICES CORPORATION TO HOST</w:t>
      </w:r>
    </w:p>
    <w:p>
      <w:pPr>
        <w:spacing w:after="0" w:line="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FIRST QUARTER 2022 EARNINGS CONFERENCE CALL</w:t>
      </w:r>
    </w:p>
    <w:p>
      <w:pPr>
        <w:spacing w:after="0" w:line="200" w:lineRule="exact"/>
        <w:rPr>
          <w:sz w:val="20"/>
          <w:szCs w:val="20"/>
          <w:color w:val="auto"/>
        </w:rPr>
      </w:pPr>
    </w:p>
    <w:p>
      <w:pPr>
        <w:spacing w:after="0" w:line="252" w:lineRule="exact"/>
        <w:rPr>
          <w:sz w:val="20"/>
          <w:szCs w:val="20"/>
          <w:color w:val="auto"/>
        </w:rPr>
      </w:pPr>
    </w:p>
    <w:p>
      <w:pPr>
        <w:jc w:val="both"/>
        <w:spacing w:after="0" w:line="239" w:lineRule="auto"/>
        <w:rPr>
          <w:sz w:val="20"/>
          <w:szCs w:val="20"/>
          <w:color w:val="auto"/>
        </w:rPr>
      </w:pPr>
      <w:r>
        <w:rPr>
          <w:rFonts w:ascii="Times New Roman" w:cs="Times New Roman" w:eastAsia="Times New Roman" w:hAnsi="Times New Roman"/>
          <w:sz w:val="22"/>
          <w:szCs w:val="22"/>
          <w:color w:val="auto"/>
        </w:rPr>
        <w:t xml:space="preserve">MIAMI--(BUSINESS WIRE) — </w:t>
      </w:r>
      <w:r>
        <w:rPr>
          <w:rFonts w:ascii="Times New Roman" w:cs="Times New Roman" w:eastAsia="Times New Roman" w:hAnsi="Times New Roman"/>
          <w:sz w:val="19"/>
          <w:szCs w:val="19"/>
          <w:color w:val="auto"/>
        </w:rPr>
        <w:t>April 14, 2022</w:t>
      </w:r>
      <w:r>
        <w:rPr>
          <w:rFonts w:ascii="Times New Roman" w:cs="Times New Roman" w:eastAsia="Times New Roman" w:hAnsi="Times New Roman"/>
          <w:sz w:val="22"/>
          <w:szCs w:val="22"/>
          <w:color w:val="auto"/>
        </w:rPr>
        <w:t xml:space="preserve"> — World Fuel Services Corporation (NYSE:INT) invites you to participate in a conference call with its management team on Thursday, April 28, 2022 at 5:00PM Eastern Time to discuss the Company’s first quarter results, as well as certain forward-looking information. The Company plans to release its first quarter results after the market closes on the same date.</w:t>
      </w:r>
    </w:p>
    <w:p>
      <w:pPr>
        <w:spacing w:after="0" w:line="2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2"/>
          <w:szCs w:val="22"/>
          <w:color w:val="auto"/>
        </w:rPr>
        <w:t>The live conference call will be accessible by telephone at (833) 562-0141 (within the United States and Canada) or (661) 567-1221 (International). The call ID is 6092758.</w:t>
      </w:r>
    </w:p>
    <w:p>
      <w:pPr>
        <w:spacing w:after="0" w:line="185"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2"/>
          <w:szCs w:val="22"/>
          <w:color w:val="auto"/>
        </w:rPr>
        <w:t xml:space="preserve">The conference call will also be available via live webcast. The live webcast may be accessed by visiting the Company’s website at </w:t>
      </w:r>
      <w:r>
        <w:rPr>
          <w:rFonts w:ascii="Times New Roman" w:cs="Times New Roman" w:eastAsia="Times New Roman" w:hAnsi="Times New Roman"/>
          <w:sz w:val="22"/>
          <w:szCs w:val="22"/>
          <w:u w:val="single" w:color="auto"/>
          <w:color w:val="0000FF"/>
        </w:rPr>
        <w:t>www.wfscorp.com</w:t>
      </w:r>
      <w:r>
        <w:rPr>
          <w:rFonts w:ascii="Times New Roman" w:cs="Times New Roman" w:eastAsia="Times New Roman" w:hAnsi="Times New Roman"/>
          <w:sz w:val="22"/>
          <w:szCs w:val="22"/>
          <w:color w:val="auto"/>
        </w:rPr>
        <w:t xml:space="preserve"> and clicking on the webcast icon. An archive of the webcast will be available on the Company’s website two hours after the completion of the live call and will remain available until May 12, 2022.</w:t>
      </w:r>
    </w:p>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u w:val="single" w:color="auto"/>
          <w:color w:val="auto"/>
        </w:rPr>
        <w:t>About World Fuel Services Corporation</w:t>
      </w:r>
    </w:p>
    <w:p>
      <w:pPr>
        <w:spacing w:after="0" w:line="85"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22"/>
          <w:szCs w:val="22"/>
          <w:color w:val="auto"/>
        </w:rPr>
        <w:t>Headquartered in Miami, Florida, World Fuel Services is a global energy management company involved in providing supply fulfillment, energy procurement advisory services, and transaction and payment management solutions to commercial and industrial customers, principally in the aviation, marine and land transportation industries. World Fuel Services also offers natural gas and electricity, as well as energy advisory services, including programs for carbon offsets, sustainability solutions and renewable energy alternatives. World Fuel Services sells fuel and delivers services to its clients at more than 8,000 locations in more than 200 countries and territories worldwide.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For more information, visit </w:t>
      </w:r>
      <w:r>
        <w:rPr>
          <w:rFonts w:ascii="Times New Roman" w:cs="Times New Roman" w:eastAsia="Times New Roman" w:hAnsi="Times New Roman"/>
          <w:sz w:val="22"/>
          <w:szCs w:val="22"/>
          <w:u w:val="single" w:color="auto"/>
          <w:color w:val="0000FF"/>
        </w:rPr>
        <w:t>www.wfscorp.com</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Contact:</w:t>
      </w:r>
    </w:p>
    <w:p>
      <w:pPr>
        <w:spacing w:after="0" w:line="24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Ira M. Birns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Executive Vice President &amp; Chief Financial Officer</w:t>
      </w:r>
    </w:p>
    <w:p>
      <w:pPr>
        <w:spacing w:after="0"/>
        <w:rPr>
          <w:sz w:val="20"/>
          <w:szCs w:val="20"/>
          <w:color w:val="auto"/>
        </w:rPr>
      </w:pPr>
      <w:r>
        <w:rPr>
          <w:rFonts w:ascii="Times New Roman" w:cs="Times New Roman" w:eastAsia="Times New Roman" w:hAnsi="Times New Roman"/>
          <w:sz w:val="20"/>
          <w:szCs w:val="20"/>
          <w:color w:val="auto"/>
        </w:rPr>
        <w:t>or</w:t>
      </w:r>
    </w:p>
    <w:p>
      <w:pPr>
        <w:spacing w:after="0"/>
        <w:rPr>
          <w:sz w:val="20"/>
          <w:szCs w:val="20"/>
          <w:color w:val="auto"/>
        </w:rPr>
      </w:pPr>
      <w:r>
        <w:rPr>
          <w:rFonts w:ascii="Times New Roman" w:cs="Times New Roman" w:eastAsia="Times New Roman" w:hAnsi="Times New Roman"/>
          <w:sz w:val="20"/>
          <w:szCs w:val="20"/>
          <w:color w:val="auto"/>
        </w:rPr>
        <w:t>Glenn Klevitz, Vice President, Treasurer &amp; Investor Relations</w:t>
      </w:r>
    </w:p>
    <w:p>
      <w:pPr>
        <w:ind w:right="9300" w:firstLine="8"/>
        <w:spacing w:after="0" w:line="271" w:lineRule="auto"/>
        <w:tabs>
          <w:tab w:leader="none" w:pos="478" w:val="left"/>
        </w:tabs>
        <w:numPr>
          <w:ilvl w:val="0"/>
          <w:numId w:val="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428-8000 investors@wfscorp.com</w:t>
      </w:r>
    </w:p>
    <w:sectPr>
      <w:pgSz w:w="11900" w:h="16838" w:orient="portrait"/>
      <w:cols w:equalWidth="0" w:num="1">
        <w:col w:w="11240"/>
      </w:cols>
      <w:pgMar w:left="320" w:top="1112"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305"/>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2022-04-14T15:21:08Z</dcterms:created>
  <dcterms:modified xsi:type="dcterms:W3CDTF">2022-04-14T15:21:08Z</dcterms:modified>
</cp:coreProperties>
</file>