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FORM 8-K</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CURRENT REPORT</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PURSUANT TO SECTION 13 OR 15(d) OF</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Date of Report (Date of earliest event reported): February 12, 2019</w:t>
      </w:r>
    </w:p>
    <w:p>
      <w:pPr>
        <w:spacing w:after="0" w:line="23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WORLD FUEL SERVICES CORPORATION</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840" w:type="dxa"/>
        <w:tblCellMar>
          <w:top w:w="0" w:type="dxa"/>
          <w:left w:w="0" w:type="dxa"/>
          <w:bottom w:w="0" w:type="dxa"/>
          <w:right w:w="0" w:type="dxa"/>
        </w:tblCellMar>
      </w:tblPr>
      <w:tr>
        <w:trPr>
          <w:trHeight w:val="234"/>
        </w:trPr>
        <w:tc>
          <w:tcPr>
            <w:tcW w:w="2140" w:type="dxa"/>
            <w:vAlign w:val="bottom"/>
          </w:tcPr>
          <w:p>
            <w:pPr>
              <w:jc w:val="center"/>
              <w:spacing w:after="0"/>
              <w:rPr>
                <w:sz w:val="20"/>
                <w:szCs w:val="20"/>
                <w:color w:val="auto"/>
              </w:rPr>
            </w:pPr>
            <w:r>
              <w:rPr>
                <w:rFonts w:ascii="Arial" w:cs="Arial" w:eastAsia="Arial" w:hAnsi="Arial"/>
                <w:sz w:val="18"/>
                <w:szCs w:val="18"/>
                <w:b w:val="1"/>
                <w:bCs w:val="1"/>
                <w:color w:val="auto"/>
                <w:w w:val="96"/>
              </w:rPr>
              <w:t>Florida</w:t>
            </w:r>
          </w:p>
        </w:tc>
        <w:tc>
          <w:tcPr>
            <w:tcW w:w="4640" w:type="dxa"/>
            <w:vAlign w:val="bottom"/>
          </w:tcPr>
          <w:p>
            <w:pPr>
              <w:jc w:val="center"/>
              <w:ind w:left="750"/>
              <w:spacing w:after="0"/>
              <w:rPr>
                <w:sz w:val="20"/>
                <w:szCs w:val="20"/>
                <w:color w:val="auto"/>
              </w:rPr>
            </w:pPr>
            <w:r>
              <w:rPr>
                <w:rFonts w:ascii="Arial" w:cs="Arial" w:eastAsia="Arial" w:hAnsi="Arial"/>
                <w:sz w:val="18"/>
                <w:szCs w:val="18"/>
                <w:b w:val="1"/>
                <w:bCs w:val="1"/>
                <w:color w:val="auto"/>
                <w:w w:val="92"/>
              </w:rPr>
              <w:t>1-9533</w:t>
            </w:r>
          </w:p>
        </w:tc>
        <w:tc>
          <w:tcPr>
            <w:tcW w:w="2580" w:type="dxa"/>
            <w:vAlign w:val="bottom"/>
          </w:tcPr>
          <w:p>
            <w:pPr>
              <w:jc w:val="right"/>
              <w:ind w:right="130"/>
              <w:spacing w:after="0"/>
              <w:rPr>
                <w:sz w:val="20"/>
                <w:szCs w:val="20"/>
                <w:color w:val="auto"/>
              </w:rPr>
            </w:pPr>
            <w:r>
              <w:rPr>
                <w:rFonts w:ascii="Arial" w:cs="Arial" w:eastAsia="Arial" w:hAnsi="Arial"/>
                <w:sz w:val="18"/>
                <w:szCs w:val="18"/>
                <w:b w:val="1"/>
                <w:bCs w:val="1"/>
                <w:color w:val="auto"/>
              </w:rPr>
              <w:t>59-2459427</w:t>
            </w:r>
          </w:p>
        </w:tc>
      </w:tr>
      <w:tr>
        <w:trPr>
          <w:trHeight w:val="229"/>
        </w:trPr>
        <w:tc>
          <w:tcPr>
            <w:tcW w:w="2140" w:type="dxa"/>
            <w:vAlign w:val="bottom"/>
          </w:tcPr>
          <w:p>
            <w:pPr>
              <w:jc w:val="center"/>
              <w:spacing w:after="0"/>
              <w:rPr>
                <w:sz w:val="20"/>
                <w:szCs w:val="20"/>
                <w:color w:val="auto"/>
              </w:rPr>
            </w:pPr>
            <w:r>
              <w:rPr>
                <w:rFonts w:ascii="Arial" w:cs="Arial" w:eastAsia="Arial" w:hAnsi="Arial"/>
                <w:sz w:val="18"/>
                <w:szCs w:val="18"/>
                <w:color w:val="auto"/>
                <w:w w:val="93"/>
              </w:rPr>
              <w:t>(State or other jurisdiction of</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3"/>
              </w:rPr>
              <w:t>(Commission File</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3"/>
              </w:rPr>
              <w:t>(I.R.S. Employer</w:t>
            </w:r>
          </w:p>
        </w:tc>
      </w:tr>
      <w:tr>
        <w:trPr>
          <w:trHeight w:val="230"/>
        </w:trPr>
        <w:tc>
          <w:tcPr>
            <w:tcW w:w="2140" w:type="dxa"/>
            <w:vAlign w:val="bottom"/>
          </w:tcPr>
          <w:p>
            <w:pPr>
              <w:jc w:val="center"/>
              <w:spacing w:after="0"/>
              <w:rPr>
                <w:sz w:val="20"/>
                <w:szCs w:val="20"/>
                <w:color w:val="auto"/>
              </w:rPr>
            </w:pPr>
            <w:r>
              <w:rPr>
                <w:rFonts w:ascii="Arial" w:cs="Arial" w:eastAsia="Arial" w:hAnsi="Arial"/>
                <w:sz w:val="18"/>
                <w:szCs w:val="18"/>
                <w:color w:val="auto"/>
                <w:w w:val="92"/>
              </w:rPr>
              <w:t>incorporation)</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4"/>
              </w:rPr>
              <w:t>Number)</w:t>
            </w:r>
          </w:p>
        </w:tc>
        <w:tc>
          <w:tcPr>
            <w:tcW w:w="2580" w:type="dxa"/>
            <w:vAlign w:val="bottom"/>
          </w:tcPr>
          <w:p>
            <w:pPr>
              <w:jc w:val="center"/>
              <w:ind w:left="1150"/>
              <w:spacing w:after="0"/>
              <w:rPr>
                <w:sz w:val="20"/>
                <w:szCs w:val="20"/>
                <w:color w:val="auto"/>
              </w:rPr>
            </w:pPr>
            <w:r>
              <w:rPr>
                <w:rFonts w:ascii="Arial" w:cs="Arial" w:eastAsia="Arial" w:hAnsi="Arial"/>
                <w:sz w:val="18"/>
                <w:szCs w:val="18"/>
                <w:color w:val="auto"/>
                <w:w w:val="95"/>
              </w:rPr>
              <w:t>Identification No.)</w:t>
            </w:r>
          </w:p>
        </w:tc>
      </w:tr>
      <w:tr>
        <w:trPr>
          <w:trHeight w:val="941"/>
        </w:trPr>
        <w:tc>
          <w:tcPr>
            <w:tcW w:w="2140" w:type="dxa"/>
            <w:vAlign w:val="bottom"/>
          </w:tcPr>
          <w:p>
            <w:pPr>
              <w:spacing w:after="0"/>
              <w:rPr>
                <w:sz w:val="24"/>
                <w:szCs w:val="24"/>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88"/>
              </w:rPr>
              <w:t>9800 N.W. 41</w:t>
            </w:r>
            <w:r>
              <w:rPr>
                <w:rFonts w:ascii="Arial" w:cs="Arial" w:eastAsia="Arial" w:hAnsi="Arial"/>
                <w:sz w:val="30"/>
                <w:szCs w:val="30"/>
                <w:b w:val="1"/>
                <w:bCs w:val="1"/>
                <w:color w:val="auto"/>
                <w:w w:val="88"/>
                <w:vertAlign w:val="superscript"/>
              </w:rPr>
              <w:t>st</w:t>
            </w:r>
            <w:r>
              <w:rPr>
                <w:rFonts w:ascii="Arial" w:cs="Arial" w:eastAsia="Arial" w:hAnsi="Arial"/>
                <w:sz w:val="18"/>
                <w:szCs w:val="18"/>
                <w:b w:val="1"/>
                <w:bCs w:val="1"/>
                <w:color w:val="auto"/>
                <w:w w:val="88"/>
              </w:rPr>
              <w:t xml:space="preserve"> Street</w:t>
            </w:r>
          </w:p>
        </w:tc>
        <w:tc>
          <w:tcPr>
            <w:tcW w:w="2580" w:type="dxa"/>
            <w:vAlign w:val="bottom"/>
          </w:tcPr>
          <w:p>
            <w:pPr>
              <w:spacing w:after="0"/>
              <w:rPr>
                <w:sz w:val="24"/>
                <w:szCs w:val="24"/>
                <w:color w:val="auto"/>
              </w:rPr>
            </w:pPr>
          </w:p>
        </w:tc>
      </w:tr>
      <w:tr>
        <w:trPr>
          <w:trHeight w:val="234"/>
        </w:trPr>
        <w:tc>
          <w:tcPr>
            <w:tcW w:w="2140" w:type="dxa"/>
            <w:vAlign w:val="bottom"/>
          </w:tcPr>
          <w:p>
            <w:pPr>
              <w:spacing w:after="0"/>
              <w:rPr>
                <w:sz w:val="20"/>
                <w:szCs w:val="20"/>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98"/>
              </w:rPr>
              <w:t>Miami, FL</w:t>
            </w:r>
          </w:p>
        </w:tc>
        <w:tc>
          <w:tcPr>
            <w:tcW w:w="2580" w:type="dxa"/>
            <w:vAlign w:val="bottom"/>
          </w:tcPr>
          <w:p>
            <w:pPr>
              <w:jc w:val="right"/>
              <w:ind w:right="350"/>
              <w:spacing w:after="0"/>
              <w:rPr>
                <w:sz w:val="20"/>
                <w:szCs w:val="20"/>
                <w:color w:val="auto"/>
              </w:rPr>
            </w:pPr>
            <w:r>
              <w:rPr>
                <w:rFonts w:ascii="Arial" w:cs="Arial" w:eastAsia="Arial" w:hAnsi="Arial"/>
                <w:sz w:val="18"/>
                <w:szCs w:val="18"/>
                <w:b w:val="1"/>
                <w:bCs w:val="1"/>
                <w:color w:val="auto"/>
              </w:rPr>
              <w:t>33178</w:t>
            </w:r>
          </w:p>
        </w:tc>
      </w:tr>
      <w:tr>
        <w:trPr>
          <w:trHeight w:val="243"/>
        </w:trPr>
        <w:tc>
          <w:tcPr>
            <w:tcW w:w="6780" w:type="dxa"/>
            <w:vAlign w:val="bottom"/>
            <w:gridSpan w:val="2"/>
          </w:tcPr>
          <w:p>
            <w:pPr>
              <w:jc w:val="center"/>
              <w:ind w:right="710"/>
              <w:spacing w:after="0"/>
              <w:rPr>
                <w:sz w:val="20"/>
                <w:szCs w:val="20"/>
                <w:color w:val="auto"/>
              </w:rPr>
            </w:pPr>
            <w:r>
              <w:rPr>
                <w:rFonts w:ascii="Arial" w:cs="Arial" w:eastAsia="Arial" w:hAnsi="Arial"/>
                <w:sz w:val="18"/>
                <w:szCs w:val="18"/>
                <w:color w:val="auto"/>
                <w:w w:val="92"/>
              </w:rPr>
              <w:t>(Address of principal executive offices)</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29" w:lineRule="exact"/>
        <w:rPr>
          <w:sz w:val="24"/>
          <w:szCs w:val="24"/>
          <w:color w:val="auto"/>
        </w:rPr>
      </w:pPr>
    </w:p>
    <w:p>
      <w:pPr>
        <w:ind w:right="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63" w:lineRule="exact"/>
        <w:rPr>
          <w:sz w:val="24"/>
          <w:szCs w:val="24"/>
          <w:color w:val="auto"/>
        </w:rPr>
      </w:pPr>
    </w:p>
    <w:p>
      <w:pPr>
        <w:ind w:left="240" w:hanging="232"/>
        <w:spacing w:after="0"/>
        <w:tabs>
          <w:tab w:leader="none" w:pos="240" w:val="left"/>
        </w:tabs>
        <w:numPr>
          <w:ilvl w:val="0"/>
          <w:numId w:val="1"/>
        </w:numPr>
        <w:rPr>
          <w:rFonts w:ascii="Arial" w:cs="Arial" w:eastAsia="Arial" w:hAnsi="Arial"/>
          <w:sz w:val="22"/>
          <w:szCs w:val="22"/>
          <w:color w:val="auto"/>
        </w:rPr>
      </w:pPr>
      <w:r>
        <w:rPr>
          <w:rFonts w:ascii="Arial" w:cs="Arial" w:eastAsia="Arial" w:hAnsi="Arial"/>
          <w:sz w:val="22"/>
          <w:szCs w:val="22"/>
          <w:color w:val="auto"/>
        </w:rPr>
        <w:t xml:space="preserve">]   </w:t>
      </w:r>
      <w:r>
        <w:rPr>
          <w:rFonts w:ascii="Arial" w:cs="Arial" w:eastAsia="Arial" w:hAnsi="Arial"/>
          <w:sz w:val="18"/>
          <w:szCs w:val="18"/>
          <w:color w:val="auto"/>
        </w:rPr>
        <w:t>Written communications pursuant to Rule 425 under the Securities Act (17 CFR 230.425)</w:t>
      </w:r>
    </w:p>
    <w:p>
      <w:pPr>
        <w:ind w:left="240" w:hanging="232"/>
        <w:spacing w:after="0" w:line="238" w:lineRule="auto"/>
        <w:tabs>
          <w:tab w:leader="none" w:pos="240"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   </w:t>
      </w:r>
      <w:r>
        <w:rPr>
          <w:rFonts w:ascii="Arial" w:cs="Arial" w:eastAsia="Arial" w:hAnsi="Arial"/>
          <w:sz w:val="18"/>
          <w:szCs w:val="18"/>
          <w:color w:val="auto"/>
        </w:rPr>
        <w:t>Soliciting material pursuant to Rule 14a-12 under the Exchange Act (17 CFR 240.14a-12)</w:t>
      </w:r>
    </w:p>
    <w:p>
      <w:pPr>
        <w:ind w:left="240" w:hanging="232"/>
        <w:spacing w:after="0" w:line="230" w:lineRule="auto"/>
        <w:tabs>
          <w:tab w:leader="none" w:pos="240" w:val="left"/>
        </w:tabs>
        <w:numPr>
          <w:ilvl w:val="0"/>
          <w:numId w:val="3"/>
        </w:numPr>
        <w:rPr>
          <w:rFonts w:ascii="Arial" w:cs="Arial" w:eastAsia="Arial" w:hAnsi="Arial"/>
          <w:sz w:val="22"/>
          <w:szCs w:val="22"/>
          <w:color w:val="auto"/>
        </w:rPr>
      </w:pPr>
      <w:r>
        <w:rPr>
          <w:rFonts w:ascii="Arial" w:cs="Arial" w:eastAsia="Arial" w:hAnsi="Arial"/>
          <w:sz w:val="22"/>
          <w:szCs w:val="22"/>
          <w:color w:val="auto"/>
        </w:rPr>
        <w:t xml:space="preserve">]   </w:t>
      </w:r>
      <w:r>
        <w:rPr>
          <w:rFonts w:ascii="Arial" w:cs="Arial" w:eastAsia="Arial" w:hAnsi="Arial"/>
          <w:sz w:val="18"/>
          <w:szCs w:val="18"/>
          <w:color w:val="auto"/>
        </w:rPr>
        <w:t>Pre-commencement communications pursuant to Rule 14d-2(b) under the Exchange Act (17 CFR 240.14d-2(b))</w:t>
      </w:r>
    </w:p>
    <w:p>
      <w:pPr>
        <w:spacing w:after="0" w:line="1" w:lineRule="exact"/>
        <w:rPr>
          <w:sz w:val="24"/>
          <w:szCs w:val="24"/>
          <w:color w:val="auto"/>
        </w:rPr>
      </w:pPr>
    </w:p>
    <w:p>
      <w:pPr>
        <w:ind w:left="240" w:hanging="232"/>
        <w:spacing w:after="0"/>
        <w:tabs>
          <w:tab w:leader="none" w:pos="240" w:val="left"/>
        </w:tabs>
        <w:numPr>
          <w:ilvl w:val="0"/>
          <w:numId w:val="4"/>
        </w:numPr>
        <w:rPr>
          <w:rFonts w:ascii="Arial" w:cs="Arial" w:eastAsia="Arial" w:hAnsi="Arial"/>
          <w:sz w:val="22"/>
          <w:szCs w:val="22"/>
          <w:color w:val="auto"/>
        </w:rPr>
      </w:pPr>
      <w:r>
        <w:rPr>
          <w:rFonts w:ascii="Arial" w:cs="Arial" w:eastAsia="Arial" w:hAnsi="Arial"/>
          <w:sz w:val="22"/>
          <w:szCs w:val="22"/>
          <w:color w:val="auto"/>
        </w:rPr>
        <w:t xml:space="preserve">]   </w:t>
      </w:r>
      <w:r>
        <w:rPr>
          <w:rFonts w:ascii="Arial" w:cs="Arial" w:eastAsia="Arial" w:hAnsi="Arial"/>
          <w:sz w:val="18"/>
          <w:szCs w:val="18"/>
          <w:color w:val="auto"/>
        </w:rPr>
        <w:t>Pre-commencement communications pursuant to Rule 13e-4(c) under the Exchange Act (17 CFR 240.13e-4(c))</w:t>
      </w:r>
    </w:p>
    <w:p>
      <w:pPr>
        <w:spacing w:after="0" w:line="188" w:lineRule="exact"/>
        <w:rPr>
          <w:sz w:val="24"/>
          <w:szCs w:val="24"/>
          <w:color w:val="auto"/>
        </w:rPr>
      </w:pPr>
    </w:p>
    <w:p>
      <w:pPr>
        <w:spacing w:after="0" w:line="328" w:lineRule="auto"/>
        <w:rPr>
          <w:sz w:val="20"/>
          <w:szCs w:val="20"/>
          <w:color w:val="auto"/>
        </w:rPr>
      </w:pPr>
      <w:r>
        <w:rPr>
          <w:rFonts w:ascii="Arial" w:cs="Arial" w:eastAsia="Arial" w:hAnsi="Arial"/>
          <w:sz w:val="19"/>
          <w:szCs w:val="19"/>
          <w:color w:val="auto"/>
        </w:rPr>
        <w:t>Indicate by check mark whether the registrant is an emerging growth company as defined in Rule 405 of the Securities Act of 1933 (Â§230.405 of this chapter) or Rule 12b-2 of the Securities Exchange Act of 1934 (Â§240.12b-2 of this chapter).</w:t>
      </w:r>
    </w:p>
    <w:p>
      <w:pPr>
        <w:spacing w:after="0" w:line="105" w:lineRule="exact"/>
        <w:rPr>
          <w:sz w:val="24"/>
          <w:szCs w:val="24"/>
          <w:color w:val="auto"/>
        </w:rPr>
      </w:pPr>
    </w:p>
    <w:p>
      <w:pPr>
        <w:spacing w:after="0"/>
        <w:rPr>
          <w:sz w:val="20"/>
          <w:szCs w:val="20"/>
          <w:color w:val="auto"/>
        </w:rPr>
      </w:pPr>
      <w:r>
        <w:rPr>
          <w:rFonts w:ascii="Arial" w:cs="Arial" w:eastAsia="Arial" w:hAnsi="Arial"/>
          <w:sz w:val="22"/>
          <w:szCs w:val="22"/>
          <w:color w:val="auto"/>
        </w:rPr>
        <w:t>Emerging growth company [  ]</w:t>
      </w:r>
    </w:p>
    <w:p>
      <w:pPr>
        <w:spacing w:after="0" w:line="206" w:lineRule="exact"/>
        <w:rPr>
          <w:sz w:val="24"/>
          <w:szCs w:val="24"/>
          <w:color w:val="auto"/>
        </w:rPr>
      </w:pPr>
    </w:p>
    <w:p>
      <w:pPr>
        <w:jc w:val="both"/>
        <w:ind w:right="240"/>
        <w:spacing w:after="0" w:line="328" w:lineRule="auto"/>
        <w:rPr>
          <w:sz w:val="20"/>
          <w:szCs w:val="20"/>
          <w:color w:val="auto"/>
        </w:rPr>
      </w:pPr>
      <w:r>
        <w:rPr>
          <w:rFonts w:ascii="Arial" w:cs="Arial" w:eastAsia="Arial" w:hAnsi="Arial"/>
          <w:sz w:val="19"/>
          <w:szCs w:val="19"/>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40"/>
          </w:cols>
          <w:pgMar w:left="240" w:top="463" w:right="319" w:bottom="1440" w:gutter="0" w:footer="0" w:header="0"/>
        </w:sectPr>
      </w:pPr>
    </w:p>
    <w:bookmarkStart w:id="1" w:name="page2"/>
    <w:bookmarkEnd w:id="1"/>
    <w:p>
      <w:pPr>
        <w:spacing w:after="0"/>
        <w:tabs>
          <w:tab w:leader="none" w:pos="114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36" w:lineRule="exact"/>
        <w:rPr>
          <w:sz w:val="20"/>
          <w:szCs w:val="20"/>
          <w:color w:val="auto"/>
        </w:rPr>
      </w:pPr>
    </w:p>
    <w:p>
      <w:pPr>
        <w:jc w:val="both"/>
        <w:ind w:firstLine="405"/>
        <w:spacing w:after="0" w:line="287" w:lineRule="auto"/>
        <w:rPr>
          <w:sz w:val="20"/>
          <w:szCs w:val="20"/>
          <w:color w:val="auto"/>
        </w:rPr>
      </w:pPr>
      <w:r>
        <w:rPr>
          <w:rFonts w:ascii="Arial" w:cs="Arial" w:eastAsia="Arial" w:hAnsi="Arial"/>
          <w:sz w:val="19"/>
          <w:szCs w:val="19"/>
          <w:color w:val="auto"/>
        </w:rPr>
        <w:t>On February 12, 2019, World Fuel Services Corporation (the “Company”) issued a press release announcing that a conference call has been scheduled on Thursday, February 21, 2019 at 5:00PM Eastern Time to discuss the Company’s fourth quarter and full year results, as well as certain forward-looking information. The Company plans to release its fourth quarter and full year results after the market closes on the same date. A copy of the press release is attached hereto as Exhibit 99.1.</w:t>
      </w:r>
    </w:p>
    <w:p>
      <w:pPr>
        <w:spacing w:after="0" w:line="143" w:lineRule="exact"/>
        <w:rPr>
          <w:sz w:val="20"/>
          <w:szCs w:val="20"/>
          <w:color w:val="auto"/>
        </w:rPr>
      </w:pPr>
    </w:p>
    <w:p>
      <w:pPr>
        <w:jc w:val="both"/>
        <w:ind w:firstLine="405"/>
        <w:spacing w:after="0" w:line="297" w:lineRule="auto"/>
        <w:rPr>
          <w:sz w:val="20"/>
          <w:szCs w:val="20"/>
          <w:color w:val="auto"/>
        </w:rPr>
      </w:pPr>
      <w:r>
        <w:rPr>
          <w:rFonts w:ascii="Arial" w:cs="Arial" w:eastAsia="Arial" w:hAnsi="Arial"/>
          <w:sz w:val="19"/>
          <w:szCs w:val="19"/>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75" w:lineRule="exact"/>
        <w:rPr>
          <w:sz w:val="20"/>
          <w:szCs w:val="20"/>
          <w:color w:val="auto"/>
        </w:rPr>
      </w:pPr>
    </w:p>
    <w:p>
      <w:pPr>
        <w:ind w:left="1160" w:hanging="686"/>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Exhibits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Exhibit No.</w:t>
            </w:r>
          </w:p>
        </w:tc>
        <w:tc>
          <w:tcPr>
            <w:tcW w:w="640" w:type="dxa"/>
            <w:vAlign w:val="bottom"/>
          </w:tcPr>
          <w:p>
            <w:pPr>
              <w:spacing w:after="0"/>
              <w:rPr>
                <w:sz w:val="17"/>
                <w:szCs w:val="17"/>
                <w:color w:val="auto"/>
              </w:rPr>
            </w:pPr>
          </w:p>
        </w:tc>
        <w:tc>
          <w:tcPr>
            <w:tcW w:w="878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1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940" w:type="dxa"/>
            <w:vAlign w:val="bottom"/>
          </w:tcPr>
          <w:p>
            <w:pPr>
              <w:spacing w:after="0" w:line="20" w:lineRule="exact"/>
              <w:rPr>
                <w:sz w:val="1"/>
                <w:szCs w:val="1"/>
                <w:color w:val="auto"/>
              </w:rPr>
            </w:pPr>
          </w:p>
        </w:tc>
      </w:tr>
      <w:tr>
        <w:trPr>
          <w:trHeight w:val="507"/>
        </w:trPr>
        <w:tc>
          <w:tcPr>
            <w:tcW w:w="1160" w:type="dxa"/>
            <w:vAlign w:val="bottom"/>
          </w:tcPr>
          <w:p>
            <w:pPr>
              <w:spacing w:after="0"/>
              <w:rPr>
                <w:sz w:val="24"/>
                <w:szCs w:val="24"/>
                <w:color w:val="auto"/>
              </w:rPr>
            </w:pPr>
          </w:p>
        </w:tc>
        <w:tc>
          <w:tcPr>
            <w:tcW w:w="840" w:type="dxa"/>
            <w:vAlign w:val="bottom"/>
          </w:tcPr>
          <w:p>
            <w:pPr>
              <w:jc w:val="right"/>
              <w:ind w:right="230"/>
              <w:spacing w:after="0"/>
              <w:rPr>
                <w:sz w:val="20"/>
                <w:szCs w:val="20"/>
                <w:color w:val="auto"/>
              </w:rPr>
            </w:pPr>
            <w:r>
              <w:rPr>
                <w:rFonts w:ascii="Arial" w:cs="Arial" w:eastAsia="Arial" w:hAnsi="Arial"/>
                <w:sz w:val="18"/>
                <w:szCs w:val="18"/>
                <w:color w:val="auto"/>
              </w:rPr>
              <w:t>99.1</w:t>
            </w:r>
          </w:p>
        </w:tc>
        <w:tc>
          <w:tcPr>
            <w:tcW w:w="640" w:type="dxa"/>
            <w:vAlign w:val="bottom"/>
          </w:tcPr>
          <w:p>
            <w:pPr>
              <w:spacing w:after="0"/>
              <w:rPr>
                <w:sz w:val="24"/>
                <w:szCs w:val="24"/>
                <w:color w:val="auto"/>
              </w:rPr>
            </w:pPr>
          </w:p>
        </w:tc>
        <w:tc>
          <w:tcPr>
            <w:tcW w:w="8780" w:type="dxa"/>
            <w:vAlign w:val="bottom"/>
            <w:gridSpan w:val="2"/>
          </w:tcPr>
          <w:p>
            <w:pPr>
              <w:spacing w:after="0"/>
              <w:rPr>
                <w:sz w:val="20"/>
                <w:szCs w:val="20"/>
                <w:color w:val="auto"/>
              </w:rPr>
            </w:pPr>
            <w:r>
              <w:rPr>
                <w:rFonts w:ascii="Arial" w:cs="Arial" w:eastAsia="Arial" w:hAnsi="Arial"/>
                <w:sz w:val="18"/>
                <w:szCs w:val="18"/>
                <w:color w:val="auto"/>
              </w:rPr>
              <w:t>Press Release, dated February 12, 2019.</w:t>
            </w:r>
          </w:p>
        </w:tc>
      </w:tr>
      <w:tr>
        <w:trPr>
          <w:trHeight w:val="230"/>
        </w:trPr>
        <w:tc>
          <w:tcPr>
            <w:tcW w:w="116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64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7940" w:type="dxa"/>
            <w:vAlign w:val="bottom"/>
            <w:tcBorders>
              <w:bottom w:val="single" w:sz="8" w:color="9A9A9A"/>
            </w:tcBorders>
          </w:tcPr>
          <w:p>
            <w:pPr>
              <w:spacing w:after="0"/>
              <w:rPr>
                <w:sz w:val="19"/>
                <w:szCs w:val="19"/>
                <w:color w:val="auto"/>
              </w:rPr>
            </w:pPr>
          </w:p>
        </w:tc>
      </w:tr>
      <w:tr>
        <w:trPr>
          <w:trHeight w:val="21"/>
        </w:trPr>
        <w:tc>
          <w:tcPr>
            <w:tcW w:w="116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64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794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35" w:right="239" w:bottom="1440" w:gutter="0" w:footer="0" w:header="0"/>
        </w:sectPr>
      </w:pPr>
    </w:p>
    <w:bookmarkStart w:id="2" w:name="page3"/>
    <w:bookmarkEnd w:id="2"/>
    <w:p>
      <w:pPr>
        <w:jc w:val="center"/>
        <w:ind w:right="-119"/>
        <w:spacing w:after="0"/>
        <w:rPr>
          <w:sz w:val="20"/>
          <w:szCs w:val="20"/>
          <w:color w:val="auto"/>
        </w:rPr>
      </w:pPr>
      <w:r>
        <w:rPr>
          <w:rFonts w:ascii="Arial" w:cs="Arial" w:eastAsia="Arial" w:hAnsi="Arial"/>
          <w:sz w:val="22"/>
          <w:szCs w:val="22"/>
          <w:b w:val="1"/>
          <w:bCs w:val="1"/>
          <w:color w:val="auto"/>
        </w:rPr>
        <w:t>SIGNATURES</w:t>
      </w:r>
    </w:p>
    <w:p>
      <w:pPr>
        <w:spacing w:after="0" w:line="213" w:lineRule="exact"/>
        <w:rPr>
          <w:sz w:val="20"/>
          <w:szCs w:val="20"/>
          <w:color w:val="auto"/>
        </w:rPr>
      </w:pPr>
    </w:p>
    <w:p>
      <w:pPr>
        <w:ind w:firstLine="405"/>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spacing w:after="0"/>
        <w:tabs>
          <w:tab w:leader="none" w:pos="560" w:val="left"/>
          <w:tab w:leader="none" w:pos="6520" w:val="left"/>
        </w:tabs>
        <w:rPr>
          <w:sz w:val="20"/>
          <w:szCs w:val="20"/>
          <w:color w:val="auto"/>
        </w:rPr>
      </w:pPr>
      <w:r>
        <w:rPr>
          <w:rFonts w:ascii="Arial" w:cs="Arial" w:eastAsia="Arial" w:hAnsi="Arial"/>
          <w:sz w:val="18"/>
          <w:szCs w:val="18"/>
          <w:color w:val="auto"/>
        </w:rPr>
        <w:t>Date:</w:t>
        <w:tab/>
        <w:t>February 12, 2019</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32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23495</wp:posOffset>
            </wp:positionV>
            <wp:extent cx="23837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30"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R. Alexander Lake</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Executive Vice President, Chief Legal Officer</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20"/>
          </w:cols>
          <w:pgMar w:left="240" w:top="111" w:right="339" w:bottom="1440" w:gutter="0" w:footer="0" w:header="0"/>
        </w:sectPr>
      </w:pPr>
    </w:p>
    <w:bookmarkStart w:id="3" w:name="page4"/>
    <w:bookmarkEnd w:id="3"/>
    <w:p>
      <w:pPr>
        <w:jc w:val="right"/>
        <w:ind w:right="3719"/>
        <w:spacing w:after="0"/>
        <w:rPr>
          <w:sz w:val="20"/>
          <w:szCs w:val="20"/>
          <w:color w:val="auto"/>
        </w:rPr>
      </w:pPr>
      <w:r>
        <w:rPr>
          <w:rFonts w:ascii="Arial" w:cs="Arial" w:eastAsia="Arial" w:hAnsi="Arial"/>
          <w:sz w:val="22"/>
          <w:szCs w:val="22"/>
          <w:color w:val="auto"/>
        </w:rPr>
        <w:t>EXHIBIT INDEX</w:t>
      </w:r>
    </w:p>
    <w:p>
      <w:pPr>
        <w:spacing w:after="0" w:line="200" w:lineRule="exact"/>
        <w:rPr>
          <w:sz w:val="20"/>
          <w:szCs w:val="20"/>
          <w:color w:val="auto"/>
        </w:rPr>
      </w:pPr>
    </w:p>
    <w:p>
      <w:pPr>
        <w:spacing w:after="0" w:line="270" w:lineRule="exact"/>
        <w:rPr>
          <w:sz w:val="20"/>
          <w:szCs w:val="20"/>
          <w:color w:val="auto"/>
        </w:rPr>
      </w:pPr>
    </w:p>
    <w:p>
      <w:pPr>
        <w:spacing w:after="0"/>
        <w:tabs>
          <w:tab w:leader="none" w:pos="1940" w:val="left"/>
        </w:tabs>
        <w:rPr>
          <w:sz w:val="20"/>
          <w:szCs w:val="20"/>
          <w:color w:val="auto"/>
        </w:rPr>
      </w:pPr>
      <w:r>
        <w:rPr>
          <w:rFonts w:ascii="Arial" w:cs="Arial" w:eastAsia="Arial" w:hAnsi="Arial"/>
          <w:sz w:val="18"/>
          <w:szCs w:val="18"/>
          <w:color w:val="auto"/>
        </w:rPr>
        <w:t>Exhibit</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68865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86575" cy="8890"/>
                    </a:xfrm>
                    <a:prstGeom prst="rect">
                      <a:avLst/>
                    </a:prstGeom>
                    <a:noFill/>
                  </pic:spPr>
                </pic:pic>
              </a:graphicData>
            </a:graphic>
          </wp:anchor>
        </w:drawing>
      </w:r>
    </w:p>
    <w:p>
      <w:pPr>
        <w:spacing w:after="0" w:line="30" w:lineRule="exact"/>
        <w:rPr>
          <w:sz w:val="20"/>
          <w:szCs w:val="20"/>
          <w:color w:val="auto"/>
        </w:rPr>
      </w:pPr>
    </w:p>
    <w:p>
      <w:pPr>
        <w:spacing w:after="0"/>
        <w:tabs>
          <w:tab w:leader="none" w:pos="1940" w:val="left"/>
        </w:tabs>
        <w:rPr>
          <w:rFonts w:ascii="Arial" w:cs="Arial" w:eastAsia="Arial" w:hAnsi="Arial"/>
          <w:sz w:val="15"/>
          <w:szCs w:val="15"/>
          <w:u w:val="single" w:color="auto"/>
          <w:color w:val="0000EE"/>
        </w:rPr>
      </w:pPr>
      <w:hyperlink w:anchor="page5">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5">
        <w:r>
          <w:rPr>
            <w:rFonts w:ascii="Arial" w:cs="Arial" w:eastAsia="Arial" w:hAnsi="Arial"/>
            <w:sz w:val="15"/>
            <w:szCs w:val="15"/>
            <w:u w:val="single" w:color="auto"/>
            <w:color w:val="0000EE"/>
          </w:rPr>
          <w:t>Press Release, dated February 12, 2019.</w:t>
        </w:r>
      </w:hyperlink>
    </w:p>
    <w:p>
      <w:pPr>
        <w:sectPr>
          <w:pgSz w:w="11900" w:h="16838" w:orient="portrait"/>
          <w:cols w:equalWidth="0" w:num="1">
            <w:col w:w="10219"/>
          </w:cols>
          <w:pgMar w:left="240" w:top="118" w:right="1440" w:bottom="1440" w:gutter="0" w:footer="0" w:header="0"/>
        </w:sectPr>
      </w:pPr>
    </w:p>
    <w:bookmarkStart w:id="4" w:name="page5"/>
    <w:bookmarkEnd w:id="4"/>
    <w:p>
      <w:pPr>
        <w:ind w:left="10300"/>
        <w:spacing w:after="0"/>
        <w:rPr>
          <w:sz w:val="20"/>
          <w:szCs w:val="20"/>
          <w:color w:val="auto"/>
        </w:rPr>
      </w:pPr>
      <w:r>
        <w:rPr>
          <w:rFonts w:ascii="Arial" w:cs="Arial" w:eastAsia="Arial" w:hAnsi="Arial"/>
          <w:sz w:val="19"/>
          <w:szCs w:val="19"/>
          <w:b w:val="1"/>
          <w:bCs w:val="1"/>
          <w:color w:val="auto"/>
        </w:rPr>
        <w:t>Exhibit 99.1</w:t>
      </w:r>
    </w:p>
    <w:p>
      <w:pPr>
        <w:spacing w:after="0" w:line="241" w:lineRule="exact"/>
        <w:rPr>
          <w:sz w:val="20"/>
          <w:szCs w:val="20"/>
          <w:color w:val="auto"/>
        </w:rPr>
      </w:pPr>
    </w:p>
    <w:p>
      <w:pPr>
        <w:ind w:left="940"/>
        <w:spacing w:after="0"/>
        <w:rPr>
          <w:sz w:val="20"/>
          <w:szCs w:val="20"/>
          <w:color w:val="auto"/>
        </w:rPr>
      </w:pPr>
      <w:r>
        <w:rPr>
          <w:rFonts w:ascii="Arial" w:cs="Arial" w:eastAsia="Arial" w:hAnsi="Arial"/>
          <w:sz w:val="21"/>
          <w:szCs w:val="21"/>
          <w:b w:val="1"/>
          <w:bCs w:val="1"/>
          <w:color w:val="auto"/>
        </w:rPr>
        <w:t>World Fuel Services Corporation to Host Fourth Quarter and Full Year 2018 Earnings Conference Call</w:t>
      </w:r>
    </w:p>
    <w:p>
      <w:pPr>
        <w:spacing w:after="0" w:line="224" w:lineRule="exact"/>
        <w:rPr>
          <w:sz w:val="20"/>
          <w:szCs w:val="20"/>
          <w:color w:val="auto"/>
        </w:rPr>
      </w:pPr>
    </w:p>
    <w:p>
      <w:pPr>
        <w:ind w:right="80"/>
        <w:spacing w:after="0" w:line="238" w:lineRule="auto"/>
        <w:rPr>
          <w:sz w:val="20"/>
          <w:szCs w:val="20"/>
          <w:color w:val="auto"/>
        </w:rPr>
      </w:pPr>
      <w:r>
        <w:rPr>
          <w:rFonts w:ascii="Arial" w:cs="Arial" w:eastAsia="Arial" w:hAnsi="Arial"/>
          <w:sz w:val="22"/>
          <w:szCs w:val="22"/>
          <w:color w:val="auto"/>
        </w:rPr>
        <w:t>MIAMI--(BUSINESS WIRE)--February 12, 2019--World Fuel Services Corporation (NYSE:INT) invites you to participate in a conference call with its management team on Thursday, February 21, 2019 at 5:00PM Eastern Time to discuss the Company’s fourth quarter and full year results, as well as certain forward-looking information. The Company plans to release its fourth quarter and full year results after the market closes on the same date.</w:t>
      </w:r>
    </w:p>
    <w:p>
      <w:pPr>
        <w:spacing w:after="0" w:line="185" w:lineRule="exact"/>
        <w:rPr>
          <w:sz w:val="20"/>
          <w:szCs w:val="20"/>
          <w:color w:val="auto"/>
        </w:rPr>
      </w:pPr>
    </w:p>
    <w:p>
      <w:pPr>
        <w:jc w:val="both"/>
        <w:ind w:right="380"/>
        <w:spacing w:after="0" w:line="297" w:lineRule="auto"/>
        <w:rPr>
          <w:sz w:val="20"/>
          <w:szCs w:val="20"/>
          <w:color w:val="auto"/>
        </w:rPr>
      </w:pPr>
      <w:r>
        <w:rPr>
          <w:rFonts w:ascii="Arial" w:cs="Arial" w:eastAsia="Arial" w:hAnsi="Arial"/>
          <w:sz w:val="19"/>
          <w:szCs w:val="19"/>
          <w:color w:val="auto"/>
        </w:rPr>
        <w:t>The live conference call will be accessible by telephone at (800) 684-7807 (within the United States and Canada) or (303) 223-2687 (International). Audio replay of the call will be available through March 7, 2019. The replay numbers are: (800) 633-8284 (within the United States and Canada) and (402) 977-9140 (International). The call ID is 21916251.</w:t>
      </w:r>
    </w:p>
    <w:p>
      <w:pPr>
        <w:spacing w:after="0" w:line="134" w:lineRule="exact"/>
        <w:rPr>
          <w:sz w:val="20"/>
          <w:szCs w:val="20"/>
          <w:color w:val="auto"/>
        </w:rPr>
      </w:pPr>
    </w:p>
    <w:p>
      <w:pPr>
        <w:ind w:right="60"/>
        <w:spacing w:after="0" w:line="258" w:lineRule="auto"/>
        <w:rPr>
          <w:sz w:val="20"/>
          <w:szCs w:val="20"/>
          <w:color w:val="auto"/>
        </w:rPr>
      </w:pPr>
      <w:r>
        <w:rPr>
          <w:rFonts w:ascii="Arial" w:cs="Arial" w:eastAsia="Arial" w:hAnsi="Arial"/>
          <w:sz w:val="21"/>
          <w:szCs w:val="21"/>
          <w:color w:val="auto"/>
        </w:rPr>
        <w:t xml:space="preserve">The conference call will also be available via live webcast. The live webcast may be accessed by visiting the Company’s website at </w:t>
      </w:r>
      <w:r>
        <w:rPr>
          <w:rFonts w:ascii="Arial" w:cs="Arial" w:eastAsia="Arial" w:hAnsi="Arial"/>
          <w:sz w:val="21"/>
          <w:szCs w:val="21"/>
          <w:u w:val="single" w:color="auto"/>
          <w:color w:val="auto"/>
        </w:rPr>
        <w:t>www.wfscorp.com</w:t>
      </w:r>
      <w:r>
        <w:rPr>
          <w:rFonts w:ascii="Arial" w:cs="Arial" w:eastAsia="Arial" w:hAnsi="Arial"/>
          <w:sz w:val="21"/>
          <w:szCs w:val="21"/>
          <w:color w:val="auto"/>
        </w:rPr>
        <w:t xml:space="preserve"> and clicking on the webcast icon. An archive of the webcast will be available on the Company’s website two hours after the completion of the live call and will remain available until March 7, 2019.</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ind w:right="540"/>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supply fulfillment, energy procurement advisory services,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For more information, call 305-428-8000 or visit </w:t>
      </w:r>
      <w:r>
        <w:rPr>
          <w:rFonts w:ascii="Arial" w:cs="Arial" w:eastAsia="Arial" w:hAnsi="Arial"/>
          <w:sz w:val="22"/>
          <w:szCs w:val="22"/>
          <w:u w:val="single" w:color="auto"/>
          <w:color w:val="auto"/>
        </w:rPr>
        <w:t>www.wfscorp.com</w:t>
      </w:r>
      <w:r>
        <w:rPr>
          <w:rFonts w:ascii="Arial" w:cs="Arial" w:eastAsia="Arial" w:hAnsi="Arial"/>
          <w:sz w:val="22"/>
          <w:szCs w:val="22"/>
          <w:color w:val="auto"/>
        </w:rPr>
        <w:t>.</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Ira M. Birns</w:t>
      </w:r>
    </w:p>
    <w:p>
      <w:pPr>
        <w:spacing w:after="0" w:line="230" w:lineRule="auto"/>
        <w:rPr>
          <w:sz w:val="20"/>
          <w:szCs w:val="20"/>
          <w:color w:val="auto"/>
        </w:rPr>
      </w:pPr>
      <w:r>
        <w:rPr>
          <w:rFonts w:ascii="Arial" w:cs="Arial" w:eastAsia="Arial" w:hAnsi="Arial"/>
          <w:sz w:val="22"/>
          <w:szCs w:val="22"/>
          <w:color w:val="auto"/>
        </w:rPr>
        <w:t>Executive Vice President &amp; 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1" w:lineRule="exact"/>
        <w:rPr>
          <w:sz w:val="20"/>
          <w:szCs w:val="20"/>
          <w:color w:val="auto"/>
        </w:rPr>
      </w:pPr>
    </w:p>
    <w:p>
      <w:pPr>
        <w:ind w:right="5200"/>
        <w:spacing w:after="0" w:line="237" w:lineRule="auto"/>
        <w:rPr>
          <w:sz w:val="20"/>
          <w:szCs w:val="20"/>
          <w:color w:val="auto"/>
        </w:rPr>
      </w:pPr>
      <w:r>
        <w:rPr>
          <w:rFonts w:ascii="Arial" w:cs="Arial" w:eastAsia="Arial" w:hAnsi="Arial"/>
          <w:sz w:val="22"/>
          <w:szCs w:val="22"/>
          <w:color w:val="auto"/>
        </w:rPr>
        <w:t>Glenn Klevitz, Vice President, Assistant Treasurer &amp; Investor Relations 305-428-8000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2019-12-28T16:27:35Z</dcterms:created>
  <dcterms:modified xsi:type="dcterms:W3CDTF">2019-12-28T16:27:35Z</dcterms:modified>
</cp:coreProperties>
</file>