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2"/>
          <w:szCs w:val="22"/>
          <w:b w:val="1"/>
          <w:bCs w:val="1"/>
          <w:color w:val="auto"/>
        </w:rPr>
        <w:t>UNITED STATES</w:t>
      </w:r>
    </w:p>
    <w:p>
      <w:pPr>
        <w:spacing w:after="0" w:line="23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spacing w:after="0" w:line="23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2813685</wp:posOffset>
            </wp:positionH>
            <wp:positionV relativeFrom="paragraph">
              <wp:posOffset>292735</wp:posOffset>
            </wp:positionV>
            <wp:extent cx="1628775"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628775"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7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FORM 8-K</w:t>
      </w:r>
    </w:p>
    <w:p>
      <w:pPr>
        <w:spacing w:after="0" w:line="23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23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 OF</w:t>
      </w:r>
    </w:p>
    <w:p>
      <w:pPr>
        <w:spacing w:after="0" w:line="23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2813685</wp:posOffset>
            </wp:positionH>
            <wp:positionV relativeFrom="paragraph">
              <wp:posOffset>292735</wp:posOffset>
            </wp:positionV>
            <wp:extent cx="162877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628775"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Date of Report (Date of earliest event reported): May 29, 2019</w:t>
      </w:r>
    </w:p>
    <w:p>
      <w:pPr>
        <w:spacing w:after="0" w:line="2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WORLD FUEL SERVICES CORPORATION</w:t>
      </w:r>
    </w:p>
    <w:p>
      <w:pPr>
        <w:spacing w:after="0" w:line="2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0" w:lineRule="exact"/>
        <w:rPr>
          <w:sz w:val="24"/>
          <w:szCs w:val="24"/>
          <w:color w:val="auto"/>
        </w:rPr>
      </w:pPr>
    </w:p>
    <w:p>
      <w:pPr>
        <w:spacing w:after="0" w:line="258" w:lineRule="exact"/>
        <w:rPr>
          <w:sz w:val="24"/>
          <w:szCs w:val="24"/>
          <w:color w:val="auto"/>
        </w:rPr>
      </w:pPr>
    </w:p>
    <w:tbl>
      <w:tblPr>
        <w:tblLayout w:type="fixed"/>
        <w:tblInd w:w="840" w:type="dxa"/>
        <w:tblCellMar>
          <w:top w:w="0" w:type="dxa"/>
          <w:left w:w="0" w:type="dxa"/>
          <w:bottom w:w="0" w:type="dxa"/>
          <w:right w:w="0" w:type="dxa"/>
        </w:tblCellMar>
      </w:tblPr>
      <w:tr>
        <w:trPr>
          <w:trHeight w:val="238"/>
        </w:trPr>
        <w:tc>
          <w:tcPr>
            <w:tcW w:w="21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Florida</w:t>
            </w:r>
          </w:p>
        </w:tc>
        <w:tc>
          <w:tcPr>
            <w:tcW w:w="4640" w:type="dxa"/>
            <w:vAlign w:val="bottom"/>
          </w:tcPr>
          <w:p>
            <w:pPr>
              <w:jc w:val="center"/>
              <w:ind w:left="750"/>
              <w:spacing w:after="0"/>
              <w:rPr>
                <w:sz w:val="20"/>
                <w:szCs w:val="20"/>
                <w:color w:val="auto"/>
              </w:rPr>
            </w:pPr>
            <w:r>
              <w:rPr>
                <w:rFonts w:ascii="Times New Roman" w:cs="Times New Roman" w:eastAsia="Times New Roman" w:hAnsi="Times New Roman"/>
                <w:sz w:val="18"/>
                <w:szCs w:val="18"/>
                <w:b w:val="1"/>
                <w:bCs w:val="1"/>
                <w:color w:val="auto"/>
              </w:rPr>
              <w:t>1-9533</w:t>
            </w:r>
          </w:p>
        </w:tc>
        <w:tc>
          <w:tcPr>
            <w:tcW w:w="2580" w:type="dxa"/>
            <w:vAlign w:val="bottom"/>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59-2459427</w:t>
            </w:r>
          </w:p>
        </w:tc>
      </w:tr>
      <w:tr>
        <w:trPr>
          <w:trHeight w:val="225"/>
        </w:trPr>
        <w:tc>
          <w:tcPr>
            <w:tcW w:w="214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4640" w:type="dxa"/>
            <w:vAlign w:val="bottom"/>
          </w:tcPr>
          <w:p>
            <w:pPr>
              <w:jc w:val="center"/>
              <w:ind w:left="730"/>
              <w:spacing w:after="0"/>
              <w:rPr>
                <w:sz w:val="20"/>
                <w:szCs w:val="20"/>
                <w:color w:val="auto"/>
              </w:rPr>
            </w:pPr>
            <w:r>
              <w:rPr>
                <w:rFonts w:ascii="Times New Roman" w:cs="Times New Roman" w:eastAsia="Times New Roman" w:hAnsi="Times New Roman"/>
                <w:sz w:val="18"/>
                <w:szCs w:val="18"/>
                <w:color w:val="auto"/>
              </w:rPr>
              <w:t>(Commission File</w:t>
            </w:r>
          </w:p>
        </w:tc>
        <w:tc>
          <w:tcPr>
            <w:tcW w:w="2580" w:type="dxa"/>
            <w:vAlign w:val="bottom"/>
          </w:tcPr>
          <w:p>
            <w:pPr>
              <w:jc w:val="center"/>
              <w:ind w:left="117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21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incorporation)</w:t>
            </w:r>
          </w:p>
        </w:tc>
        <w:tc>
          <w:tcPr>
            <w:tcW w:w="4640" w:type="dxa"/>
            <w:vAlign w:val="bottom"/>
          </w:tcPr>
          <w:p>
            <w:pPr>
              <w:jc w:val="center"/>
              <w:ind w:left="730"/>
              <w:spacing w:after="0"/>
              <w:rPr>
                <w:sz w:val="20"/>
                <w:szCs w:val="20"/>
                <w:color w:val="auto"/>
              </w:rPr>
            </w:pPr>
            <w:r>
              <w:rPr>
                <w:rFonts w:ascii="Times New Roman" w:cs="Times New Roman" w:eastAsia="Times New Roman" w:hAnsi="Times New Roman"/>
                <w:sz w:val="18"/>
                <w:szCs w:val="18"/>
                <w:color w:val="auto"/>
              </w:rPr>
              <w:t>Number)</w:t>
            </w:r>
          </w:p>
        </w:tc>
        <w:tc>
          <w:tcPr>
            <w:tcW w:w="2580" w:type="dxa"/>
            <w:vAlign w:val="bottom"/>
          </w:tcPr>
          <w:p>
            <w:pPr>
              <w:jc w:val="center"/>
              <w:ind w:left="1150"/>
              <w:spacing w:after="0"/>
              <w:rPr>
                <w:sz w:val="20"/>
                <w:szCs w:val="20"/>
                <w:color w:val="auto"/>
              </w:rPr>
            </w:pPr>
            <w:r>
              <w:rPr>
                <w:rFonts w:ascii="Times New Roman" w:cs="Times New Roman" w:eastAsia="Times New Roman" w:hAnsi="Times New Roman"/>
                <w:sz w:val="18"/>
                <w:szCs w:val="18"/>
                <w:color w:val="auto"/>
                <w:w w:val="99"/>
              </w:rPr>
              <w:t>Identification No.)</w:t>
            </w:r>
          </w:p>
        </w:tc>
      </w:tr>
      <w:tr>
        <w:trPr>
          <w:trHeight w:val="937"/>
        </w:trPr>
        <w:tc>
          <w:tcPr>
            <w:tcW w:w="2140" w:type="dxa"/>
            <w:vAlign w:val="bottom"/>
          </w:tcPr>
          <w:p>
            <w:pPr>
              <w:spacing w:after="0"/>
              <w:rPr>
                <w:sz w:val="24"/>
                <w:szCs w:val="24"/>
                <w:color w:val="auto"/>
              </w:rPr>
            </w:pPr>
          </w:p>
        </w:tc>
        <w:tc>
          <w:tcPr>
            <w:tcW w:w="4640" w:type="dxa"/>
            <w:vAlign w:val="bottom"/>
          </w:tcPr>
          <w:p>
            <w:pPr>
              <w:jc w:val="center"/>
              <w:ind w:right="2850"/>
              <w:spacing w:after="0"/>
              <w:rPr>
                <w:sz w:val="20"/>
                <w:szCs w:val="20"/>
                <w:color w:val="auto"/>
              </w:rPr>
            </w:pPr>
            <w:r>
              <w:rPr>
                <w:rFonts w:ascii="Times New Roman" w:cs="Times New Roman" w:eastAsia="Times New Roman" w:hAnsi="Times New Roman"/>
                <w:sz w:val="18"/>
                <w:szCs w:val="18"/>
                <w:b w:val="1"/>
                <w:bCs w:val="1"/>
                <w:color w:val="auto"/>
                <w:w w:val="96"/>
              </w:rPr>
              <w:t>9800 N.W. 41</w:t>
            </w:r>
            <w:r>
              <w:rPr>
                <w:rFonts w:ascii="Times New Roman" w:cs="Times New Roman" w:eastAsia="Times New Roman" w:hAnsi="Times New Roman"/>
                <w:sz w:val="30"/>
                <w:szCs w:val="30"/>
                <w:b w:val="1"/>
                <w:bCs w:val="1"/>
                <w:color w:val="auto"/>
                <w:w w:val="96"/>
                <w:vertAlign w:val="superscript"/>
              </w:rPr>
              <w:t>st</w:t>
            </w:r>
            <w:r>
              <w:rPr>
                <w:rFonts w:ascii="Times New Roman" w:cs="Times New Roman" w:eastAsia="Times New Roman" w:hAnsi="Times New Roman"/>
                <w:sz w:val="18"/>
                <w:szCs w:val="18"/>
                <w:b w:val="1"/>
                <w:bCs w:val="1"/>
                <w:color w:val="auto"/>
                <w:w w:val="96"/>
              </w:rPr>
              <w:t xml:space="preserve"> Street</w:t>
            </w:r>
          </w:p>
        </w:tc>
        <w:tc>
          <w:tcPr>
            <w:tcW w:w="2580" w:type="dxa"/>
            <w:vAlign w:val="bottom"/>
          </w:tcPr>
          <w:p>
            <w:pPr>
              <w:spacing w:after="0"/>
              <w:rPr>
                <w:sz w:val="24"/>
                <w:szCs w:val="24"/>
                <w:color w:val="auto"/>
              </w:rPr>
            </w:pPr>
          </w:p>
        </w:tc>
      </w:tr>
      <w:tr>
        <w:trPr>
          <w:trHeight w:val="238"/>
        </w:trPr>
        <w:tc>
          <w:tcPr>
            <w:tcW w:w="2140" w:type="dxa"/>
            <w:vAlign w:val="bottom"/>
          </w:tcPr>
          <w:p>
            <w:pPr>
              <w:spacing w:after="0"/>
              <w:rPr>
                <w:sz w:val="20"/>
                <w:szCs w:val="20"/>
                <w:color w:val="auto"/>
              </w:rPr>
            </w:pPr>
          </w:p>
        </w:tc>
        <w:tc>
          <w:tcPr>
            <w:tcW w:w="4640" w:type="dxa"/>
            <w:vAlign w:val="bottom"/>
          </w:tcPr>
          <w:p>
            <w:pPr>
              <w:jc w:val="center"/>
              <w:ind w:right="2850"/>
              <w:spacing w:after="0"/>
              <w:rPr>
                <w:sz w:val="20"/>
                <w:szCs w:val="20"/>
                <w:color w:val="auto"/>
              </w:rPr>
            </w:pPr>
            <w:r>
              <w:rPr>
                <w:rFonts w:ascii="Times New Roman" w:cs="Times New Roman" w:eastAsia="Times New Roman" w:hAnsi="Times New Roman"/>
                <w:sz w:val="18"/>
                <w:szCs w:val="18"/>
                <w:b w:val="1"/>
                <w:bCs w:val="1"/>
                <w:color w:val="auto"/>
                <w:w w:val="98"/>
              </w:rPr>
              <w:t>Miami, FL</w:t>
            </w:r>
          </w:p>
        </w:tc>
        <w:tc>
          <w:tcPr>
            <w:tcW w:w="2580" w:type="dxa"/>
            <w:vAlign w:val="bottom"/>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33178</w:t>
            </w:r>
          </w:p>
        </w:tc>
      </w:tr>
      <w:tr>
        <w:trPr>
          <w:trHeight w:val="243"/>
        </w:trPr>
        <w:tc>
          <w:tcPr>
            <w:tcW w:w="6780" w:type="dxa"/>
            <w:vAlign w:val="bottom"/>
            <w:gridSpan w:val="2"/>
          </w:tcPr>
          <w:p>
            <w:pPr>
              <w:jc w:val="center"/>
              <w:ind w:right="71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2580" w:type="dxa"/>
            <w:vAlign w:val="bottom"/>
          </w:tcPr>
          <w:p>
            <w:pPr>
              <w:jc w:val="center"/>
              <w:ind w:left="1170"/>
              <w:spacing w:after="0"/>
              <w:rPr>
                <w:sz w:val="20"/>
                <w:szCs w:val="20"/>
                <w:color w:val="auto"/>
              </w:rPr>
            </w:pPr>
            <w:r>
              <w:rPr>
                <w:rFonts w:ascii="Times New Roman" w:cs="Times New Roman" w:eastAsia="Times New Roman" w:hAnsi="Times New Roman"/>
                <w:sz w:val="18"/>
                <w:szCs w:val="18"/>
                <w:color w:val="auto"/>
              </w:rPr>
              <w:t>(Zip Code)</w:t>
            </w:r>
          </w:p>
        </w:tc>
      </w:tr>
    </w:tbl>
    <w:p>
      <w:pPr>
        <w:spacing w:after="0" w:line="200" w:lineRule="exact"/>
        <w:rPr>
          <w:sz w:val="24"/>
          <w:szCs w:val="24"/>
          <w:color w:val="auto"/>
        </w:rPr>
      </w:pPr>
    </w:p>
    <w:p>
      <w:pPr>
        <w:spacing w:after="0" w:line="25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Registrant’s telephone number, including area code: </w:t>
      </w:r>
      <w:r>
        <w:rPr>
          <w:rFonts w:ascii="Times New Roman" w:cs="Times New Roman" w:eastAsia="Times New Roman" w:hAnsi="Times New Roman"/>
          <w:sz w:val="18"/>
          <w:szCs w:val="18"/>
          <w:b w:val="1"/>
          <w:bCs w:val="1"/>
          <w:color w:val="auto"/>
        </w:rPr>
        <w:t>(305) 428-8000</w:t>
      </w:r>
    </w:p>
    <w:p>
      <w:pPr>
        <w:spacing w:after="0" w:line="229" w:lineRule="exact"/>
        <w:rPr>
          <w:sz w:val="24"/>
          <w:szCs w:val="24"/>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89"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36"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36"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36"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16" w:lineRule="exact"/>
        <w:rPr>
          <w:sz w:val="24"/>
          <w:szCs w:val="24"/>
          <w:color w:val="auto"/>
        </w:rPr>
      </w:pPr>
    </w:p>
    <w:p>
      <w:pPr>
        <w:ind w:right="80"/>
        <w:spacing w:after="0" w:line="258" w:lineRule="auto"/>
        <w:rPr>
          <w:sz w:val="20"/>
          <w:szCs w:val="20"/>
          <w:color w:val="auto"/>
        </w:rPr>
      </w:pPr>
      <w:r>
        <w:rPr>
          <w:rFonts w:ascii="Times New Roman" w:cs="Times New Roman" w:eastAsia="Times New Roman" w:hAnsi="Times New Roman"/>
          <w:sz w:val="22"/>
          <w:szCs w:val="22"/>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58"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Emerging growth company</w:t>
      </w:r>
    </w:p>
    <w:p>
      <w:pPr>
        <w:spacing w:after="0" w:line="206" w:lineRule="exact"/>
        <w:rPr>
          <w:sz w:val="24"/>
          <w:szCs w:val="24"/>
          <w:color w:val="auto"/>
        </w:rPr>
      </w:pPr>
    </w:p>
    <w:p>
      <w:pPr>
        <w:ind w:right="320"/>
        <w:spacing w:after="0" w:line="282" w:lineRule="auto"/>
        <w:rPr>
          <w:sz w:val="20"/>
          <w:szCs w:val="20"/>
          <w:color w:val="auto"/>
        </w:rPr>
      </w:pPr>
      <w:r>
        <w:rPr>
          <w:rFonts w:ascii="Times New Roman" w:cs="Times New Roman" w:eastAsia="Times New Roman" w:hAnsi="Times New Roman"/>
          <w:sz w:val="21"/>
          <w:szCs w:val="21"/>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135"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Securities registered pursuant to Section 12(b) of the Act:</w:t>
      </w:r>
    </w:p>
    <w:p>
      <w:pPr>
        <w:spacing w:after="0" w:line="216"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13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w w:val="98"/>
              </w:rPr>
              <w:t>Title of each class</w:t>
            </w:r>
          </w:p>
        </w:tc>
        <w:tc>
          <w:tcPr>
            <w:tcW w:w="2660" w:type="dxa"/>
            <w:vAlign w:val="bottom"/>
          </w:tcPr>
          <w:p>
            <w:pPr>
              <w:spacing w:after="0"/>
              <w:rPr>
                <w:sz w:val="18"/>
                <w:szCs w:val="18"/>
                <w:color w:val="auto"/>
              </w:rPr>
            </w:pPr>
          </w:p>
        </w:tc>
        <w:tc>
          <w:tcPr>
            <w:tcW w:w="3440" w:type="dxa"/>
            <w:vAlign w:val="bottom"/>
            <w:gridSpan w:val="3"/>
          </w:tcPr>
          <w:p>
            <w:pPr>
              <w:jc w:val="center"/>
              <w:ind w:right="60"/>
              <w:spacing w:after="0"/>
              <w:rPr>
                <w:sz w:val="20"/>
                <w:szCs w:val="20"/>
                <w:color w:val="auto"/>
              </w:rPr>
            </w:pPr>
            <w:r>
              <w:rPr>
                <w:rFonts w:ascii="Times New Roman" w:cs="Times New Roman" w:eastAsia="Times New Roman" w:hAnsi="Times New Roman"/>
                <w:sz w:val="18"/>
                <w:szCs w:val="18"/>
                <w:b w:val="1"/>
                <w:bCs w:val="1"/>
                <w:color w:val="auto"/>
                <w:w w:val="98"/>
              </w:rPr>
              <w:t>Trading Symbol(s)</w:t>
            </w:r>
          </w:p>
        </w:tc>
        <w:tc>
          <w:tcPr>
            <w:tcW w:w="3960" w:type="dxa"/>
            <w:vAlign w:val="bottom"/>
            <w:gridSpan w:val="2"/>
          </w:tcPr>
          <w:p>
            <w:pPr>
              <w:jc w:val="center"/>
              <w:ind w:right="620"/>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0"/>
        </w:trPr>
        <w:tc>
          <w:tcPr>
            <w:tcW w:w="1360" w:type="dxa"/>
            <w:vAlign w:val="bottom"/>
            <w:shd w:val="clear" w:color="auto" w:fill="000000"/>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334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r>
      <w:tr>
        <w:trPr>
          <w:trHeight w:val="507"/>
        </w:trPr>
        <w:tc>
          <w:tcPr>
            <w:tcW w:w="40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Common Stock, par value $0.01 per share</w:t>
            </w:r>
          </w:p>
        </w:tc>
        <w:tc>
          <w:tcPr>
            <w:tcW w:w="980" w:type="dxa"/>
            <w:vAlign w:val="bottom"/>
          </w:tcPr>
          <w:p>
            <w:pPr>
              <w:spacing w:after="0"/>
              <w:rPr>
                <w:sz w:val="24"/>
                <w:szCs w:val="24"/>
                <w:color w:val="auto"/>
              </w:rPr>
            </w:pPr>
          </w:p>
        </w:tc>
        <w:tc>
          <w:tcPr>
            <w:tcW w:w="2460" w:type="dxa"/>
            <w:vAlign w:val="bottom"/>
            <w:gridSpan w:val="2"/>
          </w:tcPr>
          <w:p>
            <w:pPr>
              <w:jc w:val="center"/>
              <w:ind w:right="1040"/>
              <w:spacing w:after="0"/>
              <w:rPr>
                <w:sz w:val="20"/>
                <w:szCs w:val="20"/>
                <w:color w:val="auto"/>
              </w:rPr>
            </w:pPr>
            <w:r>
              <w:rPr>
                <w:rFonts w:ascii="Times New Roman" w:cs="Times New Roman" w:eastAsia="Times New Roman" w:hAnsi="Times New Roman"/>
                <w:sz w:val="18"/>
                <w:szCs w:val="18"/>
                <w:color w:val="auto"/>
                <w:w w:val="99"/>
              </w:rPr>
              <w:t>INT</w:t>
            </w:r>
          </w:p>
        </w:tc>
        <w:tc>
          <w:tcPr>
            <w:tcW w:w="3960" w:type="dxa"/>
            <w:vAlign w:val="bottom"/>
            <w:gridSpan w:val="2"/>
          </w:tcPr>
          <w:p>
            <w:pPr>
              <w:jc w:val="center"/>
              <w:ind w:right="620"/>
              <w:spacing w:after="0"/>
              <w:rPr>
                <w:sz w:val="20"/>
                <w:szCs w:val="20"/>
                <w:color w:val="auto"/>
              </w:rPr>
            </w:pPr>
            <w:r>
              <w:rPr>
                <w:rFonts w:ascii="Times New Roman" w:cs="Times New Roman" w:eastAsia="Times New Roman" w:hAnsi="Times New Roman"/>
                <w:sz w:val="18"/>
                <w:szCs w:val="18"/>
                <w:color w:val="auto"/>
                <w:w w:val="98"/>
              </w:rPr>
              <w:t>New York Stock Exchange</w:t>
            </w:r>
          </w:p>
        </w:tc>
      </w:tr>
      <w:tr>
        <w:trPr>
          <w:trHeight w:val="149"/>
        </w:trPr>
        <w:tc>
          <w:tcPr>
            <w:tcW w:w="1360" w:type="dxa"/>
            <w:vAlign w:val="bottom"/>
            <w:tcBorders>
              <w:bottom w:val="single" w:sz="8" w:color="9A9A9A"/>
            </w:tcBorders>
          </w:tcPr>
          <w:p>
            <w:pPr>
              <w:spacing w:after="0"/>
              <w:rPr>
                <w:sz w:val="12"/>
                <w:szCs w:val="12"/>
                <w:color w:val="auto"/>
              </w:rPr>
            </w:pPr>
          </w:p>
        </w:tc>
        <w:tc>
          <w:tcPr>
            <w:tcW w:w="2660" w:type="dxa"/>
            <w:vAlign w:val="bottom"/>
            <w:tcBorders>
              <w:bottom w:val="single" w:sz="8" w:color="9A9A9A"/>
            </w:tcBorders>
          </w:tcPr>
          <w:p>
            <w:pPr>
              <w:spacing w:after="0"/>
              <w:rPr>
                <w:sz w:val="12"/>
                <w:szCs w:val="12"/>
                <w:color w:val="auto"/>
              </w:rPr>
            </w:pPr>
          </w:p>
        </w:tc>
        <w:tc>
          <w:tcPr>
            <w:tcW w:w="980" w:type="dxa"/>
            <w:vAlign w:val="bottom"/>
            <w:tcBorders>
              <w:bottom w:val="single" w:sz="8" w:color="9A9A9A"/>
            </w:tcBorders>
          </w:tcPr>
          <w:p>
            <w:pPr>
              <w:spacing w:after="0"/>
              <w:rPr>
                <w:sz w:val="12"/>
                <w:szCs w:val="12"/>
                <w:color w:val="auto"/>
              </w:rPr>
            </w:pPr>
          </w:p>
        </w:tc>
        <w:tc>
          <w:tcPr>
            <w:tcW w:w="142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3340" w:type="dxa"/>
            <w:vAlign w:val="bottom"/>
            <w:tcBorders>
              <w:bottom w:val="single" w:sz="8" w:color="9A9A9A"/>
            </w:tcBorders>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r>
      <w:tr>
        <w:trPr>
          <w:trHeight w:val="21"/>
        </w:trPr>
        <w:tc>
          <w:tcPr>
            <w:tcW w:w="1360" w:type="dxa"/>
            <w:vAlign w:val="bottom"/>
            <w:tcBorders>
              <w:bottom w:val="single" w:sz="8" w:color="EEEEEE"/>
            </w:tcBorders>
          </w:tcPr>
          <w:p>
            <w:pPr>
              <w:spacing w:after="0" w:line="20" w:lineRule="exact"/>
              <w:rPr>
                <w:sz w:val="1"/>
                <w:szCs w:val="1"/>
                <w:color w:val="auto"/>
              </w:rPr>
            </w:pPr>
          </w:p>
        </w:tc>
        <w:tc>
          <w:tcPr>
            <w:tcW w:w="2660" w:type="dxa"/>
            <w:vAlign w:val="bottom"/>
            <w:tcBorders>
              <w:bottom w:val="single" w:sz="8" w:color="EEEEEE"/>
            </w:tcBorders>
          </w:tcPr>
          <w:p>
            <w:pPr>
              <w:spacing w:after="0" w:line="20" w:lineRule="exact"/>
              <w:rPr>
                <w:sz w:val="1"/>
                <w:szCs w:val="1"/>
                <w:color w:val="auto"/>
              </w:rPr>
            </w:pPr>
          </w:p>
        </w:tc>
        <w:tc>
          <w:tcPr>
            <w:tcW w:w="980" w:type="dxa"/>
            <w:vAlign w:val="bottom"/>
            <w:tcBorders>
              <w:bottom w:val="single" w:sz="8" w:color="EEEEEE"/>
            </w:tcBorders>
          </w:tcPr>
          <w:p>
            <w:pPr>
              <w:spacing w:after="0" w:line="20" w:lineRule="exact"/>
              <w:rPr>
                <w:sz w:val="1"/>
                <w:szCs w:val="1"/>
                <w:color w:val="auto"/>
              </w:rPr>
            </w:pPr>
          </w:p>
        </w:tc>
        <w:tc>
          <w:tcPr>
            <w:tcW w:w="1420" w:type="dxa"/>
            <w:vAlign w:val="bottom"/>
            <w:tcBorders>
              <w:bottom w:val="single" w:sz="8" w:color="EEEEEE"/>
            </w:tcBorders>
          </w:tcPr>
          <w:p>
            <w:pPr>
              <w:spacing w:after="0" w:line="20" w:lineRule="exact"/>
              <w:rPr>
                <w:sz w:val="1"/>
                <w:szCs w:val="1"/>
                <w:color w:val="auto"/>
              </w:rPr>
            </w:pPr>
          </w:p>
        </w:tc>
        <w:tc>
          <w:tcPr>
            <w:tcW w:w="1040" w:type="dxa"/>
            <w:vAlign w:val="bottom"/>
            <w:tcBorders>
              <w:bottom w:val="single" w:sz="8" w:color="EEEEEE"/>
            </w:tcBorders>
          </w:tcPr>
          <w:p>
            <w:pPr>
              <w:spacing w:after="0" w:line="20" w:lineRule="exact"/>
              <w:rPr>
                <w:sz w:val="1"/>
                <w:szCs w:val="1"/>
                <w:color w:val="auto"/>
              </w:rPr>
            </w:pPr>
          </w:p>
        </w:tc>
        <w:tc>
          <w:tcPr>
            <w:tcW w:w="3340" w:type="dxa"/>
            <w:vAlign w:val="bottom"/>
            <w:tcBorders>
              <w:bottom w:val="single" w:sz="8" w:color="EEEEEE"/>
            </w:tcBorders>
          </w:tcPr>
          <w:p>
            <w:pPr>
              <w:spacing w:after="0" w:line="20" w:lineRule="exact"/>
              <w:rPr>
                <w:sz w:val="1"/>
                <w:szCs w:val="1"/>
                <w:color w:val="auto"/>
              </w:rPr>
            </w:pPr>
          </w:p>
        </w:tc>
        <w:tc>
          <w:tcPr>
            <w:tcW w:w="620" w:type="dxa"/>
            <w:vAlign w:val="bottom"/>
            <w:tcBorders>
              <w:bottom w:val="single" w:sz="8" w:color="EEEEEE"/>
            </w:tcBorders>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459" w:right="239" w:bottom="1440" w:gutter="0" w:footer="0" w:header="0"/>
        </w:sectPr>
      </w:pPr>
    </w:p>
    <w:bookmarkStart w:id="1" w:name="page2"/>
    <w:bookmarkEnd w:id="1"/>
    <w:p>
      <w:pPr>
        <w:spacing w:after="0"/>
        <w:tabs>
          <w:tab w:leader="none" w:pos="1180" w:val="left"/>
        </w:tabs>
        <w:rPr>
          <w:sz w:val="20"/>
          <w:szCs w:val="20"/>
          <w:color w:val="auto"/>
        </w:rPr>
      </w:pPr>
      <w:r>
        <w:rPr>
          <w:rFonts w:ascii="Times New Roman" w:cs="Times New Roman" w:eastAsia="Times New Roman" w:hAnsi="Times New Roman"/>
          <w:sz w:val="22"/>
          <w:szCs w:val="22"/>
          <w:b w:val="1"/>
          <w:bCs w:val="1"/>
          <w:color w:val="auto"/>
        </w:rPr>
        <w:t>Item 7.01.</w:t>
      </w:r>
      <w:r>
        <w:rPr>
          <w:sz w:val="20"/>
          <w:szCs w:val="20"/>
          <w:color w:val="auto"/>
        </w:rPr>
        <w:tab/>
      </w:r>
      <w:r>
        <w:rPr>
          <w:rFonts w:ascii="Times New Roman" w:cs="Times New Roman" w:eastAsia="Times New Roman" w:hAnsi="Times New Roman"/>
          <w:sz w:val="21"/>
          <w:szCs w:val="21"/>
          <w:b w:val="1"/>
          <w:bCs w:val="1"/>
          <w:color w:val="auto"/>
        </w:rPr>
        <w:t>Regulation FD Disclosure</w:t>
      </w:r>
    </w:p>
    <w:p>
      <w:pPr>
        <w:spacing w:after="0" w:line="211" w:lineRule="exact"/>
        <w:rPr>
          <w:sz w:val="20"/>
          <w:szCs w:val="20"/>
          <w:color w:val="auto"/>
        </w:rPr>
      </w:pPr>
    </w:p>
    <w:p>
      <w:pPr>
        <w:jc w:val="both"/>
        <w:spacing w:after="0" w:line="239" w:lineRule="auto"/>
        <w:rPr>
          <w:sz w:val="20"/>
          <w:szCs w:val="20"/>
          <w:color w:val="auto"/>
        </w:rPr>
      </w:pPr>
      <w:r>
        <w:rPr>
          <w:rFonts w:ascii="Times New Roman" w:cs="Times New Roman" w:eastAsia="Times New Roman" w:hAnsi="Times New Roman"/>
          <w:sz w:val="22"/>
          <w:szCs w:val="22"/>
          <w:color w:val="auto"/>
        </w:rPr>
        <w:t>World Fuel Services Corporation (the “Company”) announced today that its board of directors has approved an increase to the Company’s share repurchase program, authorizing the purchase of up to an additional $100 million in common stock. In addition, the Company announced that its board of directors has declared a quarterly cash dividend of $0.10 per share payable on July 5, 2019 to shareholders of record on June 10, 2019. A copy of the press release is attached hereto as Exhibit 99.1.</w:t>
      </w:r>
    </w:p>
    <w:p>
      <w:pPr>
        <w:spacing w:after="0" w:line="177"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22"/>
          <w:szCs w:val="22"/>
          <w:b w:val="1"/>
          <w:bCs w:val="1"/>
          <w:color w:val="auto"/>
        </w:rPr>
        <w:t>Item 9.01.</w:t>
      </w:r>
      <w:r>
        <w:rPr>
          <w:sz w:val="20"/>
          <w:szCs w:val="20"/>
          <w:color w:val="auto"/>
        </w:rPr>
        <w:tab/>
      </w:r>
      <w:r>
        <w:rPr>
          <w:rFonts w:ascii="Times New Roman" w:cs="Times New Roman" w:eastAsia="Times New Roman" w:hAnsi="Times New Roman"/>
          <w:sz w:val="21"/>
          <w:szCs w:val="21"/>
          <w:b w:val="1"/>
          <w:bCs w:val="1"/>
          <w:color w:val="auto"/>
        </w:rPr>
        <w:t>Financial Statements and Exhibits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2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(d)</w:t>
            </w:r>
          </w:p>
        </w:tc>
        <w:tc>
          <w:tcPr>
            <w:tcW w:w="128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Exhibits</w:t>
            </w:r>
          </w:p>
        </w:tc>
        <w:tc>
          <w:tcPr>
            <w:tcW w:w="2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7840" w:type="dxa"/>
            <w:vAlign w:val="bottom"/>
          </w:tcPr>
          <w:p>
            <w:pPr>
              <w:spacing w:after="0"/>
              <w:rPr>
                <w:sz w:val="20"/>
                <w:szCs w:val="20"/>
                <w:color w:val="auto"/>
              </w:rPr>
            </w:pPr>
          </w:p>
        </w:tc>
      </w:tr>
      <w:tr>
        <w:trPr>
          <w:trHeight w:val="446"/>
        </w:trPr>
        <w:tc>
          <w:tcPr>
            <w:tcW w:w="1220" w:type="dxa"/>
            <w:vAlign w:val="bottom"/>
          </w:tcPr>
          <w:p>
            <w:pPr>
              <w:spacing w:after="0"/>
              <w:rPr>
                <w:sz w:val="24"/>
                <w:szCs w:val="24"/>
                <w:color w:val="auto"/>
              </w:rPr>
            </w:pPr>
          </w:p>
        </w:tc>
        <w:tc>
          <w:tcPr>
            <w:tcW w:w="128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Exhibit No.</w:t>
            </w:r>
          </w:p>
        </w:tc>
        <w:tc>
          <w:tcPr>
            <w:tcW w:w="892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Description</w:t>
            </w:r>
          </w:p>
        </w:tc>
      </w:tr>
      <w:tr>
        <w:trPr>
          <w:trHeight w:val="20"/>
        </w:trPr>
        <w:tc>
          <w:tcPr>
            <w:tcW w:w="1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7840" w:type="dxa"/>
            <w:vAlign w:val="bottom"/>
          </w:tcPr>
          <w:p>
            <w:pPr>
              <w:spacing w:after="0" w:line="20" w:lineRule="exact"/>
              <w:rPr>
                <w:sz w:val="1"/>
                <w:szCs w:val="1"/>
                <w:color w:val="auto"/>
              </w:rPr>
            </w:pPr>
          </w:p>
        </w:tc>
      </w:tr>
      <w:tr>
        <w:trPr>
          <w:trHeight w:val="507"/>
        </w:trPr>
        <w:tc>
          <w:tcPr>
            <w:tcW w:w="1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99.1</w:t>
            </w: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Press Release, dated May 29, 2019.</w:t>
            </w:r>
          </w:p>
        </w:tc>
      </w:tr>
      <w:tr>
        <w:trPr>
          <w:trHeight w:val="230"/>
        </w:trPr>
        <w:tc>
          <w:tcPr>
            <w:tcW w:w="1220" w:type="dxa"/>
            <w:vAlign w:val="bottom"/>
            <w:tcBorders>
              <w:bottom w:val="single" w:sz="8" w:color="9A9A9A"/>
            </w:tcBorders>
          </w:tcPr>
          <w:p>
            <w:pPr>
              <w:spacing w:after="0"/>
              <w:rPr>
                <w:sz w:val="19"/>
                <w:szCs w:val="19"/>
                <w:color w:val="auto"/>
              </w:rPr>
            </w:pPr>
          </w:p>
        </w:tc>
        <w:tc>
          <w:tcPr>
            <w:tcW w:w="180" w:type="dxa"/>
            <w:vAlign w:val="bottom"/>
            <w:tcBorders>
              <w:bottom w:val="single" w:sz="8" w:color="9A9A9A"/>
            </w:tcBorders>
          </w:tcPr>
          <w:p>
            <w:pPr>
              <w:spacing w:after="0"/>
              <w:rPr>
                <w:sz w:val="19"/>
                <w:szCs w:val="19"/>
                <w:color w:val="auto"/>
              </w:rPr>
            </w:pPr>
          </w:p>
        </w:tc>
        <w:tc>
          <w:tcPr>
            <w:tcW w:w="840" w:type="dxa"/>
            <w:vAlign w:val="bottom"/>
            <w:tcBorders>
              <w:bottom w:val="single" w:sz="8" w:color="9A9A9A"/>
            </w:tcBorders>
          </w:tcPr>
          <w:p>
            <w:pPr>
              <w:spacing w:after="0"/>
              <w:rPr>
                <w:sz w:val="19"/>
                <w:szCs w:val="19"/>
                <w:color w:val="auto"/>
              </w:rPr>
            </w:pPr>
          </w:p>
        </w:tc>
        <w:tc>
          <w:tcPr>
            <w:tcW w:w="260" w:type="dxa"/>
            <w:vAlign w:val="bottom"/>
            <w:tcBorders>
              <w:bottom w:val="single" w:sz="8" w:color="9A9A9A"/>
            </w:tcBorders>
          </w:tcPr>
          <w:p>
            <w:pPr>
              <w:spacing w:after="0"/>
              <w:rPr>
                <w:sz w:val="19"/>
                <w:szCs w:val="19"/>
                <w:color w:val="auto"/>
              </w:rPr>
            </w:pPr>
          </w:p>
        </w:tc>
        <w:tc>
          <w:tcPr>
            <w:tcW w:w="240" w:type="dxa"/>
            <w:vAlign w:val="bottom"/>
            <w:tcBorders>
              <w:bottom w:val="single" w:sz="8" w:color="9A9A9A"/>
            </w:tcBorders>
          </w:tcPr>
          <w:p>
            <w:pPr>
              <w:spacing w:after="0"/>
              <w:rPr>
                <w:sz w:val="19"/>
                <w:szCs w:val="19"/>
                <w:color w:val="auto"/>
              </w:rPr>
            </w:pPr>
          </w:p>
        </w:tc>
        <w:tc>
          <w:tcPr>
            <w:tcW w:w="840" w:type="dxa"/>
            <w:vAlign w:val="bottom"/>
            <w:tcBorders>
              <w:bottom w:val="single" w:sz="8" w:color="9A9A9A"/>
            </w:tcBorders>
          </w:tcPr>
          <w:p>
            <w:pPr>
              <w:spacing w:after="0"/>
              <w:rPr>
                <w:sz w:val="19"/>
                <w:szCs w:val="19"/>
                <w:color w:val="auto"/>
              </w:rPr>
            </w:pPr>
          </w:p>
        </w:tc>
        <w:tc>
          <w:tcPr>
            <w:tcW w:w="7840" w:type="dxa"/>
            <w:vAlign w:val="bottom"/>
            <w:tcBorders>
              <w:bottom w:val="single" w:sz="8" w:color="9A9A9A"/>
            </w:tcBorders>
          </w:tcPr>
          <w:p>
            <w:pPr>
              <w:spacing w:after="0"/>
              <w:rPr>
                <w:sz w:val="19"/>
                <w:szCs w:val="19"/>
                <w:color w:val="auto"/>
              </w:rPr>
            </w:pPr>
          </w:p>
        </w:tc>
      </w:tr>
      <w:tr>
        <w:trPr>
          <w:trHeight w:val="21"/>
        </w:trPr>
        <w:tc>
          <w:tcPr>
            <w:tcW w:w="122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840" w:type="dxa"/>
            <w:vAlign w:val="bottom"/>
            <w:tcBorders>
              <w:bottom w:val="single" w:sz="8" w:color="EEEEEE"/>
            </w:tcBorders>
          </w:tcPr>
          <w:p>
            <w:pPr>
              <w:spacing w:after="0" w:line="20" w:lineRule="exact"/>
              <w:rPr>
                <w:sz w:val="1"/>
                <w:szCs w:val="1"/>
                <w:color w:val="auto"/>
              </w:rPr>
            </w:pPr>
          </w:p>
        </w:tc>
        <w:tc>
          <w:tcPr>
            <w:tcW w:w="260" w:type="dxa"/>
            <w:vAlign w:val="bottom"/>
            <w:tcBorders>
              <w:bottom w:val="single" w:sz="8" w:color="EEEEEE"/>
            </w:tcBorders>
          </w:tcPr>
          <w:p>
            <w:pPr>
              <w:spacing w:after="0" w:line="20" w:lineRule="exact"/>
              <w:rPr>
                <w:sz w:val="1"/>
                <w:szCs w:val="1"/>
                <w:color w:val="auto"/>
              </w:rPr>
            </w:pPr>
          </w:p>
        </w:tc>
        <w:tc>
          <w:tcPr>
            <w:tcW w:w="240" w:type="dxa"/>
            <w:vAlign w:val="bottom"/>
            <w:tcBorders>
              <w:bottom w:val="single" w:sz="8" w:color="EEEEEE"/>
            </w:tcBorders>
          </w:tcPr>
          <w:p>
            <w:pPr>
              <w:spacing w:after="0" w:line="20" w:lineRule="exact"/>
              <w:rPr>
                <w:sz w:val="1"/>
                <w:szCs w:val="1"/>
                <w:color w:val="auto"/>
              </w:rPr>
            </w:pPr>
          </w:p>
        </w:tc>
        <w:tc>
          <w:tcPr>
            <w:tcW w:w="840" w:type="dxa"/>
            <w:vAlign w:val="bottom"/>
            <w:tcBorders>
              <w:bottom w:val="single" w:sz="8" w:color="EEEEEE"/>
            </w:tcBorders>
          </w:tcPr>
          <w:p>
            <w:pPr>
              <w:spacing w:after="0" w:line="20" w:lineRule="exact"/>
              <w:rPr>
                <w:sz w:val="1"/>
                <w:szCs w:val="1"/>
                <w:color w:val="auto"/>
              </w:rPr>
            </w:pPr>
          </w:p>
        </w:tc>
        <w:tc>
          <w:tcPr>
            <w:tcW w:w="784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2" w:name="page3"/>
    <w:bookmarkEnd w:id="2"/>
    <w:p>
      <w:pPr>
        <w:jc w:val="center"/>
        <w:ind w:right="-259"/>
        <w:spacing w:after="0"/>
        <w:rPr>
          <w:sz w:val="20"/>
          <w:szCs w:val="20"/>
          <w:color w:val="auto"/>
        </w:rPr>
      </w:pPr>
      <w:r>
        <w:rPr>
          <w:rFonts w:ascii="Times New Roman" w:cs="Times New Roman" w:eastAsia="Times New Roman" w:hAnsi="Times New Roman"/>
          <w:sz w:val="22"/>
          <w:szCs w:val="22"/>
          <w:b w:val="1"/>
          <w:bCs w:val="1"/>
          <w:color w:val="auto"/>
        </w:rPr>
        <w:t>SIGNATURES</w:t>
      </w:r>
    </w:p>
    <w:p>
      <w:pPr>
        <w:spacing w:after="0" w:line="211"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22"/>
          <w:szCs w:val="22"/>
          <w:color w:val="auto"/>
        </w:rPr>
        <w:t>Pursuant to the requirements of the Securities Exchange Act of 1934, the registrant has duly caused this report to be signed on its behalf by the undersigned, thereunto duly authorized.</w:t>
      </w:r>
    </w:p>
    <w:p>
      <w:pPr>
        <w:spacing w:after="0" w:line="177" w:lineRule="exact"/>
        <w:rPr>
          <w:sz w:val="20"/>
          <w:szCs w:val="20"/>
          <w:color w:val="auto"/>
        </w:rPr>
      </w:pPr>
    </w:p>
    <w:p>
      <w:pPr>
        <w:spacing w:after="0"/>
        <w:tabs>
          <w:tab w:leader="none" w:pos="560" w:val="left"/>
          <w:tab w:leader="none" w:pos="5940" w:val="left"/>
        </w:tabs>
        <w:rPr>
          <w:sz w:val="20"/>
          <w:szCs w:val="20"/>
          <w:color w:val="auto"/>
        </w:rPr>
      </w:pPr>
      <w:r>
        <w:rPr>
          <w:rFonts w:ascii="Times New Roman" w:cs="Times New Roman" w:eastAsia="Times New Roman" w:hAnsi="Times New Roman"/>
          <w:sz w:val="18"/>
          <w:szCs w:val="18"/>
          <w:color w:val="auto"/>
        </w:rPr>
        <w:t>Date:</w:t>
        <w:tab/>
        <w:t>May 29, 2019</w:t>
      </w:r>
      <w:r>
        <w:rPr>
          <w:sz w:val="20"/>
          <w:szCs w:val="20"/>
          <w:color w:val="auto"/>
        </w:rPr>
        <w:tab/>
      </w:r>
      <w:r>
        <w:rPr>
          <w:rFonts w:ascii="Times New Roman" w:cs="Times New Roman" w:eastAsia="Times New Roman" w:hAnsi="Times New Roman"/>
          <w:sz w:val="17"/>
          <w:szCs w:val="17"/>
          <w:b w:val="1"/>
          <w:bCs w:val="1"/>
          <w:color w:val="auto"/>
        </w:rPr>
        <w:t>World Fuel Services Corporation</w:t>
      </w:r>
    </w:p>
    <w:p>
      <w:pPr>
        <w:spacing w:after="0" w:line="200" w:lineRule="exact"/>
        <w:rPr>
          <w:sz w:val="20"/>
          <w:szCs w:val="20"/>
          <w:color w:val="auto"/>
        </w:rPr>
      </w:pPr>
    </w:p>
    <w:p>
      <w:pPr>
        <w:spacing w:after="0" w:line="326"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8"/>
          <w:szCs w:val="18"/>
          <w:color w:val="auto"/>
        </w:rPr>
        <w:t>/s/ R. Alexander Lake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4147185</wp:posOffset>
            </wp:positionH>
            <wp:positionV relativeFrom="paragraph">
              <wp:posOffset>26035</wp:posOffset>
            </wp:positionV>
            <wp:extent cx="23837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383790" cy="8890"/>
                    </a:xfrm>
                    <a:prstGeom prst="rect">
                      <a:avLst/>
                    </a:prstGeom>
                    <a:noFill/>
                  </pic:spPr>
                </pic:pic>
              </a:graphicData>
            </a:graphic>
          </wp:anchor>
        </w:drawing>
      </w:r>
    </w:p>
    <w:p>
      <w:pPr>
        <w:spacing w:after="0" w:line="30"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8"/>
          <w:szCs w:val="18"/>
          <w:color w:val="auto"/>
        </w:rPr>
        <w:t>R. Alexander Lake</w:t>
      </w:r>
    </w:p>
    <w:p>
      <w:pPr>
        <w:spacing w:after="0" w:line="36"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8"/>
          <w:szCs w:val="18"/>
          <w:color w:val="auto"/>
        </w:rPr>
        <w:t>Executive Vice President, Chief Legal Officer and</w:t>
      </w:r>
    </w:p>
    <w:p>
      <w:pPr>
        <w:spacing w:after="0" w:line="36"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8"/>
          <w:szCs w:val="18"/>
          <w:color w:val="auto"/>
        </w:rPr>
        <w:t>Corporate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150495</wp:posOffset>
            </wp:positionV>
            <wp:extent cx="7272020" cy="596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160"/>
          </w:cols>
          <w:pgMar w:left="240" w:top="108" w:right="499" w:bottom="1440" w:gutter="0" w:footer="0" w:header="0"/>
        </w:sectPr>
      </w:pPr>
    </w:p>
    <w:bookmarkStart w:id="3" w:name="page4"/>
    <w:bookmarkEnd w:id="3"/>
    <w:p>
      <w:pPr>
        <w:jc w:val="right"/>
        <w:ind w:right="3719"/>
        <w:spacing w:after="0"/>
        <w:rPr>
          <w:sz w:val="20"/>
          <w:szCs w:val="20"/>
          <w:color w:val="auto"/>
        </w:rPr>
      </w:pPr>
      <w:r>
        <w:rPr>
          <w:rFonts w:ascii="Times New Roman" w:cs="Times New Roman" w:eastAsia="Times New Roman" w:hAnsi="Times New Roman"/>
          <w:sz w:val="22"/>
          <w:szCs w:val="22"/>
          <w:color w:val="auto"/>
        </w:rPr>
        <w:t>EXHIBIT INDEX</w:t>
      </w:r>
    </w:p>
    <w:p>
      <w:pPr>
        <w:spacing w:after="0" w:line="200" w:lineRule="exact"/>
        <w:rPr>
          <w:sz w:val="20"/>
          <w:szCs w:val="20"/>
          <w:color w:val="auto"/>
        </w:rPr>
      </w:pPr>
    </w:p>
    <w:p>
      <w:pPr>
        <w:spacing w:after="0" w:line="272" w:lineRule="exact"/>
        <w:rPr>
          <w:sz w:val="20"/>
          <w:szCs w:val="20"/>
          <w:color w:val="auto"/>
        </w:rPr>
      </w:pPr>
    </w:p>
    <w:p>
      <w:pPr>
        <w:spacing w:after="0"/>
        <w:tabs>
          <w:tab w:leader="none" w:pos="1940" w:val="left"/>
        </w:tabs>
        <w:rPr>
          <w:sz w:val="20"/>
          <w:szCs w:val="20"/>
          <w:color w:val="auto"/>
        </w:rPr>
      </w:pPr>
      <w:r>
        <w:rPr>
          <w:rFonts w:ascii="Times New Roman" w:cs="Times New Roman" w:eastAsia="Times New Roman" w:hAnsi="Times New Roman"/>
          <w:sz w:val="18"/>
          <w:szCs w:val="18"/>
          <w:color w:val="auto"/>
        </w:rPr>
        <w:t>Exhibit</w:t>
      </w:r>
      <w:r>
        <w:rPr>
          <w:sz w:val="20"/>
          <w:szCs w:val="20"/>
          <w:color w:val="auto"/>
        </w:rPr>
        <w:tab/>
      </w:r>
      <w:r>
        <w:rPr>
          <w:rFonts w:ascii="Times New Roman" w:cs="Times New Roman" w:eastAsia="Times New Roman" w:hAnsi="Times New Roman"/>
          <w:sz w:val="18"/>
          <w:szCs w:val="18"/>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0" w:lineRule="exact"/>
        <w:rPr>
          <w:sz w:val="20"/>
          <w:szCs w:val="20"/>
          <w:color w:val="auto"/>
        </w:rPr>
      </w:pPr>
    </w:p>
    <w:p>
      <w:pPr>
        <w:spacing w:after="0"/>
        <w:tabs>
          <w:tab w:leader="none" w:pos="1940" w:val="left"/>
        </w:tabs>
        <w:rPr>
          <w:rFonts w:ascii="Times New Roman" w:cs="Times New Roman" w:eastAsia="Times New Roman" w:hAnsi="Times New Roman"/>
          <w:sz w:val="17"/>
          <w:szCs w:val="17"/>
          <w:u w:val="single" w:color="auto"/>
          <w:color w:val="0000EE"/>
        </w:rPr>
      </w:pPr>
      <w:hyperlink w:anchor="page5">
        <w:r>
          <w:rPr>
            <w:rFonts w:ascii="Times New Roman" w:cs="Times New Roman" w:eastAsia="Times New Roman" w:hAnsi="Times New Roman"/>
            <w:sz w:val="18"/>
            <w:szCs w:val="18"/>
            <w:u w:val="single" w:color="auto"/>
            <w:color w:val="0000EE"/>
          </w:rPr>
          <w:t>99.1</w:t>
        </w:r>
      </w:hyperlink>
      <w:r>
        <w:rPr>
          <w:rFonts w:ascii="Times New Roman" w:cs="Times New Roman" w:eastAsia="Times New Roman" w:hAnsi="Times New Roman"/>
          <w:sz w:val="18"/>
          <w:szCs w:val="18"/>
          <w:u w:val="single" w:color="auto"/>
          <w:color w:val="0000EE"/>
        </w:rPr>
        <w:tab/>
      </w:r>
      <w:hyperlink w:anchor="page5">
        <w:r>
          <w:rPr>
            <w:rFonts w:ascii="Times New Roman" w:cs="Times New Roman" w:eastAsia="Times New Roman" w:hAnsi="Times New Roman"/>
            <w:sz w:val="17"/>
            <w:szCs w:val="17"/>
            <w:u w:val="single" w:color="auto"/>
            <w:color w:val="0000EE"/>
          </w:rPr>
          <w:t>Press Release, dated May 29, 2019.</w:t>
        </w:r>
      </w:hyperlink>
    </w:p>
    <w:p>
      <w:pPr>
        <w:sectPr>
          <w:pgSz w:w="11900" w:h="16838" w:orient="portrait"/>
          <w:cols w:equalWidth="0" w:num="1">
            <w:col w:w="10219"/>
          </w:cols>
          <w:pgMar w:left="240" w:top="112" w:right="1440" w:bottom="1440" w:gutter="0" w:footer="0" w:header="0"/>
        </w:sectPr>
      </w:pPr>
    </w:p>
    <w:bookmarkStart w:id="4" w:name="page5"/>
    <w:bookmarkEnd w:id="4"/>
    <w:p>
      <w:pPr>
        <w:ind w:left="10300"/>
        <w:spacing w:after="0"/>
        <w:rPr>
          <w:sz w:val="20"/>
          <w:szCs w:val="20"/>
          <w:color w:val="auto"/>
        </w:rPr>
      </w:pPr>
      <w:r>
        <w:rPr>
          <w:rFonts w:ascii="Times New Roman" w:cs="Times New Roman" w:eastAsia="Times New Roman" w:hAnsi="Times New Roman"/>
          <w:sz w:val="21"/>
          <w:szCs w:val="21"/>
          <w:b w:val="1"/>
          <w:bCs w:val="1"/>
          <w:color w:val="auto"/>
        </w:rPr>
        <w:t>Exhibit 99.1</w:t>
      </w:r>
    </w:p>
    <w:p>
      <w:pPr>
        <w:spacing w:after="0" w:line="218"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2"/>
          <w:szCs w:val="22"/>
          <w:b w:val="1"/>
          <w:bCs w:val="1"/>
          <w:color w:val="auto"/>
        </w:rPr>
        <w:t>World Fuel Services Corporation Announces Increase of Share Repurchase Program and Quarterly Cash Dividend</w:t>
      </w:r>
    </w:p>
    <w:p>
      <w:pPr>
        <w:spacing w:after="0" w:line="210" w:lineRule="exact"/>
        <w:rPr>
          <w:sz w:val="20"/>
          <w:szCs w:val="20"/>
          <w:color w:val="auto"/>
        </w:rPr>
      </w:pPr>
    </w:p>
    <w:p>
      <w:pPr>
        <w:ind w:right="80"/>
        <w:spacing w:after="0" w:line="244" w:lineRule="auto"/>
        <w:rPr>
          <w:sz w:val="20"/>
          <w:szCs w:val="20"/>
          <w:color w:val="auto"/>
        </w:rPr>
      </w:pPr>
      <w:r>
        <w:rPr>
          <w:rFonts w:ascii="Times New Roman" w:cs="Times New Roman" w:eastAsia="Times New Roman" w:hAnsi="Times New Roman"/>
          <w:sz w:val="22"/>
          <w:szCs w:val="22"/>
          <w:color w:val="auto"/>
        </w:rPr>
        <w:t>MIAMI--(BUSINESS WIRE)--May 29, 2019--World Fuel Services Corporation (NYSE: INT) today announced that its Board of Directors has approved a $100 million increase to the company’s share repurchase program announced in October 2017, increasing the available authorization remaining under the program to approximately $150 million.</w:t>
      </w:r>
    </w:p>
    <w:p>
      <w:pPr>
        <w:spacing w:after="0" w:line="174" w:lineRule="exact"/>
        <w:rPr>
          <w:sz w:val="20"/>
          <w:szCs w:val="20"/>
          <w:color w:val="auto"/>
        </w:rPr>
      </w:pPr>
    </w:p>
    <w:p>
      <w:pPr>
        <w:jc w:val="both"/>
        <w:ind w:right="40"/>
        <w:spacing w:after="0" w:line="239" w:lineRule="auto"/>
        <w:rPr>
          <w:sz w:val="20"/>
          <w:szCs w:val="20"/>
          <w:color w:val="auto"/>
        </w:rPr>
      </w:pPr>
      <w:r>
        <w:rPr>
          <w:rFonts w:ascii="Times New Roman" w:cs="Times New Roman" w:eastAsia="Times New Roman" w:hAnsi="Times New Roman"/>
          <w:sz w:val="22"/>
          <w:szCs w:val="22"/>
          <w:color w:val="auto"/>
        </w:rPr>
        <w:t>Share repurchases may be made from time to time in the open market or through privately negotiated transactions. The timing and amount of shares to be repurchased under the program will depend on market conditions, share price, securities law and other legal requirements and factors. The program does not require the purchase of any minimum number of shares, has no expiration date and may be suspended or discontinued at any time without prior notice.</w:t>
      </w:r>
    </w:p>
    <w:p>
      <w:pPr>
        <w:spacing w:after="0" w:line="181" w:lineRule="exact"/>
        <w:rPr>
          <w:sz w:val="20"/>
          <w:szCs w:val="20"/>
          <w:color w:val="auto"/>
        </w:rPr>
      </w:pPr>
    </w:p>
    <w:p>
      <w:pPr>
        <w:ind w:right="160"/>
        <w:spacing w:after="0" w:line="258" w:lineRule="auto"/>
        <w:rPr>
          <w:sz w:val="20"/>
          <w:szCs w:val="20"/>
          <w:color w:val="auto"/>
        </w:rPr>
      </w:pPr>
      <w:r>
        <w:rPr>
          <w:rFonts w:ascii="Times New Roman" w:cs="Times New Roman" w:eastAsia="Times New Roman" w:hAnsi="Times New Roman"/>
          <w:sz w:val="22"/>
          <w:szCs w:val="22"/>
          <w:color w:val="auto"/>
        </w:rPr>
        <w:t>In addition, the Board of Directors also declared the company’s quarterly cash dividend which, as previously announced, has been increased to $0.10 per share and will be payable on July 5, 2019 to shareholders of record on June 10, 2019.</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About World Fuel Services Corporation</w:t>
      </w:r>
    </w:p>
    <w:p>
      <w:pPr>
        <w:spacing w:after="0" w:line="206"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For more information, call 305-428-8000 or visit </w:t>
      </w:r>
      <w:r>
        <w:rPr>
          <w:rFonts w:ascii="Times New Roman" w:cs="Times New Roman" w:eastAsia="Times New Roman" w:hAnsi="Times New Roman"/>
          <w:sz w:val="22"/>
          <w:szCs w:val="22"/>
          <w:u w:val="single" w:color="auto"/>
          <w:color w:val="auto"/>
        </w:rPr>
        <w:t>www.wfscorp.com</w:t>
      </w:r>
      <w:r>
        <w:rPr>
          <w:rFonts w:ascii="Times New Roman" w:cs="Times New Roman" w:eastAsia="Times New Roman" w:hAnsi="Times New Roman"/>
          <w:sz w:val="22"/>
          <w:szCs w:val="22"/>
          <w:color w:val="auto"/>
        </w:rPr>
        <w:t>.</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Information Relating to Forward-Looking Statements</w:t>
      </w:r>
    </w:p>
    <w:p>
      <w:pPr>
        <w:spacing w:after="0" w:line="206" w:lineRule="exact"/>
        <w:rPr>
          <w:sz w:val="20"/>
          <w:szCs w:val="20"/>
          <w:color w:val="auto"/>
        </w:rPr>
      </w:pPr>
    </w:p>
    <w:p>
      <w:pPr>
        <w:spacing w:after="0" w:line="232" w:lineRule="auto"/>
        <w:rPr>
          <w:sz w:val="20"/>
          <w:szCs w:val="20"/>
          <w:color w:val="auto"/>
        </w:rPr>
      </w:pPr>
      <w:r>
        <w:rPr>
          <w:rFonts w:ascii="Times New Roman" w:cs="Times New Roman" w:eastAsia="Times New Roman" w:hAnsi="Times New Roman"/>
          <w:sz w:val="22"/>
          <w:szCs w:val="22"/>
          <w:color w:val="auto"/>
        </w:rPr>
        <w:t>This release includes forward-looking statements within the meaning of the Private Securities Litigation Reform Act of 1995, including statements regarding share repurchases. These forward-looking statements are qualified in their entirety by cautionary statements and risk factor disclosures contained in the Company’s Securities and Exchange Commission (“SEC”) filings, including the Company’s most recent Annual Report on Form 10-K filed with the SEC. Actual results may differ materially from any forward-looking statements due to risks and uncertainties, including, but not limited to: our ability to generate expected cash from operations, the availability and price of our stock on the open market, our ability to effectively leverage technology and operating systems and realize the anticipated benefits, our ability to successfully execute and achieve efficiencies and other benefits related to our transformation initiatives, our ability to achieve the expected level of benefit from our restructuring activities and cost reduction initiatives, unanticipated tax liabilities or adverse results of tax audits, assessments, or disputes, the loss of, or reduced sales, to a significant government customer such as the North Atlantic Treaty Organization, our ability to successfully implement our growth strategy, our ability to effectively integrate acquired businesses and recognize the anticipated benefits, risks related to the complexity of U.S. Tax Reform and our ability to accurately predict its impact on our returns and future earnings, our ability to capitalize on new market opportunities and changes in supply and other market dynamics in the regions where we operate, potential liabilities and the extent of any insurance coverage, the outcome of pending litigation and other proceedings, the impact of quarterly fluctuations in results, particularly as a result of seasonality, the creditworthiness of our customers and counterparties and our ability to collect accounts receivable, fluctuations in world oil prices or foreign currency, changes in political, economic, regulatory, or environmental conditions, adverse conditions in the markets or industries in which we or our customers and suppliers operate, supply disruptions, border closures and other logistical difficulties that can arise when sourcing and delivering fuel in areas that are actively engaged in war or other military conflicts, our failure to effectively hedge certain financial risks associated with the use of derivatives, non-performance by counterparties or customers on derivatives contracts, uninsured losses, the impact of natural disasters, adverse results in legal disputes, our ability to retain and attract senior management and other key employees and other risks detailed from time to time in our SEC filings.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CONTACT:</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Ira M. Birns, Executive Vice President &amp;</w:t>
      </w:r>
    </w:p>
    <w:p>
      <w:pPr>
        <w:spacing w:after="0"/>
        <w:rPr>
          <w:sz w:val="20"/>
          <w:szCs w:val="20"/>
          <w:color w:val="auto"/>
        </w:rPr>
      </w:pPr>
      <w:r>
        <w:rPr>
          <w:rFonts w:ascii="Times New Roman" w:cs="Times New Roman" w:eastAsia="Times New Roman" w:hAnsi="Times New Roman"/>
          <w:sz w:val="22"/>
          <w:szCs w:val="22"/>
          <w:color w:val="auto"/>
        </w:rPr>
        <w:t>Chief Financial Officer</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Glenn Klevitz</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Vice President, Treasurer &amp; Investor Relations</w:t>
      </w:r>
    </w:p>
    <w:p>
      <w:pPr>
        <w:spacing w:after="0"/>
        <w:rPr>
          <w:sz w:val="20"/>
          <w:szCs w:val="20"/>
          <w:color w:val="auto"/>
        </w:rPr>
      </w:pPr>
      <w:r>
        <w:rPr>
          <w:rFonts w:ascii="Times New Roman" w:cs="Times New Roman" w:eastAsia="Times New Roman" w:hAnsi="Times New Roman"/>
          <w:sz w:val="22"/>
          <w:szCs w:val="22"/>
          <w:color w:val="auto"/>
        </w:rPr>
        <w:t>305-428-8000</w:t>
      </w:r>
    </w:p>
    <w:sectPr>
      <w:pgSz w:w="11900" w:h="16838" w:orient="portrait"/>
      <w:cols w:equalWidth="0" w:num="1">
        <w:col w:w="11420"/>
      </w:cols>
      <w:pgMar w:left="240" w:top="10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2019-12-28T11:29:54Z</dcterms:created>
  <dcterms:modified xsi:type="dcterms:W3CDTF">2019-12-28T11:29:54Z</dcterms:modified>
</cp:coreProperties>
</file>