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239"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00" w:lineRule="exact"/>
        <w:rPr>
          <w:sz w:val="24"/>
          <w:szCs w:val="24"/>
          <w:color w:val="auto"/>
        </w:rPr>
      </w:pPr>
    </w:p>
    <w:p>
      <w:pPr>
        <w:spacing w:after="0" w:line="29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16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SECTION 13 OR 15(d) OF</w:t>
      </w:r>
    </w:p>
    <w:p>
      <w:pPr>
        <w:spacing w:after="0" w:line="16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THE SECURITIES EXCHANGE ACT OF 1934</w:t>
      </w:r>
    </w:p>
    <w:p>
      <w:pPr>
        <w:spacing w:after="0" w:line="157" w:lineRule="exact"/>
        <w:rPr>
          <w:sz w:val="24"/>
          <w:szCs w:val="24"/>
          <w:color w:val="auto"/>
        </w:rPr>
      </w:pPr>
    </w:p>
    <w:p>
      <w:pPr>
        <w:jc w:val="center"/>
        <w:ind w:right="-59"/>
        <w:spacing w:after="0"/>
        <w:rPr>
          <w:sz w:val="20"/>
          <w:szCs w:val="20"/>
          <w:color w:val="auto"/>
        </w:rPr>
      </w:pPr>
      <w:r>
        <w:rPr>
          <w:rFonts w:ascii="Arial" w:cs="Arial" w:eastAsia="Arial" w:hAnsi="Arial"/>
          <w:sz w:val="20"/>
          <w:szCs w:val="20"/>
          <w:b w:val="1"/>
          <w:bCs w:val="1"/>
          <w:color w:val="auto"/>
        </w:rPr>
        <w:t>Date of Report (Date of earliest event reported): July 26, 2018</w:t>
      </w:r>
    </w:p>
    <w:p>
      <w:pPr>
        <w:spacing w:after="0" w:line="366" w:lineRule="exact"/>
        <w:rPr>
          <w:sz w:val="24"/>
          <w:szCs w:val="24"/>
          <w:color w:val="auto"/>
        </w:rPr>
      </w:pPr>
    </w:p>
    <w:p>
      <w:pPr>
        <w:jc w:val="center"/>
        <w:ind w:right="-59"/>
        <w:spacing w:after="0"/>
        <w:rPr>
          <w:sz w:val="20"/>
          <w:szCs w:val="20"/>
          <w:color w:val="auto"/>
        </w:rPr>
      </w:pPr>
      <w:r>
        <w:rPr>
          <w:rFonts w:ascii="Arial" w:cs="Arial" w:eastAsia="Arial" w:hAnsi="Arial"/>
          <w:sz w:val="39"/>
          <w:szCs w:val="39"/>
          <w:b w:val="1"/>
          <w:bCs w:val="1"/>
          <w:color w:val="auto"/>
        </w:rPr>
        <w:t>WORLD FUEL SERVICES CORPORATION</w:t>
      </w:r>
    </w:p>
    <w:p>
      <w:pPr>
        <w:spacing w:after="0" w:line="52" w:lineRule="exact"/>
        <w:rPr>
          <w:sz w:val="24"/>
          <w:szCs w:val="24"/>
          <w:color w:val="auto"/>
        </w:rPr>
      </w:pPr>
    </w:p>
    <w:p>
      <w:pPr>
        <w:jc w:val="center"/>
        <w:ind w:right="-59"/>
        <w:spacing w:after="0"/>
        <w:rPr>
          <w:sz w:val="20"/>
          <w:szCs w:val="20"/>
          <w:color w:val="auto"/>
        </w:rPr>
      </w:pPr>
      <w:r>
        <w:rPr>
          <w:rFonts w:ascii="Arial" w:cs="Arial" w:eastAsia="Arial" w:hAnsi="Arial"/>
          <w:sz w:val="14"/>
          <w:szCs w:val="14"/>
          <w:color w:val="auto"/>
        </w:rPr>
        <w:t>(Exact name of registrant as specified in its charter)</w:t>
      </w:r>
    </w:p>
    <w:p>
      <w:pPr>
        <w:sectPr>
          <w:pgSz w:w="11900" w:h="16838" w:orient="portrait"/>
          <w:cols w:equalWidth="0" w:num="1">
            <w:col w:w="11380"/>
          </w:cols>
          <w:pgMar w:left="240" w:top="679" w:right="27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05" w:lineRule="exact"/>
        <w:rPr>
          <w:sz w:val="24"/>
          <w:szCs w:val="24"/>
          <w:color w:val="auto"/>
        </w:rPr>
      </w:pPr>
    </w:p>
    <w:p>
      <w:pPr>
        <w:ind w:left="1260"/>
        <w:spacing w:after="0"/>
        <w:rPr>
          <w:sz w:val="20"/>
          <w:szCs w:val="20"/>
          <w:color w:val="auto"/>
        </w:rPr>
      </w:pPr>
      <w:r>
        <w:rPr>
          <w:rFonts w:ascii="Arial" w:cs="Arial" w:eastAsia="Arial" w:hAnsi="Arial"/>
          <w:sz w:val="17"/>
          <w:szCs w:val="17"/>
          <w:b w:val="1"/>
          <w:bCs w:val="1"/>
          <w:color w:val="auto"/>
        </w:rPr>
        <w:t>Florida</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85" w:lineRule="exact"/>
        <w:rPr>
          <w:sz w:val="24"/>
          <w:szCs w:val="24"/>
          <w:color w:val="auto"/>
        </w:rPr>
      </w:pPr>
    </w:p>
    <w:p>
      <w:pPr>
        <w:jc w:val="center"/>
        <w:ind w:right="2740"/>
        <w:spacing w:after="0"/>
        <w:rPr>
          <w:sz w:val="20"/>
          <w:szCs w:val="20"/>
          <w:color w:val="auto"/>
        </w:rPr>
      </w:pPr>
      <w:r>
        <w:rPr>
          <w:rFonts w:ascii="Arial" w:cs="Arial" w:eastAsia="Arial" w:hAnsi="Arial"/>
          <w:sz w:val="16"/>
          <w:szCs w:val="16"/>
          <w:b w:val="1"/>
          <w:bCs w:val="1"/>
          <w:color w:val="auto"/>
        </w:rPr>
        <w:t>1-9533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85"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59-2459427</w:t>
      </w:r>
    </w:p>
    <w:p>
      <w:pPr>
        <w:spacing w:after="0" w:line="50" w:lineRule="exact"/>
        <w:rPr>
          <w:sz w:val="24"/>
          <w:szCs w:val="24"/>
          <w:color w:val="auto"/>
        </w:rPr>
      </w:pPr>
    </w:p>
    <w:p>
      <w:pPr>
        <w:sectPr>
          <w:pgSz w:w="11900" w:h="16838" w:orient="portrait"/>
          <w:cols w:equalWidth="0" w:num="3">
            <w:col w:w="4920" w:space="720"/>
            <w:col w:w="3260" w:space="720"/>
            <w:col w:w="1760"/>
          </w:cols>
          <w:pgMar w:left="240" w:top="679" w:right="279" w:bottom="1440" w:gutter="0" w:footer="0" w:header="0"/>
          <w:type w:val="continuous"/>
        </w:sectPr>
      </w:pPr>
    </w:p>
    <w:p>
      <w:pPr>
        <w:ind w:left="180"/>
        <w:spacing w:after="0"/>
        <w:rPr>
          <w:sz w:val="20"/>
          <w:szCs w:val="20"/>
          <w:color w:val="auto"/>
        </w:rPr>
      </w:pPr>
      <w:r>
        <w:rPr>
          <w:rFonts w:ascii="Arial" w:cs="Arial" w:eastAsia="Arial" w:hAnsi="Arial"/>
          <w:sz w:val="13"/>
          <w:szCs w:val="13"/>
          <w:b w:val="1"/>
          <w:bCs w:val="1"/>
          <w:color w:val="auto"/>
        </w:rPr>
        <w:t>(State or other jurisdiction of incorporation)</w:t>
      </w:r>
    </w:p>
    <w:p>
      <w:pPr>
        <w:spacing w:after="0" w:line="20" w:lineRule="exact"/>
        <w:rPr>
          <w:sz w:val="24"/>
          <w:szCs w:val="24"/>
          <w:color w:val="auto"/>
        </w:rPr>
      </w:pPr>
      <w:r>
        <w:rPr>
          <w:sz w:val="24"/>
          <w:szCs w:val="24"/>
          <w:color w:val="auto"/>
        </w:rPr>
        <w:br w:type="column"/>
      </w:r>
    </w:p>
    <w:p>
      <w:pPr>
        <w:jc w:val="center"/>
        <w:ind w:right="1500"/>
        <w:spacing w:after="0"/>
        <w:rPr>
          <w:sz w:val="20"/>
          <w:szCs w:val="20"/>
          <w:color w:val="auto"/>
        </w:rPr>
      </w:pPr>
      <w:r>
        <w:rPr>
          <w:rFonts w:ascii="Arial" w:cs="Arial" w:eastAsia="Arial" w:hAnsi="Arial"/>
          <w:sz w:val="13"/>
          <w:szCs w:val="13"/>
          <w:b w:val="1"/>
          <w:bCs w:val="1"/>
          <w:color w:val="auto"/>
        </w:rPr>
        <w:t>(Commission File Number)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(I.R.S. Employer Identification No.)</w:t>
      </w:r>
    </w:p>
    <w:p>
      <w:pPr>
        <w:spacing w:after="0" w:line="200" w:lineRule="exact"/>
        <w:rPr>
          <w:sz w:val="24"/>
          <w:szCs w:val="24"/>
          <w:color w:val="auto"/>
        </w:rPr>
      </w:pPr>
    </w:p>
    <w:p>
      <w:pPr>
        <w:sectPr>
          <w:pgSz w:w="11900" w:h="16838" w:orient="portrait"/>
          <w:cols w:equalWidth="0" w:num="3">
            <w:col w:w="4340" w:space="720"/>
            <w:col w:w="3180" w:space="720"/>
            <w:col w:w="2420"/>
          </w:cols>
          <w:pgMar w:left="240" w:top="679" w:right="279" w:bottom="144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9" w:lineRule="exact"/>
        <w:rPr>
          <w:sz w:val="24"/>
          <w:szCs w:val="24"/>
          <w:color w:val="auto"/>
        </w:rPr>
      </w:pPr>
    </w:p>
    <w:tbl>
      <w:tblPr>
        <w:tblLayout w:type="fixed"/>
        <w:tblInd w:w="1000" w:type="dxa"/>
        <w:tblCellMar>
          <w:top w:w="0" w:type="dxa"/>
          <w:left w:w="0" w:type="dxa"/>
          <w:bottom w:w="0" w:type="dxa"/>
          <w:right w:w="0" w:type="dxa"/>
        </w:tblCellMar>
      </w:tblPr>
      <w:tr>
        <w:trPr>
          <w:trHeight w:val="216"/>
        </w:trPr>
        <w:tc>
          <w:tcPr>
            <w:tcW w:w="7760" w:type="dxa"/>
            <w:vAlign w:val="bottom"/>
          </w:tcPr>
          <w:p>
            <w:pPr>
              <w:jc w:val="center"/>
              <w:ind w:right="5294"/>
              <w:spacing w:after="0"/>
              <w:rPr>
                <w:sz w:val="20"/>
                <w:szCs w:val="20"/>
                <w:color w:val="auto"/>
              </w:rPr>
            </w:pPr>
            <w:r>
              <w:rPr>
                <w:rFonts w:ascii="Arial" w:cs="Arial" w:eastAsia="Arial" w:hAnsi="Arial"/>
                <w:sz w:val="18"/>
                <w:szCs w:val="18"/>
                <w:b w:val="1"/>
                <w:bCs w:val="1"/>
                <w:color w:val="auto"/>
                <w:w w:val="91"/>
              </w:rPr>
              <w:t>9800 N.W. 41</w:t>
            </w:r>
            <w:r>
              <w:rPr>
                <w:rFonts w:ascii="Arial" w:cs="Arial" w:eastAsia="Arial" w:hAnsi="Arial"/>
                <w:sz w:val="8"/>
                <w:szCs w:val="8"/>
                <w:b w:val="1"/>
                <w:bCs w:val="1"/>
                <w:color w:val="auto"/>
                <w:w w:val="91"/>
              </w:rPr>
              <w:t>st</w:t>
            </w:r>
            <w:r>
              <w:rPr>
                <w:rFonts w:ascii="Arial" w:cs="Arial" w:eastAsia="Arial" w:hAnsi="Arial"/>
                <w:sz w:val="18"/>
                <w:szCs w:val="18"/>
                <w:b w:val="1"/>
                <w:bCs w:val="1"/>
                <w:color w:val="auto"/>
                <w:w w:val="91"/>
              </w:rPr>
              <w:t xml:space="preserve"> Street</w:t>
            </w:r>
          </w:p>
        </w:tc>
        <w:tc>
          <w:tcPr>
            <w:tcW w:w="1220" w:type="dxa"/>
            <w:vAlign w:val="bottom"/>
            <w:vMerge w:val="restart"/>
          </w:tcPr>
          <w:p>
            <w:pPr>
              <w:jc w:val="right"/>
              <w:ind w:right="74"/>
              <w:spacing w:after="0"/>
              <w:rPr>
                <w:sz w:val="20"/>
                <w:szCs w:val="20"/>
                <w:color w:val="auto"/>
              </w:rPr>
            </w:pPr>
            <w:r>
              <w:rPr>
                <w:rFonts w:ascii="Arial" w:cs="Arial" w:eastAsia="Arial" w:hAnsi="Arial"/>
                <w:sz w:val="18"/>
                <w:szCs w:val="18"/>
                <w:b w:val="1"/>
                <w:bCs w:val="1"/>
                <w:color w:val="auto"/>
              </w:rPr>
              <w:t>33178</w:t>
            </w:r>
          </w:p>
        </w:tc>
        <w:tc>
          <w:tcPr>
            <w:tcW w:w="0" w:type="dxa"/>
            <w:vAlign w:val="bottom"/>
          </w:tcPr>
          <w:p>
            <w:pPr>
              <w:spacing w:after="0"/>
              <w:rPr>
                <w:sz w:val="1"/>
                <w:szCs w:val="1"/>
                <w:color w:val="auto"/>
              </w:rPr>
            </w:pPr>
          </w:p>
        </w:tc>
      </w:tr>
      <w:tr>
        <w:trPr>
          <w:trHeight w:val="180"/>
        </w:trPr>
        <w:tc>
          <w:tcPr>
            <w:tcW w:w="7760" w:type="dxa"/>
            <w:vAlign w:val="bottom"/>
          </w:tcPr>
          <w:p>
            <w:pPr>
              <w:jc w:val="center"/>
              <w:ind w:right="5314"/>
              <w:spacing w:after="0" w:line="181" w:lineRule="exact"/>
              <w:rPr>
                <w:sz w:val="20"/>
                <w:szCs w:val="20"/>
                <w:color w:val="auto"/>
              </w:rPr>
            </w:pPr>
            <w:r>
              <w:rPr>
                <w:rFonts w:ascii="Arial" w:cs="Arial" w:eastAsia="Arial" w:hAnsi="Arial"/>
                <w:sz w:val="18"/>
                <w:szCs w:val="18"/>
                <w:b w:val="1"/>
                <w:bCs w:val="1"/>
                <w:color w:val="auto"/>
                <w:w w:val="95"/>
              </w:rPr>
              <w:t>Miami, Florida</w:t>
            </w:r>
          </w:p>
        </w:tc>
        <w:tc>
          <w:tcPr>
            <w:tcW w:w="12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8"/>
        </w:trPr>
        <w:tc>
          <w:tcPr>
            <w:tcW w:w="7760" w:type="dxa"/>
            <w:vAlign w:val="bottom"/>
          </w:tcPr>
          <w:p>
            <w:pPr>
              <w:jc w:val="center"/>
              <w:ind w:right="5294"/>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1220" w:type="dxa"/>
            <w:vAlign w:val="bottom"/>
          </w:tcPr>
          <w:p>
            <w:pPr>
              <w:jc w:val="center"/>
              <w:ind w:left="374"/>
              <w:spacing w:after="0"/>
              <w:rPr>
                <w:sz w:val="20"/>
                <w:szCs w:val="20"/>
                <w:color w:val="auto"/>
              </w:rPr>
            </w:pPr>
            <w:r>
              <w:rPr>
                <w:rFonts w:ascii="Arial" w:cs="Arial" w:eastAsia="Arial" w:hAnsi="Arial"/>
                <w:sz w:val="16"/>
                <w:szCs w:val="16"/>
                <w:b w:val="1"/>
                <w:bCs w:val="1"/>
                <w:color w:val="auto"/>
                <w:w w:val="96"/>
              </w:rPr>
              <w:t>(Zip Code)</w:t>
            </w:r>
          </w:p>
        </w:tc>
        <w:tc>
          <w:tcPr>
            <w:tcW w:w="0" w:type="dxa"/>
            <w:vAlign w:val="bottom"/>
          </w:tcPr>
          <w:p>
            <w:pPr>
              <w:spacing w:after="0"/>
              <w:rPr>
                <w:sz w:val="1"/>
                <w:szCs w:val="1"/>
                <w:color w:val="auto"/>
              </w:rPr>
            </w:pPr>
          </w:p>
        </w:tc>
      </w:tr>
      <w:tr>
        <w:trPr>
          <w:trHeight w:val="444"/>
        </w:trPr>
        <w:tc>
          <w:tcPr>
            <w:tcW w:w="7760" w:type="dxa"/>
            <w:vAlign w:val="bottom"/>
          </w:tcPr>
          <w:p>
            <w:pPr>
              <w:ind w:left="2120"/>
              <w:spacing w:after="0"/>
              <w:rPr>
                <w:sz w:val="20"/>
                <w:szCs w:val="20"/>
                <w:color w:val="auto"/>
              </w:rPr>
            </w:pPr>
            <w:r>
              <w:rPr>
                <w:rFonts w:ascii="Arial" w:cs="Arial" w:eastAsia="Arial" w:hAnsi="Arial"/>
                <w:sz w:val="18"/>
                <w:szCs w:val="18"/>
                <w:b w:val="1"/>
                <w:bCs w:val="1"/>
                <w:color w:val="auto"/>
                <w:w w:val="97"/>
              </w:rPr>
              <w:t>Registrant’s telephone number, including area code: (305) 428-8000</w:t>
            </w: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2" w:lineRule="exact"/>
        <w:rPr>
          <w:sz w:val="24"/>
          <w:szCs w:val="24"/>
          <w:color w:val="auto"/>
        </w:rPr>
      </w:pPr>
    </w:p>
    <w:p>
      <w:pPr>
        <w:ind w:right="180" w:firstLine="648"/>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Securities Act (17 CFR 230.425)</w:t>
      </w:r>
    </w:p>
    <w:p>
      <w:pPr>
        <w:spacing w:after="0" w:line="2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93" w:lineRule="exact"/>
        <w:rPr>
          <w:sz w:val="24"/>
          <w:szCs w:val="24"/>
          <w:color w:val="auto"/>
        </w:rPr>
      </w:pPr>
    </w:p>
    <w:p>
      <w:pPr>
        <w:ind w:firstLine="648"/>
        <w:spacing w:after="0" w:line="282"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 w:lineRule="exact"/>
        <w:rPr>
          <w:sz w:val="24"/>
          <w:szCs w:val="24"/>
          <w:color w:val="auto"/>
        </w:rPr>
      </w:pPr>
    </w:p>
    <w:p>
      <w:pPr>
        <w:ind w:left="650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03" w:lineRule="exact"/>
        <w:rPr>
          <w:sz w:val="24"/>
          <w:szCs w:val="24"/>
          <w:color w:val="auto"/>
        </w:rPr>
      </w:pPr>
    </w:p>
    <w:p>
      <w:pPr>
        <w:ind w:firstLine="648"/>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380"/>
          </w:cols>
          <w:pgMar w:left="240" w:top="679" w:right="279" w:bottom="1440" w:gutter="0" w:footer="0" w:header="0"/>
          <w:type w:val="continuous"/>
        </w:sectPr>
      </w:pPr>
    </w:p>
    <w:bookmarkStart w:id="1" w:name="page2"/>
    <w:bookmarkEnd w:id="1"/>
    <w:p>
      <w:pPr>
        <w:spacing w:after="0"/>
        <w:rPr>
          <w:sz w:val="20"/>
          <w:szCs w:val="20"/>
          <w:color w:val="auto"/>
        </w:rPr>
      </w:pPr>
      <w:r>
        <w:rPr>
          <w:rFonts w:ascii="Arial" w:cs="Arial" w:eastAsia="Arial" w:hAnsi="Arial"/>
          <w:sz w:val="22"/>
          <w:szCs w:val="22"/>
          <w:b w:val="1"/>
          <w:bCs w:val="1"/>
          <w:color w:val="auto"/>
        </w:rPr>
        <w:t>Item 2.02. Results of Operations and Financial Condition</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7.01. Regulation FD Disclosure</w:t>
      </w:r>
    </w:p>
    <w:p>
      <w:pPr>
        <w:spacing w:after="0" w:line="26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following information is provided pursuant to Item 7.01 of Form 8-K, “Regulation FD Disclosure” and Item 2.02 of Form 8-K, “Results of Operations and Financial Condition.”</w:t>
      </w:r>
    </w:p>
    <w:p>
      <w:pPr>
        <w:spacing w:after="0" w:line="211"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On July 26, 2018, World Fuel Services Corporation (the “Company”) issued a press release reporting its financial results for the second quarter ended June 30, 2018. A copy of the press release is attached hereto as Exhibit 99.1.</w:t>
      </w:r>
    </w:p>
    <w:p>
      <w:pPr>
        <w:spacing w:after="0" w:line="17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9.01. Financial Statements and Exhibits</w:t>
      </w:r>
    </w:p>
    <w:p>
      <w:pPr>
        <w:spacing w:after="0" w:line="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 Exhibits</w:t>
      </w:r>
    </w:p>
    <w:p>
      <w:pPr>
        <w:spacing w:after="0" w:line="200" w:lineRule="exact"/>
        <w:rPr>
          <w:sz w:val="20"/>
          <w:szCs w:val="20"/>
          <w:color w:val="auto"/>
        </w:rPr>
      </w:pPr>
    </w:p>
    <w:p>
      <w:pPr>
        <w:spacing w:after="0" w:line="332"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880" w:type="dxa"/>
            <w:vAlign w:val="bottom"/>
            <w:gridSpan w:val="2"/>
          </w:tcPr>
          <w:p>
            <w:pPr>
              <w:spacing w:after="0"/>
              <w:rPr>
                <w:sz w:val="20"/>
                <w:szCs w:val="20"/>
                <w:color w:val="auto"/>
              </w:rPr>
            </w:pPr>
            <w:r>
              <w:rPr>
                <w:rFonts w:ascii="Arial" w:cs="Arial" w:eastAsia="Arial" w:hAnsi="Arial"/>
                <w:sz w:val="18"/>
                <w:szCs w:val="18"/>
                <w:b w:val="1"/>
                <w:bCs w:val="1"/>
                <w:color w:val="auto"/>
                <w:w w:val="91"/>
              </w:rPr>
              <w:t>Exhibit No.</w:t>
            </w:r>
          </w:p>
        </w:tc>
        <w:tc>
          <w:tcPr>
            <w:tcW w:w="2100" w:type="dxa"/>
            <w:vAlign w:val="bottom"/>
          </w:tcPr>
          <w:p>
            <w:pPr>
              <w:spacing w:after="0"/>
              <w:rPr>
                <w:sz w:val="17"/>
                <w:szCs w:val="17"/>
                <w:color w:val="auto"/>
              </w:rPr>
            </w:pPr>
          </w:p>
        </w:tc>
        <w:tc>
          <w:tcPr>
            <w:tcW w:w="2480" w:type="dxa"/>
            <w:vAlign w:val="bottom"/>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20"/>
        </w:trPr>
        <w:tc>
          <w:tcPr>
            <w:tcW w:w="3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r>
      <w:tr>
        <w:trPr>
          <w:trHeight w:val="250"/>
        </w:trPr>
        <w:tc>
          <w:tcPr>
            <w:tcW w:w="320" w:type="dxa"/>
            <w:vAlign w:val="bottom"/>
            <w:tcBorders>
              <w:bottom w:val="single" w:sz="8" w:color="0000FF"/>
            </w:tcBorders>
          </w:tcPr>
          <w:p>
            <w:pPr>
              <w:spacing w:after="0"/>
              <w:rPr>
                <w:rFonts w:ascii="Arial" w:cs="Arial" w:eastAsia="Arial" w:hAnsi="Arial"/>
                <w:sz w:val="18"/>
                <w:szCs w:val="18"/>
                <w:color w:val="0000FF"/>
                <w:w w:val="85"/>
              </w:rPr>
            </w:pPr>
            <w:hyperlink w:anchor="page5">
              <w:r>
                <w:rPr>
                  <w:rFonts w:ascii="Arial" w:cs="Arial" w:eastAsia="Arial" w:hAnsi="Arial"/>
                  <w:sz w:val="18"/>
                  <w:szCs w:val="18"/>
                  <w:color w:val="0000FF"/>
                  <w:w w:val="85"/>
                </w:rPr>
                <w:t>99.</w:t>
              </w:r>
              <w:r>
                <w:rPr>
                  <w:rFonts w:ascii="Arial" w:cs="Arial" w:eastAsia="Arial" w:hAnsi="Arial"/>
                  <w:sz w:val="18"/>
                  <w:szCs w:val="18"/>
                  <w:u w:val="single" w:color="auto"/>
                  <w:color w:val="0000FF"/>
                  <w:w w:val="85"/>
                </w:rPr>
                <w:t>1</w:t>
              </w:r>
            </w:hyperlink>
          </w:p>
        </w:tc>
        <w:tc>
          <w:tcPr>
            <w:tcW w:w="560" w:type="dxa"/>
            <w:vAlign w:val="bottom"/>
          </w:tcPr>
          <w:p>
            <w:pPr>
              <w:spacing w:after="0"/>
              <w:rPr>
                <w:sz w:val="21"/>
                <w:szCs w:val="21"/>
                <w:color w:val="auto"/>
              </w:rPr>
            </w:pPr>
          </w:p>
        </w:tc>
        <w:tc>
          <w:tcPr>
            <w:tcW w:w="2100" w:type="dxa"/>
            <w:vAlign w:val="bottom"/>
          </w:tcPr>
          <w:p>
            <w:pPr>
              <w:spacing w:after="0"/>
              <w:rPr>
                <w:sz w:val="21"/>
                <w:szCs w:val="21"/>
                <w:color w:val="auto"/>
              </w:rPr>
            </w:pPr>
          </w:p>
        </w:tc>
        <w:tc>
          <w:tcPr>
            <w:tcW w:w="2480" w:type="dxa"/>
            <w:vAlign w:val="bottom"/>
            <w:gridSpan w:val="2"/>
          </w:tcPr>
          <w:p>
            <w:pPr>
              <w:spacing w:after="0"/>
              <w:rPr>
                <w:sz w:val="20"/>
                <w:szCs w:val="20"/>
                <w:color w:val="auto"/>
              </w:rPr>
            </w:pPr>
            <w:r>
              <w:rPr>
                <w:rFonts w:ascii="Arial" w:cs="Arial" w:eastAsia="Arial" w:hAnsi="Arial"/>
                <w:sz w:val="18"/>
                <w:szCs w:val="18"/>
                <w:color w:val="auto"/>
                <w:w w:val="86"/>
              </w:rPr>
              <w:t>Press Release, dated July 26, 2018</w:t>
            </w:r>
          </w:p>
        </w:tc>
      </w:tr>
    </w:tbl>
    <w:p>
      <w:pPr>
        <w:sectPr>
          <w:pgSz w:w="11900" w:h="16838" w:orient="portrait"/>
          <w:cols w:equalWidth="0" w:num="1">
            <w:col w:w="11420"/>
          </w:cols>
          <w:pgMar w:left="240" w:top="585"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color w:val="auto"/>
        </w:rPr>
        <w:t>SIGNATURES</w:t>
      </w:r>
    </w:p>
    <w:p>
      <w:pPr>
        <w:spacing w:after="0" w:line="13"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40"/>
        <w:spacing w:after="0"/>
        <w:tabs>
          <w:tab w:leader="none" w:pos="5960" w:val="left"/>
        </w:tabs>
        <w:rPr>
          <w:sz w:val="20"/>
          <w:szCs w:val="20"/>
          <w:color w:val="auto"/>
        </w:rPr>
      </w:pPr>
      <w:r>
        <w:rPr>
          <w:rFonts w:ascii="Arial" w:cs="Arial" w:eastAsia="Arial" w:hAnsi="Arial"/>
          <w:sz w:val="18"/>
          <w:szCs w:val="18"/>
          <w:color w:val="auto"/>
        </w:rPr>
        <w:t>Date: July 26, 2018</w:t>
      </w:r>
      <w:r>
        <w:rPr>
          <w:sz w:val="20"/>
          <w:szCs w:val="20"/>
          <w:color w:val="auto"/>
        </w:rPr>
        <w:tab/>
      </w:r>
      <w:r>
        <w:rPr>
          <w:rFonts w:ascii="Arial" w:cs="Arial" w:eastAsia="Arial" w:hAnsi="Arial"/>
          <w:sz w:val="16"/>
          <w:szCs w:val="16"/>
          <w:b w:val="1"/>
          <w:bCs w:val="1"/>
          <w:color w:val="auto"/>
        </w:rPr>
        <w:t>World Fuel Services Corporation</w:t>
      </w:r>
    </w:p>
    <w:p>
      <w:pPr>
        <w:spacing w:after="0" w:line="337"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31750</wp:posOffset>
            </wp:positionV>
            <wp:extent cx="347345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57"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Ira M. Birns</w:t>
      </w:r>
    </w:p>
    <w:p>
      <w:pPr>
        <w:spacing w:after="0" w:line="6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Executive Vice President and Chief Financial Officer</w:t>
      </w:r>
    </w:p>
    <w:p>
      <w:pPr>
        <w:sectPr>
          <w:pgSz w:w="11900" w:h="16838" w:orient="portrait"/>
          <w:cols w:equalWidth="0" w:num="1">
            <w:col w:w="11420"/>
          </w:cols>
          <w:pgMar w:left="240" w:top="901"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75"/>
        </w:trPr>
        <w:tc>
          <w:tcPr>
            <w:tcW w:w="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38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80" w:type="dxa"/>
            <w:vAlign w:val="bottom"/>
          </w:tcPr>
          <w:p>
            <w:pPr>
              <w:ind w:left="1580"/>
              <w:spacing w:after="0"/>
              <w:rPr>
                <w:sz w:val="20"/>
                <w:szCs w:val="20"/>
                <w:color w:val="auto"/>
              </w:rPr>
            </w:pPr>
            <w:r>
              <w:rPr>
                <w:rFonts w:ascii="Arial" w:cs="Arial" w:eastAsia="Arial" w:hAnsi="Arial"/>
                <w:sz w:val="22"/>
                <w:szCs w:val="22"/>
                <w:color w:val="auto"/>
              </w:rPr>
              <w:t>EXHIBIT INDEX</w:t>
            </w:r>
          </w:p>
        </w:tc>
      </w:tr>
      <w:tr>
        <w:trPr>
          <w:trHeight w:val="625"/>
        </w:trPr>
        <w:tc>
          <w:tcPr>
            <w:tcW w:w="40" w:type="dxa"/>
            <w:vAlign w:val="bottom"/>
          </w:tcPr>
          <w:p>
            <w:pPr>
              <w:spacing w:after="0"/>
              <w:rPr>
                <w:sz w:val="24"/>
                <w:szCs w:val="24"/>
                <w:color w:val="auto"/>
              </w:rPr>
            </w:pPr>
          </w:p>
        </w:tc>
        <w:tc>
          <w:tcPr>
            <w:tcW w:w="3300" w:type="dxa"/>
            <w:vAlign w:val="bottom"/>
            <w:gridSpan w:val="3"/>
          </w:tcPr>
          <w:p>
            <w:pPr>
              <w:spacing w:after="0"/>
              <w:rPr>
                <w:sz w:val="20"/>
                <w:szCs w:val="20"/>
                <w:color w:val="auto"/>
              </w:rPr>
            </w:pPr>
            <w:r>
              <w:rPr>
                <w:rFonts w:ascii="Arial" w:cs="Arial" w:eastAsia="Arial" w:hAnsi="Arial"/>
                <w:sz w:val="18"/>
                <w:szCs w:val="18"/>
                <w:color w:val="auto"/>
              </w:rPr>
              <w:t>Exhibit No.</w:t>
            </w:r>
          </w:p>
        </w:tc>
        <w:tc>
          <w:tcPr>
            <w:tcW w:w="8080" w:type="dxa"/>
            <w:vAlign w:val="bottom"/>
          </w:tcPr>
          <w:p>
            <w:pPr>
              <w:ind w:left="20"/>
              <w:spacing w:after="0"/>
              <w:rPr>
                <w:sz w:val="20"/>
                <w:szCs w:val="20"/>
                <w:color w:val="auto"/>
              </w:rPr>
            </w:pPr>
            <w:r>
              <w:rPr>
                <w:rFonts w:ascii="Arial" w:cs="Arial" w:eastAsia="Arial" w:hAnsi="Arial"/>
                <w:sz w:val="18"/>
                <w:szCs w:val="18"/>
                <w:color w:val="auto"/>
              </w:rPr>
              <w:t>Description</w:t>
            </w:r>
          </w:p>
        </w:tc>
      </w:tr>
      <w:tr>
        <w:trPr>
          <w:trHeight w:val="27"/>
        </w:trPr>
        <w:tc>
          <w:tcPr>
            <w:tcW w:w="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600" w:type="dxa"/>
            <w:vAlign w:val="bottom"/>
          </w:tcPr>
          <w:p>
            <w:pPr>
              <w:spacing w:after="0"/>
              <w:rPr>
                <w:sz w:val="2"/>
                <w:szCs w:val="2"/>
                <w:color w:val="auto"/>
              </w:rPr>
            </w:pPr>
          </w:p>
        </w:tc>
        <w:tc>
          <w:tcPr>
            <w:tcW w:w="8080" w:type="dxa"/>
            <w:vAlign w:val="bottom"/>
            <w:tcBorders>
              <w:bottom w:val="single" w:sz="8" w:color="auto"/>
            </w:tcBorders>
          </w:tcPr>
          <w:p>
            <w:pPr>
              <w:spacing w:after="0"/>
              <w:rPr>
                <w:sz w:val="2"/>
                <w:szCs w:val="2"/>
                <w:color w:val="auto"/>
              </w:rPr>
            </w:pPr>
          </w:p>
        </w:tc>
      </w:tr>
      <w:tr>
        <w:trPr>
          <w:trHeight w:val="196"/>
        </w:trPr>
        <w:tc>
          <w:tcPr>
            <w:tcW w:w="360" w:type="dxa"/>
            <w:vAlign w:val="bottom"/>
            <w:gridSpan w:val="2"/>
          </w:tcPr>
          <w:p>
            <w:pPr>
              <w:ind w:left="40"/>
              <w:spacing w:after="0" w:line="182" w:lineRule="exact"/>
              <w:rPr>
                <w:rFonts w:ascii="Arial" w:cs="Arial" w:eastAsia="Arial" w:hAnsi="Arial"/>
                <w:sz w:val="18"/>
                <w:szCs w:val="18"/>
                <w:color w:val="0000FF"/>
                <w:w w:val="85"/>
              </w:rPr>
            </w:pPr>
            <w:hyperlink w:anchor="page5">
              <w:r>
                <w:rPr>
                  <w:rFonts w:ascii="Arial" w:cs="Arial" w:eastAsia="Arial" w:hAnsi="Arial"/>
                  <w:sz w:val="18"/>
                  <w:szCs w:val="18"/>
                  <w:color w:val="0000FF"/>
                  <w:w w:val="85"/>
                </w:rPr>
                <w:t>99.</w:t>
              </w:r>
              <w:r>
                <w:rPr>
                  <w:rFonts w:ascii="Arial" w:cs="Arial" w:eastAsia="Arial" w:hAnsi="Arial"/>
                  <w:sz w:val="18"/>
                  <w:szCs w:val="18"/>
                  <w:u w:val="single" w:color="auto"/>
                  <w:color w:val="0000FF"/>
                  <w:w w:val="85"/>
                </w:rPr>
                <w:t>1</w:t>
              </w:r>
            </w:hyperlink>
          </w:p>
        </w:tc>
        <w:tc>
          <w:tcPr>
            <w:tcW w:w="23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8080" w:type="dxa"/>
            <w:vAlign w:val="bottom"/>
          </w:tcPr>
          <w:p>
            <w:pPr>
              <w:ind w:left="20"/>
              <w:spacing w:after="0" w:line="182" w:lineRule="exact"/>
              <w:rPr>
                <w:sz w:val="20"/>
                <w:szCs w:val="20"/>
                <w:color w:val="auto"/>
              </w:rPr>
            </w:pPr>
            <w:r>
              <w:rPr>
                <w:rFonts w:ascii="Arial" w:cs="Arial" w:eastAsia="Arial" w:hAnsi="Arial"/>
                <w:sz w:val="18"/>
                <w:szCs w:val="18"/>
                <w:color w:val="auto"/>
              </w:rPr>
              <w:t>Press Release, dated July 26, 2018</w:t>
            </w:r>
          </w:p>
        </w:tc>
      </w:tr>
      <w:tr>
        <w:trPr>
          <w:trHeight w:val="20"/>
        </w:trPr>
        <w:tc>
          <w:tcPr>
            <w:tcW w:w="4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80" w:type="dxa"/>
            <w:vAlign w:val="bottom"/>
          </w:tcPr>
          <w:p>
            <w:pPr>
              <w:spacing w:after="0" w:line="20" w:lineRule="exact"/>
              <w:rPr>
                <w:sz w:val="1"/>
                <w:szCs w:val="1"/>
                <w:color w:val="auto"/>
              </w:rPr>
            </w:pPr>
          </w:p>
        </w:tc>
      </w:tr>
    </w:tbl>
    <w:p>
      <w:pPr>
        <w:sectPr>
          <w:pgSz w:w="11900" w:h="16838" w:orient="portrait"/>
          <w:cols w:equalWidth="0" w:num="1">
            <w:col w:w="11420"/>
          </w:cols>
          <w:pgMar w:left="240" w:top="591" w:right="239" w:bottom="1440" w:gutter="0" w:footer="0" w:header="0"/>
        </w:sectPr>
      </w:pPr>
    </w:p>
    <w:bookmarkStart w:id="4" w:name="page5"/>
    <w:bookmarkEnd w:id="4"/>
    <w:p>
      <w:pPr>
        <w:jc w:val="right"/>
        <w:spacing w:after="0"/>
        <w:rPr>
          <w:sz w:val="20"/>
          <w:szCs w:val="20"/>
          <w:color w:val="auto"/>
        </w:rPr>
      </w:pPr>
      <w:r>
        <w:rPr>
          <w:rFonts w:ascii="Arial" w:cs="Arial" w:eastAsia="Arial" w:hAnsi="Arial"/>
          <w:sz w:val="20"/>
          <w:szCs w:val="20"/>
          <w:b w:val="1"/>
          <w:bCs w:val="1"/>
          <w:color w:val="auto"/>
        </w:rPr>
        <w:t>Exhibit 99.1</w:t>
      </w:r>
    </w:p>
    <w:p>
      <w:pPr>
        <w:spacing w:after="0" w:line="200" w:lineRule="exact"/>
        <w:rPr>
          <w:sz w:val="20"/>
          <w:szCs w:val="20"/>
          <w:color w:val="auto"/>
        </w:rPr>
      </w:pPr>
    </w:p>
    <w:p>
      <w:pPr>
        <w:spacing w:after="0" w:line="332" w:lineRule="exact"/>
        <w:rPr>
          <w:sz w:val="20"/>
          <w:szCs w:val="20"/>
          <w:color w:val="auto"/>
        </w:rPr>
      </w:pPr>
    </w:p>
    <w:p>
      <w:pPr>
        <w:ind w:left="7660"/>
        <w:spacing w:after="0"/>
        <w:rPr>
          <w:sz w:val="20"/>
          <w:szCs w:val="20"/>
          <w:color w:val="auto"/>
        </w:rPr>
      </w:pPr>
      <w:r>
        <w:rPr>
          <w:rFonts w:ascii="Arial" w:cs="Arial" w:eastAsia="Arial" w:hAnsi="Arial"/>
          <w:sz w:val="20"/>
          <w:szCs w:val="20"/>
          <w:u w:val="single" w:color="auto"/>
          <w:color w:val="auto"/>
        </w:rPr>
        <w:t>Contact: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-117475</wp:posOffset>
            </wp:positionV>
            <wp:extent cx="2324100" cy="9779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324100" cy="977900"/>
                    </a:xfrm>
                    <a:prstGeom prst="rect">
                      <a:avLst/>
                    </a:prstGeom>
                    <a:noFill/>
                  </pic:spPr>
                </pic:pic>
              </a:graphicData>
            </a:graphic>
          </wp:anchor>
        </w:drawing>
      </w:r>
    </w:p>
    <w:p>
      <w:pPr>
        <w:ind w:left="7660"/>
        <w:spacing w:after="0"/>
        <w:rPr>
          <w:sz w:val="20"/>
          <w:szCs w:val="20"/>
          <w:color w:val="auto"/>
        </w:rPr>
      </w:pPr>
      <w:r>
        <w:rPr>
          <w:rFonts w:ascii="Arial" w:cs="Arial" w:eastAsia="Arial" w:hAnsi="Arial"/>
          <w:sz w:val="20"/>
          <w:szCs w:val="20"/>
          <w:color w:val="auto"/>
        </w:rPr>
        <w:t>Ira M. Birns, Executive Vice President &amp;</w:t>
      </w:r>
    </w:p>
    <w:p>
      <w:pPr>
        <w:ind w:left="7660"/>
        <w:spacing w:after="0"/>
        <w:rPr>
          <w:sz w:val="20"/>
          <w:szCs w:val="20"/>
          <w:color w:val="auto"/>
        </w:rPr>
      </w:pPr>
      <w:r>
        <w:rPr>
          <w:rFonts w:ascii="Arial" w:cs="Arial" w:eastAsia="Arial" w:hAnsi="Arial"/>
          <w:sz w:val="20"/>
          <w:szCs w:val="20"/>
          <w:color w:val="auto"/>
        </w:rPr>
        <w:t>Chief Financial Officer</w:t>
      </w:r>
    </w:p>
    <w:p>
      <w:pPr>
        <w:spacing w:after="0" w:line="213" w:lineRule="exact"/>
        <w:rPr>
          <w:sz w:val="20"/>
          <w:szCs w:val="20"/>
          <w:color w:val="auto"/>
        </w:rPr>
      </w:pPr>
    </w:p>
    <w:p>
      <w:pPr>
        <w:ind w:left="7660"/>
        <w:spacing w:after="0"/>
        <w:rPr>
          <w:sz w:val="20"/>
          <w:szCs w:val="20"/>
          <w:color w:val="auto"/>
        </w:rPr>
      </w:pPr>
      <w:r>
        <w:rPr>
          <w:rFonts w:ascii="Arial" w:cs="Arial" w:eastAsia="Arial" w:hAnsi="Arial"/>
          <w:sz w:val="20"/>
          <w:szCs w:val="20"/>
          <w:color w:val="auto"/>
        </w:rPr>
        <w:t>Glenn Klevitz</w:t>
      </w:r>
    </w:p>
    <w:p>
      <w:pPr>
        <w:spacing w:after="0" w:line="15" w:lineRule="exact"/>
        <w:rPr>
          <w:sz w:val="20"/>
          <w:szCs w:val="20"/>
          <w:color w:val="auto"/>
        </w:rPr>
      </w:pPr>
    </w:p>
    <w:p>
      <w:pPr>
        <w:ind w:left="7660"/>
        <w:spacing w:after="0"/>
        <w:rPr>
          <w:sz w:val="20"/>
          <w:szCs w:val="20"/>
          <w:color w:val="auto"/>
        </w:rPr>
      </w:pPr>
      <w:r>
        <w:rPr>
          <w:rFonts w:ascii="Arial" w:cs="Arial" w:eastAsia="Arial" w:hAnsi="Arial"/>
          <w:sz w:val="20"/>
          <w:szCs w:val="20"/>
          <w:color w:val="auto"/>
        </w:rPr>
        <w:t>Vice President, Assistant Treasurer</w:t>
      </w:r>
    </w:p>
    <w:p>
      <w:pPr>
        <w:ind w:left="7660"/>
        <w:spacing w:after="0"/>
        <w:rPr>
          <w:sz w:val="20"/>
          <w:szCs w:val="20"/>
          <w:color w:val="auto"/>
        </w:rPr>
      </w:pPr>
      <w:r>
        <w:rPr>
          <w:rFonts w:ascii="Arial" w:cs="Arial" w:eastAsia="Arial" w:hAnsi="Arial"/>
          <w:sz w:val="20"/>
          <w:szCs w:val="20"/>
          <w:color w:val="auto"/>
        </w:rPr>
        <w:t>305-428-8000</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World Fuel Services Corporation Reports Second Quarter 2018 Results</w:t>
      </w: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22"/>
          <w:szCs w:val="22"/>
          <w:color w:val="auto"/>
        </w:rPr>
        <w:t>MIAMI—July 26, 2018-- World Fuel Services Corporation (NYSE: INT)</w:t>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Second-Quarter 2018 Highlights</w:t>
      </w:r>
    </w:p>
    <w:p>
      <w:pPr>
        <w:spacing w:after="0" w:line="118" w:lineRule="exact"/>
        <w:rPr>
          <w:sz w:val="20"/>
          <w:szCs w:val="20"/>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GAAP net income of $28.7 million or $0.42 per diluted share</w:t>
      </w:r>
    </w:p>
    <w:p>
      <w:pPr>
        <w:spacing w:after="0" w:line="57"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Adjusted net income of $31.7 million, or $0.47 per diluted share</w:t>
      </w:r>
    </w:p>
    <w:p>
      <w:pPr>
        <w:spacing w:after="0" w:line="21"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Total of 5.1 billion gallons of fuel sold</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Total gross profit of $246.2 million, up 7% year-over-year</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Adjusted EBITDA of $84.2 million, up 8% year-over-year</w:t>
      </w:r>
    </w:p>
    <w:p>
      <w:pPr>
        <w:spacing w:after="0" w:line="242" w:lineRule="exact"/>
        <w:rPr>
          <w:sz w:val="20"/>
          <w:szCs w:val="20"/>
          <w:color w:val="auto"/>
        </w:rPr>
      </w:pPr>
    </w:p>
    <w:p>
      <w:pPr>
        <w:ind w:right="640"/>
        <w:spacing w:after="0" w:line="312" w:lineRule="auto"/>
        <w:rPr>
          <w:sz w:val="20"/>
          <w:szCs w:val="20"/>
          <w:color w:val="auto"/>
        </w:rPr>
      </w:pPr>
      <w:r>
        <w:rPr>
          <w:rFonts w:ascii="Arial" w:cs="Arial" w:eastAsia="Arial" w:hAnsi="Arial"/>
          <w:sz w:val="19"/>
          <w:szCs w:val="19"/>
          <w:color w:val="auto"/>
        </w:rPr>
        <w:t>“During the second quarter, our aviation segment posted record profitability,” stated Michael J. Kasbar, chairman and chief executive officer of World Fuel Services Corporation. “Our focus on operating efficiencies, portfolio refinement and organic growth initiatives should position the company for improved operating performance in 2018 and 2019.”</w:t>
      </w:r>
    </w:p>
    <w:p>
      <w:pPr>
        <w:spacing w:after="0" w:line="174" w:lineRule="exact"/>
        <w:rPr>
          <w:sz w:val="20"/>
          <w:szCs w:val="20"/>
          <w:color w:val="auto"/>
        </w:rPr>
      </w:pPr>
    </w:p>
    <w:p>
      <w:pPr>
        <w:ind w:right="120"/>
        <w:spacing w:after="0" w:line="247" w:lineRule="auto"/>
        <w:rPr>
          <w:sz w:val="20"/>
          <w:szCs w:val="20"/>
          <w:color w:val="auto"/>
        </w:rPr>
      </w:pPr>
      <w:r>
        <w:rPr>
          <w:rFonts w:ascii="Arial" w:cs="Arial" w:eastAsia="Arial" w:hAnsi="Arial"/>
          <w:sz w:val="22"/>
          <w:szCs w:val="22"/>
          <w:color w:val="auto"/>
        </w:rPr>
        <w:t>For the quarter, the company’s aviation segment generated gross profit of $127.4 million, an increase of 15% year-over-year, primarily driven by strong government-related sales and international core resale operations. The company’s marine segment generated gross profit of $30.2 million, a decrease of 8% year-over-year, primarily due to exiting low return activities. The company’s land segment generated gross profit of $88.6 million, up 2% year-over-year, driven by growth in our payment solutions business and natural gas and power operations, partially offset by our continued reduction of certain non-core activities in North America.</w:t>
      </w:r>
    </w:p>
    <w:p>
      <w:pPr>
        <w:spacing w:after="0" w:line="234" w:lineRule="exact"/>
        <w:rPr>
          <w:sz w:val="20"/>
          <w:szCs w:val="20"/>
          <w:color w:val="auto"/>
        </w:rPr>
      </w:pPr>
    </w:p>
    <w:p>
      <w:pPr>
        <w:spacing w:after="0" w:line="248" w:lineRule="auto"/>
        <w:rPr>
          <w:sz w:val="20"/>
          <w:szCs w:val="20"/>
          <w:color w:val="auto"/>
        </w:rPr>
      </w:pPr>
      <w:r>
        <w:rPr>
          <w:rFonts w:ascii="Arial" w:cs="Arial" w:eastAsia="Arial" w:hAnsi="Arial"/>
          <w:sz w:val="22"/>
          <w:szCs w:val="22"/>
          <w:color w:val="auto"/>
        </w:rPr>
        <w:t>“Our business performed well and recent cost management initiatives have contributed to a 170 basis point improvement in operating leverage during the first half of the year compared to 2017. These actions contributed to year-over-year adjusted EBITDA improvement for the fifth consecutive quarter,” said Ira M. Birns, executive vice president and chief financial officer. “We remain committed to improving our operating leverage by 250 basis points in 2018 and 2019, which will aid us in growing future profitability and free cash flow.”</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Liquidity and Capital</w:t>
      </w:r>
    </w:p>
    <w:p>
      <w:pPr>
        <w:spacing w:after="0" w:line="266" w:lineRule="exact"/>
        <w:rPr>
          <w:sz w:val="20"/>
          <w:szCs w:val="20"/>
          <w:color w:val="auto"/>
        </w:rPr>
      </w:pPr>
    </w:p>
    <w:p>
      <w:pPr>
        <w:ind w:right="100"/>
        <w:spacing w:after="0" w:line="250" w:lineRule="auto"/>
        <w:rPr>
          <w:sz w:val="20"/>
          <w:szCs w:val="20"/>
          <w:color w:val="auto"/>
        </w:rPr>
      </w:pPr>
      <w:r>
        <w:rPr>
          <w:rFonts w:ascii="Arial" w:cs="Arial" w:eastAsia="Arial" w:hAnsi="Arial"/>
          <w:sz w:val="22"/>
          <w:szCs w:val="22"/>
          <w:color w:val="auto"/>
        </w:rPr>
        <w:t>Cash flow generated from operating activities was $0.3 million for the second quarter of 2018. This reflects the impact of a change in classification of $121.8 million of cash proceeds received from the beneficial interest of receivables sold from cash flow from operating activities to cash flow from investing activities due to a recently adopted accounting standard beginning in 2018. Strong working capital</w:t>
      </w:r>
    </w:p>
    <w:p>
      <w:pPr>
        <w:sectPr>
          <w:pgSz w:w="11900" w:h="16838" w:orient="portrait"/>
          <w:cols w:equalWidth="0" w:num="1">
            <w:col w:w="11420"/>
          </w:cols>
          <w:pgMar w:left="240" w:top="576" w:right="239" w:bottom="1440" w:gutter="0" w:footer="0" w:header="0"/>
        </w:sectPr>
      </w:pPr>
    </w:p>
    <w:bookmarkStart w:id="5" w:name="page6"/>
    <w:bookmarkEnd w:id="5"/>
    <w:p>
      <w:pPr>
        <w:spacing w:after="0" w:line="263" w:lineRule="auto"/>
        <w:rPr>
          <w:sz w:val="20"/>
          <w:szCs w:val="20"/>
          <w:color w:val="auto"/>
        </w:rPr>
      </w:pPr>
      <w:r>
        <w:rPr>
          <w:rFonts w:ascii="Arial" w:cs="Arial" w:eastAsia="Arial" w:hAnsi="Arial"/>
          <w:sz w:val="22"/>
          <w:szCs w:val="22"/>
          <w:color w:val="auto"/>
        </w:rPr>
        <w:t>management contributed to a reduction of our net debt to adjusted EBITDA ratio to 1.9x at June 30, 2018 from 2.2x at March 31, 2018.</w:t>
      </w:r>
    </w:p>
    <w:p>
      <w:pPr>
        <w:sectPr>
          <w:pgSz w:w="11900" w:h="16838" w:orient="portrait"/>
          <w:cols w:equalWidth="0" w:num="1">
            <w:col w:w="11180"/>
          </w:cols>
          <w:pgMar w:left="240" w:top="591" w:right="479" w:bottom="1440" w:gutter="0" w:footer="0" w:header="0"/>
        </w:sectPr>
      </w:pPr>
    </w:p>
    <w:bookmarkStart w:id="6" w:name="page7"/>
    <w:bookmarkEnd w:id="6"/>
    <w:p>
      <w:pPr>
        <w:spacing w:after="0"/>
        <w:rPr>
          <w:sz w:val="20"/>
          <w:szCs w:val="20"/>
          <w:color w:val="auto"/>
        </w:rPr>
      </w:pPr>
      <w:r>
        <w:rPr>
          <w:rFonts w:ascii="Arial" w:cs="Arial" w:eastAsia="Arial" w:hAnsi="Arial"/>
          <w:sz w:val="14"/>
          <w:szCs w:val="14"/>
          <w:u w:val="single" w:color="auto"/>
          <w:color w:val="auto"/>
        </w:rPr>
        <w:t>Non-GAAP Financial Measures</w:t>
      </w:r>
    </w:p>
    <w:p>
      <w:pPr>
        <w:spacing w:after="0" w:line="21" w:lineRule="exact"/>
        <w:rPr>
          <w:sz w:val="20"/>
          <w:szCs w:val="20"/>
          <w:color w:val="auto"/>
        </w:rPr>
      </w:pPr>
    </w:p>
    <w:p>
      <w:pPr>
        <w:ind w:right="40"/>
        <w:spacing w:after="0" w:line="270" w:lineRule="auto"/>
        <w:rPr>
          <w:sz w:val="20"/>
          <w:szCs w:val="20"/>
          <w:color w:val="auto"/>
        </w:rPr>
      </w:pPr>
      <w:r>
        <w:rPr>
          <w:rFonts w:ascii="Arial" w:cs="Arial" w:eastAsia="Arial" w:hAnsi="Arial"/>
          <w:sz w:val="15"/>
          <w:szCs w:val="15"/>
          <w:color w:val="auto"/>
        </w:rPr>
        <w:t>This press release contains non-GAAP financial measures, including adjusted net income, adjusted diluted earnings per share, adjusted earnings before interest, taxes, depreciation and amortization (“EBITDA”), and net debt (collectively, the “Non-GAAP Measures”). The Non-GAAP measures exclude acquisition-related charges and severance and restructuring charges primarily because we do not believe they are reflective of the Company’s core operating results. We believe that the Non-GAAP Measures, when considered in conjunction with our financial information prepared in accordance with GAAP, are useful to investors to further aid in evaluating the ongoing financial performance of the Company and to provide greater transparency as supplemental information to our GAAP results.</w:t>
      </w:r>
    </w:p>
    <w:p>
      <w:pPr>
        <w:spacing w:after="0" w:line="85" w:lineRule="exact"/>
        <w:rPr>
          <w:sz w:val="20"/>
          <w:szCs w:val="20"/>
          <w:color w:val="auto"/>
        </w:rPr>
      </w:pPr>
    </w:p>
    <w:p>
      <w:pPr>
        <w:ind w:right="120"/>
        <w:spacing w:after="0" w:line="295" w:lineRule="auto"/>
        <w:rPr>
          <w:sz w:val="20"/>
          <w:szCs w:val="20"/>
          <w:color w:val="auto"/>
        </w:rPr>
      </w:pPr>
      <w:r>
        <w:rPr>
          <w:rFonts w:ascii="Arial" w:cs="Arial" w:eastAsia="Arial" w:hAnsi="Arial"/>
          <w:sz w:val="14"/>
          <w:szCs w:val="14"/>
          <w:color w:val="auto"/>
        </w:rPr>
        <w:t>Non-GAAP financial measures should not be considered in isolation from, or as a substitute for, financial information prepared in accordance with GAAP. In addition, our presentation of the Non-GAAP Measures may not be comparable to the presentation of such metrics by other companies. Non-GAAP diluted earnings per common share is computed by dividing non-GAAP net income attributable to World Fuel Services and available to common shareholders by the sum of the weighted average number of shares of common stock, stock units, restricted stock entitled to dividends not subject to forfeiture and vested restricted stock units outstanding during the period and the number of additional shares of common stock that would have been outstanding if our outstanding potentially dilutive securities had been issued. Investors are encouraged to review the reconciliation of these Non-GAAP Measures to their most directly comparable GAAP financial measures in this press release and on our website.</w:t>
      </w:r>
    </w:p>
    <w:p>
      <w:pPr>
        <w:spacing w:after="0" w:line="60"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Information Relating to Forward-Looking Statements</w:t>
      </w:r>
    </w:p>
    <w:p>
      <w:pPr>
        <w:spacing w:after="0" w:line="132" w:lineRule="exact"/>
        <w:rPr>
          <w:sz w:val="20"/>
          <w:szCs w:val="20"/>
          <w:color w:val="auto"/>
        </w:rPr>
      </w:pPr>
    </w:p>
    <w:p>
      <w:pPr>
        <w:spacing w:after="0" w:line="265" w:lineRule="auto"/>
        <w:rPr>
          <w:sz w:val="20"/>
          <w:szCs w:val="20"/>
          <w:color w:val="auto"/>
        </w:rPr>
      </w:pPr>
      <w:r>
        <w:rPr>
          <w:rFonts w:ascii="Arial" w:cs="Arial" w:eastAsia="Arial" w:hAnsi="Arial"/>
          <w:sz w:val="15"/>
          <w:szCs w:val="15"/>
          <w:color w:val="auto"/>
        </w:rPr>
        <w:t>This release includes forward-looking statements within the meaning of the Private Securities Litigation Reform Act of 1995, including statements regarding our beliefs and expectations with respect to our focus on operating efficiencies, portfolio refinement and organic growth initiatives and its impact on operating performance in 2018 and 2019, as well as our expectations about improvements to our operating leverage and growing future profitability and free cash flow. These forward-looking statements are qualified in their entirety by cautionary statements and risk factor disclosures contained in the Company’s Securities and Exchange Commission (“SEC”) filings, including the Company’s most recent Annual Report on Form 10-K filed with the SEC. Actual results may differ materially from any forward-looking statements due to risks and uncertainties, including, but not limited to: our ability to effectively leverage technology and operating systems and realize the anticipated benefits, our ability to successfully execute and achieve efficiencies and other benefits related to our transformation initiatives, our ability to achieve the expected level of benefit from our restructuring activities and cost reduction initiatives, unanticipated tax liabilities or adverse results of tax audits, assessments, or disputes, our ability to successfully implement our growth strategy, our ability to effectively integrate acquired businesses and recognize the anticipated benefits, risks related to the complexity of U.S. Tax Reform and our ability to accurately predict its impact on our returns, our ability to capitalize on new market opportunities and changes in supply and other market dynamics in the regions where we operate, potential liabilities and the extent of any insurance coverage, the outcome of pending litigation and other proceedings, risks related to the complexity of U.S. Tax Reform and our ability to accurately predict its impact on our future earnings, the impact of quarterly fluctuations in results, particularly as a result of seasonality, the creditworthiness of our customers and counterparties and our ability to collect accounts receivable, fluctuations in world oil prices or foreign currency, changes in political, economic, regulatory, or environmental conditions, adverse conditions in the markets or industries in which we or our customers and suppliers operate, our failure to effectively hedge certain financial risks associated with the use of derivatives, non-performance by counterparties or customers on derivatives contracts, loss of, or reduced sales, to a significant government customer, uninsured losses, the impact of natural disasters, adverse results in legal disputes, our ability to retain and attract senior management and other key employees and other risks detailed from time to time in our SEC filings. New risks emerge from time to time and it is not possible for management to predict all such risk factors or to assess the impact of such risks on our business. Accordingly, we undertake no obligation to publicly update or revise any forward-looking statements, whether as a result of new information, changes in expectations, future events, or otherwise, except as required by law.</w:t>
      </w:r>
    </w:p>
    <w:p>
      <w:pPr>
        <w:spacing w:after="0" w:line="86"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About World Fuel Services Corporation</w:t>
      </w:r>
    </w:p>
    <w:p>
      <w:pPr>
        <w:spacing w:after="0" w:line="132" w:lineRule="exact"/>
        <w:rPr>
          <w:sz w:val="20"/>
          <w:szCs w:val="20"/>
          <w:color w:val="auto"/>
        </w:rPr>
      </w:pPr>
    </w:p>
    <w:p>
      <w:pPr>
        <w:ind w:right="200"/>
        <w:spacing w:after="0" w:line="286" w:lineRule="auto"/>
        <w:rPr>
          <w:sz w:val="20"/>
          <w:szCs w:val="20"/>
          <w:color w:val="auto"/>
        </w:rPr>
      </w:pPr>
      <w:r>
        <w:rPr>
          <w:rFonts w:ascii="Arial" w:cs="Arial" w:eastAsia="Arial" w:hAnsi="Arial"/>
          <w:sz w:val="15"/>
          <w:szCs w:val="15"/>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72"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For more information, call 305-428-8000 or visit </w:t>
      </w:r>
      <w:r>
        <w:rPr>
          <w:rFonts w:ascii="Arial" w:cs="Arial" w:eastAsia="Arial" w:hAnsi="Arial"/>
          <w:sz w:val="16"/>
          <w:szCs w:val="16"/>
          <w:u w:val="single" w:color="auto"/>
          <w:color w:val="auto"/>
        </w:rPr>
        <w:t>www.wfscorp.com</w:t>
      </w:r>
      <w:r>
        <w:rPr>
          <w:rFonts w:ascii="Arial" w:cs="Arial" w:eastAsia="Arial" w:hAnsi="Arial"/>
          <w:sz w:val="16"/>
          <w:szCs w:val="16"/>
          <w:color w:val="auto"/>
        </w:rPr>
        <w: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 Some amounts in this press release may not add due to rounding. All percentages have been calculated using unrounded amounts --</w:t>
      </w:r>
    </w:p>
    <w:p>
      <w:pPr>
        <w:sectPr>
          <w:pgSz w:w="11900" w:h="16838" w:orient="portrait"/>
          <w:cols w:equalWidth="0" w:num="1">
            <w:col w:w="11420"/>
          </w:cols>
          <w:pgMar w:left="240" w:top="580" w:right="239" w:bottom="1440" w:gutter="0" w:footer="0" w:header="0"/>
        </w:sectPr>
      </w:pPr>
    </w:p>
    <w:bookmarkStart w:id="7" w:name="page8"/>
    <w:bookmarkEnd w:id="7"/>
    <w:p>
      <w:pPr>
        <w:ind w:left="3940"/>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ind w:left="4160"/>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ind w:left="4040"/>
        <w:spacing w:after="0"/>
        <w:rPr>
          <w:sz w:val="20"/>
          <w:szCs w:val="20"/>
          <w:color w:val="auto"/>
        </w:rPr>
      </w:pPr>
      <w:r>
        <w:rPr>
          <w:rFonts w:ascii="Arial" w:cs="Arial" w:eastAsia="Arial" w:hAnsi="Arial"/>
          <w:sz w:val="18"/>
          <w:szCs w:val="18"/>
          <w:color w:val="auto"/>
        </w:rPr>
        <w:t>(Unaudited - In millions, except per share data)</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4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gridSpan w:val="3"/>
          </w:tcPr>
          <w:p>
            <w:pPr>
              <w:jc w:val="right"/>
              <w:ind w:right="108"/>
              <w:spacing w:after="0"/>
              <w:rPr>
                <w:sz w:val="20"/>
                <w:szCs w:val="20"/>
                <w:color w:val="auto"/>
              </w:rPr>
            </w:pPr>
            <w:r>
              <w:rPr>
                <w:rFonts w:ascii="Arial" w:cs="Arial" w:eastAsia="Arial" w:hAnsi="Arial"/>
                <w:sz w:val="14"/>
                <w:szCs w:val="14"/>
                <w:b w:val="1"/>
                <w:bCs w:val="1"/>
                <w:color w:val="auto"/>
                <w:w w:val="85"/>
              </w:rPr>
              <w:t>As of</w:t>
            </w:r>
          </w:p>
        </w:tc>
        <w:tc>
          <w:tcPr>
            <w:tcW w:w="1520" w:type="dxa"/>
            <w:vAlign w:val="bottom"/>
            <w:tcBorders>
              <w:bottom w:val="single" w:sz="8" w:color="auto"/>
            </w:tcBorders>
          </w:tcPr>
          <w:p>
            <w:pPr>
              <w:spacing w:after="0"/>
              <w:rPr>
                <w:sz w:val="16"/>
                <w:szCs w:val="16"/>
                <w:color w:val="auto"/>
              </w:rPr>
            </w:pPr>
          </w:p>
        </w:tc>
      </w:tr>
      <w:tr>
        <w:trPr>
          <w:trHeight w:val="258"/>
        </w:trPr>
        <w:tc>
          <w:tcPr>
            <w:tcW w:w="75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40" w:type="dxa"/>
            <w:vAlign w:val="bottom"/>
          </w:tcPr>
          <w:p>
            <w:pPr>
              <w:jc w:val="right"/>
              <w:spacing w:after="0"/>
              <w:rPr>
                <w:sz w:val="20"/>
                <w:szCs w:val="20"/>
                <w:color w:val="auto"/>
              </w:rPr>
            </w:pPr>
            <w:r>
              <w:rPr>
                <w:rFonts w:ascii="Arial" w:cs="Arial" w:eastAsia="Arial" w:hAnsi="Arial"/>
                <w:sz w:val="14"/>
                <w:szCs w:val="14"/>
                <w:b w:val="1"/>
                <w:bCs w:val="1"/>
                <w:color w:val="auto"/>
              </w:rPr>
              <w:t>June 30,</w:t>
            </w:r>
          </w:p>
        </w:tc>
        <w:tc>
          <w:tcPr>
            <w:tcW w:w="5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408"/>
              <w:spacing w:after="0"/>
              <w:rPr>
                <w:sz w:val="20"/>
                <w:szCs w:val="20"/>
                <w:color w:val="auto"/>
              </w:rPr>
            </w:pPr>
            <w:r>
              <w:rPr>
                <w:rFonts w:ascii="Arial" w:cs="Arial" w:eastAsia="Arial" w:hAnsi="Arial"/>
                <w:sz w:val="14"/>
                <w:szCs w:val="14"/>
                <w:b w:val="1"/>
                <w:bCs w:val="1"/>
                <w:color w:val="auto"/>
              </w:rPr>
              <w:t>December 31,</w:t>
            </w:r>
          </w:p>
        </w:tc>
      </w:tr>
      <w:tr>
        <w:trPr>
          <w:trHeight w:val="276"/>
        </w:trPr>
        <w:tc>
          <w:tcPr>
            <w:tcW w:w="75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2018</w:t>
            </w:r>
          </w:p>
        </w:tc>
        <w:tc>
          <w:tcPr>
            <w:tcW w:w="5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jc w:val="right"/>
              <w:ind w:right="688"/>
              <w:spacing w:after="0"/>
              <w:rPr>
                <w:sz w:val="20"/>
                <w:szCs w:val="20"/>
                <w:color w:val="auto"/>
              </w:rPr>
            </w:pPr>
            <w:r>
              <w:rPr>
                <w:rFonts w:ascii="Arial" w:cs="Arial" w:eastAsia="Arial" w:hAnsi="Arial"/>
                <w:sz w:val="14"/>
                <w:szCs w:val="14"/>
                <w:b w:val="1"/>
                <w:bCs w:val="1"/>
                <w:color w:val="auto"/>
              </w:rPr>
              <w:t>2017</w:t>
            </w:r>
          </w:p>
        </w:tc>
      </w:tr>
      <w:tr>
        <w:trPr>
          <w:trHeight w:val="277"/>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Assets:</w:t>
            </w:r>
          </w:p>
        </w:tc>
        <w:tc>
          <w:tcPr>
            <w:tcW w:w="1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90"/>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Current assets:</w:t>
            </w:r>
          </w:p>
        </w:tc>
        <w:tc>
          <w:tcPr>
            <w:tcW w:w="124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Cash and cash equivalents</w:t>
            </w:r>
          </w:p>
        </w:tc>
        <w:tc>
          <w:tcPr>
            <w:tcW w:w="1240" w:type="dxa"/>
            <w:vAlign w:val="bottom"/>
          </w:tcPr>
          <w:p>
            <w:pPr>
              <w:jc w:val="right"/>
              <w:ind w:right="1068"/>
              <w:spacing w:after="0"/>
              <w:rPr>
                <w:sz w:val="20"/>
                <w:szCs w:val="20"/>
                <w:color w:val="auto"/>
              </w:rPr>
            </w:pPr>
            <w:r>
              <w:rPr>
                <w:rFonts w:ascii="Arial" w:cs="Arial" w:eastAsia="Arial" w:hAnsi="Arial"/>
                <w:sz w:val="14"/>
                <w:szCs w:val="14"/>
                <w:color w:val="auto"/>
              </w:rPr>
              <w:t>$</w:t>
            </w:r>
          </w:p>
        </w:tc>
        <w:tc>
          <w:tcPr>
            <w:tcW w:w="500" w:type="dxa"/>
            <w:vAlign w:val="bottom"/>
          </w:tcPr>
          <w:p>
            <w:pPr>
              <w:jc w:val="right"/>
              <w:spacing w:after="0"/>
              <w:rPr>
                <w:sz w:val="20"/>
                <w:szCs w:val="20"/>
                <w:color w:val="auto"/>
              </w:rPr>
            </w:pPr>
            <w:r>
              <w:rPr>
                <w:rFonts w:ascii="Arial" w:cs="Arial" w:eastAsia="Arial" w:hAnsi="Arial"/>
                <w:sz w:val="14"/>
                <w:szCs w:val="14"/>
                <w:color w:val="auto"/>
              </w:rPr>
              <w:t>187.6</w:t>
            </w:r>
          </w:p>
        </w:tc>
        <w:tc>
          <w:tcPr>
            <w:tcW w:w="500" w:type="dxa"/>
            <w:vAlign w:val="bottom"/>
            <w:gridSpan w:val="3"/>
          </w:tcPr>
          <w:p>
            <w:pPr>
              <w:jc w:val="right"/>
              <w:ind w:right="128"/>
              <w:spacing w:after="0"/>
              <w:rPr>
                <w:sz w:val="20"/>
                <w:szCs w:val="20"/>
                <w:color w:val="auto"/>
              </w:rPr>
            </w:pPr>
            <w:r>
              <w:rPr>
                <w:rFonts w:ascii="Arial" w:cs="Arial" w:eastAsia="Arial" w:hAnsi="Arial"/>
                <w:sz w:val="14"/>
                <w:szCs w:val="14"/>
                <w:color w:val="auto"/>
              </w:rPr>
              <w:t>$</w:t>
            </w: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372.3</w:t>
            </w: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Accounts receivable, net</w:t>
            </w:r>
          </w:p>
        </w:tc>
        <w:tc>
          <w:tcPr>
            <w:tcW w:w="1240" w:type="dxa"/>
            <w:vAlign w:val="bottom"/>
            <w:shd w:val="clear" w:color="auto" w:fill="CCEEFF"/>
          </w:tcPr>
          <w:p>
            <w:pPr>
              <w:spacing w:after="0"/>
              <w:rPr>
                <w:sz w:val="24"/>
                <w:szCs w:val="24"/>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2,951.9</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2,705.6</w:t>
            </w: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Inventories</w:t>
            </w:r>
          </w:p>
        </w:tc>
        <w:tc>
          <w:tcPr>
            <w:tcW w:w="1240" w:type="dxa"/>
            <w:vAlign w:val="bottom"/>
          </w:tcPr>
          <w:p>
            <w:pPr>
              <w:spacing w:after="0"/>
              <w:rPr>
                <w:sz w:val="22"/>
                <w:szCs w:val="22"/>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559.2</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505.0</w:t>
            </w: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Prepaid expenses</w:t>
            </w:r>
          </w:p>
        </w:tc>
        <w:tc>
          <w:tcPr>
            <w:tcW w:w="1240" w:type="dxa"/>
            <w:vAlign w:val="bottom"/>
            <w:shd w:val="clear" w:color="auto" w:fill="CCEEFF"/>
          </w:tcPr>
          <w:p>
            <w:pPr>
              <w:spacing w:after="0"/>
              <w:rPr>
                <w:sz w:val="24"/>
                <w:szCs w:val="24"/>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59.8</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64.4</w:t>
            </w: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Short-term derivative assets, net</w:t>
            </w:r>
          </w:p>
        </w:tc>
        <w:tc>
          <w:tcPr>
            <w:tcW w:w="1240" w:type="dxa"/>
            <w:vAlign w:val="bottom"/>
          </w:tcPr>
          <w:p>
            <w:pPr>
              <w:spacing w:after="0"/>
              <w:rPr>
                <w:sz w:val="22"/>
                <w:szCs w:val="22"/>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70.6</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51.1</w:t>
            </w:r>
          </w:p>
        </w:tc>
      </w:tr>
      <w:tr>
        <w:trPr>
          <w:trHeight w:val="270"/>
        </w:trPr>
        <w:tc>
          <w:tcPr>
            <w:tcW w:w="75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Other current assets</w:t>
            </w:r>
          </w:p>
        </w:tc>
        <w:tc>
          <w:tcPr>
            <w:tcW w:w="120" w:type="dxa"/>
            <w:vAlign w:val="bottom"/>
            <w:shd w:val="clear" w:color="auto" w:fill="CCEEFF"/>
          </w:tcPr>
          <w:p>
            <w:pPr>
              <w:spacing w:after="0"/>
              <w:rPr>
                <w:sz w:val="23"/>
                <w:szCs w:val="23"/>
                <w:color w:val="auto"/>
              </w:rPr>
            </w:pPr>
          </w:p>
        </w:tc>
        <w:tc>
          <w:tcPr>
            <w:tcW w:w="1240" w:type="dxa"/>
            <w:vAlign w:val="bottom"/>
            <w:tcBorders>
              <w:bottom w:val="single" w:sz="8" w:color="auto"/>
            </w:tcBorders>
            <w:shd w:val="clear" w:color="auto" w:fill="CCEEFF"/>
          </w:tcPr>
          <w:p>
            <w:pPr>
              <w:spacing w:after="0"/>
              <w:rPr>
                <w:sz w:val="23"/>
                <w:szCs w:val="23"/>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247.8</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5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241.9</w:t>
            </w:r>
          </w:p>
        </w:tc>
      </w:tr>
      <w:tr>
        <w:trPr>
          <w:trHeight w:val="250"/>
        </w:trPr>
        <w:tc>
          <w:tcPr>
            <w:tcW w:w="7660" w:type="dxa"/>
            <w:vAlign w:val="bottom"/>
            <w:gridSpan w:val="2"/>
          </w:tcPr>
          <w:p>
            <w:pPr>
              <w:ind w:left="280"/>
              <w:spacing w:after="0"/>
              <w:rPr>
                <w:sz w:val="20"/>
                <w:szCs w:val="20"/>
                <w:color w:val="auto"/>
              </w:rPr>
            </w:pPr>
            <w:r>
              <w:rPr>
                <w:rFonts w:ascii="Arial" w:cs="Arial" w:eastAsia="Arial" w:hAnsi="Arial"/>
                <w:sz w:val="14"/>
                <w:szCs w:val="14"/>
                <w:color w:val="auto"/>
              </w:rPr>
              <w:t>Total current assets</w:t>
            </w:r>
          </w:p>
        </w:tc>
        <w:tc>
          <w:tcPr>
            <w:tcW w:w="1240" w:type="dxa"/>
            <w:vAlign w:val="bottom"/>
          </w:tcPr>
          <w:p>
            <w:pPr>
              <w:spacing w:after="0"/>
              <w:rPr>
                <w:sz w:val="21"/>
                <w:szCs w:val="21"/>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4,076.8</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3,940.4</w:t>
            </w:r>
          </w:p>
        </w:tc>
      </w:tr>
      <w:tr>
        <w:trPr>
          <w:trHeight w:val="276"/>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Property and equipment, net</w:t>
            </w:r>
          </w:p>
        </w:tc>
        <w:tc>
          <w:tcPr>
            <w:tcW w:w="1240" w:type="dxa"/>
            <w:vAlign w:val="bottom"/>
            <w:shd w:val="clear" w:color="auto" w:fill="CCEEFF"/>
          </w:tcPr>
          <w:p>
            <w:pPr>
              <w:spacing w:after="0"/>
              <w:rPr>
                <w:sz w:val="24"/>
                <w:szCs w:val="24"/>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335.0</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329.8</w:t>
            </w:r>
          </w:p>
        </w:tc>
      </w:tr>
      <w:tr>
        <w:trPr>
          <w:trHeight w:val="264"/>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Goodwill</w:t>
            </w:r>
          </w:p>
        </w:tc>
        <w:tc>
          <w:tcPr>
            <w:tcW w:w="1240" w:type="dxa"/>
            <w:vAlign w:val="bottom"/>
          </w:tcPr>
          <w:p>
            <w:pPr>
              <w:spacing w:after="0"/>
              <w:rPr>
                <w:sz w:val="22"/>
                <w:szCs w:val="22"/>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856.7</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845.5</w:t>
            </w:r>
          </w:p>
        </w:tc>
      </w:tr>
      <w:tr>
        <w:trPr>
          <w:trHeight w:val="270"/>
        </w:trPr>
        <w:tc>
          <w:tcPr>
            <w:tcW w:w="75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Identifiable intangible and other non-current assets</w:t>
            </w:r>
          </w:p>
        </w:tc>
        <w:tc>
          <w:tcPr>
            <w:tcW w:w="120" w:type="dxa"/>
            <w:vAlign w:val="bottom"/>
            <w:shd w:val="clear" w:color="auto" w:fill="CCEEFF"/>
          </w:tcPr>
          <w:p>
            <w:pPr>
              <w:spacing w:after="0"/>
              <w:rPr>
                <w:sz w:val="23"/>
                <w:szCs w:val="23"/>
                <w:color w:val="auto"/>
              </w:rPr>
            </w:pPr>
          </w:p>
        </w:tc>
        <w:tc>
          <w:tcPr>
            <w:tcW w:w="1240" w:type="dxa"/>
            <w:vAlign w:val="bottom"/>
            <w:tcBorders>
              <w:bottom w:val="single" w:sz="8" w:color="auto"/>
            </w:tcBorders>
            <w:shd w:val="clear" w:color="auto" w:fill="CCEEFF"/>
          </w:tcPr>
          <w:p>
            <w:pPr>
              <w:spacing w:after="0"/>
              <w:rPr>
                <w:sz w:val="23"/>
                <w:szCs w:val="23"/>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488.6</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5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472.1</w:t>
            </w:r>
          </w:p>
        </w:tc>
      </w:tr>
      <w:tr>
        <w:trPr>
          <w:trHeight w:val="277"/>
        </w:trPr>
        <w:tc>
          <w:tcPr>
            <w:tcW w:w="754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Total assets</w:t>
            </w:r>
          </w:p>
        </w:tc>
        <w:tc>
          <w:tcPr>
            <w:tcW w:w="120" w:type="dxa"/>
            <w:vAlign w:val="bottom"/>
            <w:tcBorders>
              <w:bottom w:val="single" w:sz="8" w:color="CCEEFF"/>
            </w:tcBorders>
          </w:tcPr>
          <w:p>
            <w:pPr>
              <w:spacing w:after="0"/>
              <w:rPr>
                <w:sz w:val="24"/>
                <w:szCs w:val="24"/>
                <w:color w:val="auto"/>
              </w:rPr>
            </w:pPr>
          </w:p>
        </w:tc>
        <w:tc>
          <w:tcPr>
            <w:tcW w:w="1240" w:type="dxa"/>
            <w:vAlign w:val="bottom"/>
            <w:tcBorders>
              <w:bottom w:val="single" w:sz="8" w:color="auto"/>
            </w:tcBorders>
          </w:tcPr>
          <w:p>
            <w:pPr>
              <w:jc w:val="right"/>
              <w:ind w:right="1068"/>
              <w:spacing w:after="0"/>
              <w:rPr>
                <w:sz w:val="20"/>
                <w:szCs w:val="20"/>
                <w:color w:val="auto"/>
              </w:rPr>
            </w:pPr>
            <w:r>
              <w:rPr>
                <w:rFonts w:ascii="Arial" w:cs="Arial" w:eastAsia="Arial" w:hAnsi="Arial"/>
                <w:sz w:val="14"/>
                <w:szCs w:val="14"/>
                <w:color w:val="auto"/>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5,757.0</w:t>
            </w: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w w:val="76"/>
              </w:rPr>
              <w:t>$</w:t>
            </w:r>
          </w:p>
        </w:tc>
        <w:tc>
          <w:tcPr>
            <w:tcW w:w="1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5,587.8</w:t>
            </w:r>
          </w:p>
        </w:tc>
      </w:tr>
      <w:tr>
        <w:trPr>
          <w:trHeight w:val="270"/>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Liabilities:</w:t>
            </w:r>
          </w:p>
        </w:tc>
        <w:tc>
          <w:tcPr>
            <w:tcW w:w="1240" w:type="dxa"/>
            <w:vAlign w:val="bottom"/>
            <w:shd w:val="clear" w:color="auto" w:fill="CCEEFF"/>
          </w:tcPr>
          <w:p>
            <w:pPr>
              <w:spacing w:after="0"/>
              <w:rPr>
                <w:sz w:val="23"/>
                <w:szCs w:val="23"/>
                <w:color w:val="auto"/>
              </w:rPr>
            </w:pPr>
          </w:p>
        </w:tc>
        <w:tc>
          <w:tcPr>
            <w:tcW w:w="5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520" w:type="dxa"/>
            <w:vAlign w:val="bottom"/>
            <w:shd w:val="clear" w:color="auto" w:fill="CCEEFF"/>
          </w:tcPr>
          <w:p>
            <w:pPr>
              <w:spacing w:after="0"/>
              <w:rPr>
                <w:sz w:val="23"/>
                <w:szCs w:val="23"/>
                <w:color w:val="auto"/>
              </w:rPr>
            </w:pPr>
          </w:p>
        </w:tc>
      </w:tr>
      <w:tr>
        <w:trPr>
          <w:trHeight w:val="278"/>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Current liabilities:</w:t>
            </w:r>
          </w:p>
        </w:tc>
        <w:tc>
          <w:tcPr>
            <w:tcW w:w="1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Current maturities of long-term debt and capital leases</w:t>
            </w:r>
          </w:p>
        </w:tc>
        <w:tc>
          <w:tcPr>
            <w:tcW w:w="1240" w:type="dxa"/>
            <w:vAlign w:val="bottom"/>
            <w:shd w:val="clear" w:color="auto" w:fill="CCEEFF"/>
          </w:tcPr>
          <w:p>
            <w:pPr>
              <w:jc w:val="right"/>
              <w:ind w:right="1068"/>
              <w:spacing w:after="0"/>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33.7</w:t>
            </w:r>
          </w:p>
        </w:tc>
        <w:tc>
          <w:tcPr>
            <w:tcW w:w="500" w:type="dxa"/>
            <w:vAlign w:val="bottom"/>
            <w:gridSpan w:val="3"/>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25.6</w:t>
            </w: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Accounts payable</w:t>
            </w:r>
          </w:p>
        </w:tc>
        <w:tc>
          <w:tcPr>
            <w:tcW w:w="1240" w:type="dxa"/>
            <w:vAlign w:val="bottom"/>
          </w:tcPr>
          <w:p>
            <w:pPr>
              <w:spacing w:after="0"/>
              <w:rPr>
                <w:sz w:val="22"/>
                <w:szCs w:val="22"/>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2,536.0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2,239.7</w:t>
            </w: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Customer deposits</w:t>
            </w:r>
          </w:p>
        </w:tc>
        <w:tc>
          <w:tcPr>
            <w:tcW w:w="1240" w:type="dxa"/>
            <w:vAlign w:val="bottom"/>
            <w:shd w:val="clear" w:color="auto" w:fill="CCEEFF"/>
          </w:tcPr>
          <w:p>
            <w:pPr>
              <w:spacing w:after="0"/>
              <w:rPr>
                <w:sz w:val="24"/>
                <w:szCs w:val="24"/>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95.0</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108.3</w:t>
            </w:r>
          </w:p>
        </w:tc>
      </w:tr>
      <w:tr>
        <w:trPr>
          <w:trHeight w:val="264"/>
        </w:trPr>
        <w:tc>
          <w:tcPr>
            <w:tcW w:w="754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Accrued expenses and other current liabilities</w:t>
            </w:r>
          </w:p>
        </w:tc>
        <w:tc>
          <w:tcPr>
            <w:tcW w:w="120" w:type="dxa"/>
            <w:vAlign w:val="bottom"/>
            <w:tcBorders>
              <w:bottom w:val="single" w:sz="8" w:color="CCEEFF"/>
            </w:tcBorders>
          </w:tcPr>
          <w:p>
            <w:pPr>
              <w:spacing w:after="0"/>
              <w:rPr>
                <w:sz w:val="22"/>
                <w:szCs w:val="22"/>
                <w:color w:val="auto"/>
              </w:rPr>
            </w:pPr>
          </w:p>
        </w:tc>
        <w:tc>
          <w:tcPr>
            <w:tcW w:w="124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348.8</w:t>
            </w: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344.9</w:t>
            </w:r>
          </w:p>
        </w:tc>
      </w:tr>
      <w:tr>
        <w:trPr>
          <w:trHeight w:val="256"/>
        </w:trPr>
        <w:tc>
          <w:tcPr>
            <w:tcW w:w="7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current liabilities</w:t>
            </w:r>
          </w:p>
        </w:tc>
        <w:tc>
          <w:tcPr>
            <w:tcW w:w="1240" w:type="dxa"/>
            <w:vAlign w:val="bottom"/>
            <w:shd w:val="clear" w:color="auto" w:fill="CCEEFF"/>
          </w:tcPr>
          <w:p>
            <w:pPr>
              <w:spacing w:after="0"/>
              <w:rPr>
                <w:sz w:val="22"/>
                <w:szCs w:val="22"/>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3,013.5</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2,718.6</w:t>
            </w:r>
          </w:p>
        </w:tc>
      </w:tr>
      <w:tr>
        <w:trPr>
          <w:trHeight w:val="264"/>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Long-term debt</w:t>
            </w:r>
          </w:p>
        </w:tc>
        <w:tc>
          <w:tcPr>
            <w:tcW w:w="1240" w:type="dxa"/>
            <w:vAlign w:val="bottom"/>
          </w:tcPr>
          <w:p>
            <w:pPr>
              <w:spacing w:after="0"/>
              <w:rPr>
                <w:sz w:val="22"/>
                <w:szCs w:val="22"/>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731.6</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884.6</w:t>
            </w:r>
          </w:p>
        </w:tc>
      </w:tr>
      <w:tr>
        <w:trPr>
          <w:trHeight w:val="276"/>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Non-current income tax liabilities, net</w:t>
            </w:r>
          </w:p>
        </w:tc>
        <w:tc>
          <w:tcPr>
            <w:tcW w:w="1240" w:type="dxa"/>
            <w:vAlign w:val="bottom"/>
            <w:shd w:val="clear" w:color="auto" w:fill="CCEEFF"/>
          </w:tcPr>
          <w:p>
            <w:pPr>
              <w:spacing w:after="0"/>
              <w:rPr>
                <w:sz w:val="24"/>
                <w:szCs w:val="24"/>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187.2</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202.4</w:t>
            </w:r>
          </w:p>
        </w:tc>
      </w:tr>
      <w:tr>
        <w:trPr>
          <w:trHeight w:val="264"/>
        </w:trPr>
        <w:tc>
          <w:tcPr>
            <w:tcW w:w="75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Other long-term liabilities</w:t>
            </w:r>
          </w:p>
        </w:tc>
        <w:tc>
          <w:tcPr>
            <w:tcW w:w="120" w:type="dxa"/>
            <w:vAlign w:val="bottom"/>
            <w:tcBorders>
              <w:bottom w:val="single" w:sz="8" w:color="CCEEFF"/>
            </w:tcBorders>
          </w:tcPr>
          <w:p>
            <w:pPr>
              <w:spacing w:after="0"/>
              <w:rPr>
                <w:sz w:val="22"/>
                <w:szCs w:val="22"/>
                <w:color w:val="auto"/>
              </w:rPr>
            </w:pPr>
          </w:p>
        </w:tc>
        <w:tc>
          <w:tcPr>
            <w:tcW w:w="124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49.5</w:t>
            </w: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44.2</w:t>
            </w:r>
          </w:p>
        </w:tc>
      </w:tr>
      <w:tr>
        <w:trPr>
          <w:trHeight w:val="250"/>
        </w:trPr>
        <w:tc>
          <w:tcPr>
            <w:tcW w:w="754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Total liabilities</w:t>
            </w:r>
          </w:p>
        </w:tc>
        <w:tc>
          <w:tcPr>
            <w:tcW w:w="120" w:type="dxa"/>
            <w:vAlign w:val="bottom"/>
            <w:shd w:val="clear" w:color="auto" w:fill="CCEEFF"/>
          </w:tcPr>
          <w:p>
            <w:pPr>
              <w:spacing w:after="0"/>
              <w:rPr>
                <w:sz w:val="21"/>
                <w:szCs w:val="21"/>
                <w:color w:val="auto"/>
              </w:rPr>
            </w:pPr>
          </w:p>
        </w:tc>
        <w:tc>
          <w:tcPr>
            <w:tcW w:w="1240" w:type="dxa"/>
            <w:vAlign w:val="bottom"/>
            <w:tcBorders>
              <w:bottom w:val="single" w:sz="8" w:color="auto"/>
            </w:tcBorders>
            <w:shd w:val="clear" w:color="auto" w:fill="CCEEFF"/>
          </w:tcPr>
          <w:p>
            <w:pPr>
              <w:spacing w:after="0"/>
              <w:rPr>
                <w:sz w:val="21"/>
                <w:szCs w:val="21"/>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3,981.7</w:t>
            </w:r>
          </w:p>
        </w:tc>
        <w:tc>
          <w:tcPr>
            <w:tcW w:w="100" w:type="dxa"/>
            <w:vAlign w:val="bottom"/>
            <w:tcBorders>
              <w:bottom w:val="single" w:sz="8" w:color="auto"/>
            </w:tcBorders>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15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3,849.8</w:t>
            </w:r>
          </w:p>
        </w:tc>
      </w:tr>
      <w:tr>
        <w:trPr>
          <w:trHeight w:val="277"/>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Commitments and contingencies</w:t>
            </w:r>
          </w:p>
        </w:tc>
        <w:tc>
          <w:tcPr>
            <w:tcW w:w="1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90"/>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Equity:</w:t>
            </w:r>
          </w:p>
        </w:tc>
        <w:tc>
          <w:tcPr>
            <w:tcW w:w="124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r>
      <w:tr>
        <w:trPr>
          <w:trHeight w:val="278"/>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World Fuel shareholders' equity:</w:t>
            </w:r>
          </w:p>
        </w:tc>
        <w:tc>
          <w:tcPr>
            <w:tcW w:w="1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Preferred stock, $1.00 par value; 0.1 shares authorized, none issued</w:t>
            </w:r>
          </w:p>
        </w:tc>
        <w:tc>
          <w:tcPr>
            <w:tcW w:w="1240" w:type="dxa"/>
            <w:vAlign w:val="bottom"/>
            <w:shd w:val="clear" w:color="auto" w:fill="CCEEFF"/>
          </w:tcPr>
          <w:p>
            <w:pPr>
              <w:spacing w:after="0"/>
              <w:rPr>
                <w:sz w:val="24"/>
                <w:szCs w:val="24"/>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157"/>
        </w:trPr>
        <w:tc>
          <w:tcPr>
            <w:tcW w:w="7660" w:type="dxa"/>
            <w:vAlign w:val="bottom"/>
            <w:gridSpan w:val="2"/>
          </w:tcPr>
          <w:p>
            <w:pPr>
              <w:ind w:left="180"/>
              <w:spacing w:after="0" w:line="157" w:lineRule="exact"/>
              <w:rPr>
                <w:sz w:val="20"/>
                <w:szCs w:val="20"/>
                <w:color w:val="auto"/>
              </w:rPr>
            </w:pPr>
            <w:r>
              <w:rPr>
                <w:rFonts w:ascii="Arial" w:cs="Arial" w:eastAsia="Arial" w:hAnsi="Arial"/>
                <w:sz w:val="14"/>
                <w:szCs w:val="14"/>
                <w:color w:val="auto"/>
                <w:w w:val="99"/>
              </w:rPr>
              <w:t>Common stock, $0.01 par value; 100.0 shares authorized, 67.8 and 67.7 issued and outstanding as of June 30, 2018 and</w:t>
            </w:r>
          </w:p>
        </w:tc>
        <w:tc>
          <w:tcPr>
            <w:tcW w:w="1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spacing w:after="0"/>
              <w:rPr>
                <w:sz w:val="13"/>
                <w:szCs w:val="13"/>
                <w:color w:val="auto"/>
              </w:rPr>
            </w:pPr>
          </w:p>
        </w:tc>
      </w:tr>
      <w:tr>
        <w:trPr>
          <w:trHeight w:val="188"/>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December 31, 2017, respectively</w:t>
            </w:r>
          </w:p>
        </w:tc>
        <w:tc>
          <w:tcPr>
            <w:tcW w:w="1240" w:type="dxa"/>
            <w:vAlign w:val="bottom"/>
          </w:tcPr>
          <w:p>
            <w:pPr>
              <w:spacing w:after="0"/>
              <w:rPr>
                <w:sz w:val="16"/>
                <w:szCs w:val="16"/>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0.7</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0.7</w:t>
            </w: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Capital in excess of par value</w:t>
            </w:r>
          </w:p>
        </w:tc>
        <w:tc>
          <w:tcPr>
            <w:tcW w:w="1240" w:type="dxa"/>
            <w:vAlign w:val="bottom"/>
            <w:shd w:val="clear" w:color="auto" w:fill="CCEEFF"/>
          </w:tcPr>
          <w:p>
            <w:pPr>
              <w:spacing w:after="0"/>
              <w:rPr>
                <w:sz w:val="24"/>
                <w:szCs w:val="24"/>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359.3</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354.9</w:t>
            </w: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Retained earnings</w:t>
            </w:r>
          </w:p>
        </w:tc>
        <w:tc>
          <w:tcPr>
            <w:tcW w:w="1240" w:type="dxa"/>
            <w:vAlign w:val="bottom"/>
          </w:tcPr>
          <w:p>
            <w:pPr>
              <w:spacing w:after="0"/>
              <w:rPr>
                <w:sz w:val="22"/>
                <w:szCs w:val="22"/>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1,546.3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1,492.8</w:t>
            </w:r>
          </w:p>
        </w:tc>
      </w:tr>
      <w:tr>
        <w:trPr>
          <w:trHeight w:val="270"/>
        </w:trPr>
        <w:tc>
          <w:tcPr>
            <w:tcW w:w="75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Accumulated other comprehensive loss</w:t>
            </w:r>
          </w:p>
        </w:tc>
        <w:tc>
          <w:tcPr>
            <w:tcW w:w="120" w:type="dxa"/>
            <w:vAlign w:val="bottom"/>
            <w:shd w:val="clear" w:color="auto" w:fill="CCEEFF"/>
          </w:tcPr>
          <w:p>
            <w:pPr>
              <w:spacing w:after="0"/>
              <w:rPr>
                <w:sz w:val="23"/>
                <w:szCs w:val="23"/>
                <w:color w:val="auto"/>
              </w:rPr>
            </w:pPr>
          </w:p>
        </w:tc>
        <w:tc>
          <w:tcPr>
            <w:tcW w:w="124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(146.3)</w:t>
            </w: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(126.5)</w:t>
            </w:r>
          </w:p>
        </w:tc>
      </w:tr>
      <w:tr>
        <w:trPr>
          <w:trHeight w:val="250"/>
        </w:trPr>
        <w:tc>
          <w:tcPr>
            <w:tcW w:w="7660" w:type="dxa"/>
            <w:vAlign w:val="bottom"/>
            <w:gridSpan w:val="2"/>
          </w:tcPr>
          <w:p>
            <w:pPr>
              <w:ind w:left="280"/>
              <w:spacing w:after="0"/>
              <w:rPr>
                <w:sz w:val="20"/>
                <w:szCs w:val="20"/>
                <w:color w:val="auto"/>
              </w:rPr>
            </w:pPr>
            <w:r>
              <w:rPr>
                <w:rFonts w:ascii="Arial" w:cs="Arial" w:eastAsia="Arial" w:hAnsi="Arial"/>
                <w:sz w:val="14"/>
                <w:szCs w:val="14"/>
                <w:color w:val="auto"/>
              </w:rPr>
              <w:t>Total World Fuel shareholders' equity</w:t>
            </w:r>
          </w:p>
        </w:tc>
        <w:tc>
          <w:tcPr>
            <w:tcW w:w="1240" w:type="dxa"/>
            <w:vAlign w:val="bottom"/>
          </w:tcPr>
          <w:p>
            <w:pPr>
              <w:spacing w:after="0"/>
              <w:rPr>
                <w:sz w:val="21"/>
                <w:szCs w:val="21"/>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1,760.0</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1,721.9</w:t>
            </w:r>
          </w:p>
        </w:tc>
      </w:tr>
      <w:tr>
        <w:trPr>
          <w:trHeight w:val="270"/>
        </w:trPr>
        <w:tc>
          <w:tcPr>
            <w:tcW w:w="75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Noncontrolling interest</w:t>
            </w:r>
          </w:p>
        </w:tc>
        <w:tc>
          <w:tcPr>
            <w:tcW w:w="120" w:type="dxa"/>
            <w:vAlign w:val="bottom"/>
            <w:shd w:val="clear" w:color="auto" w:fill="CCEEFF"/>
          </w:tcPr>
          <w:p>
            <w:pPr>
              <w:spacing w:after="0"/>
              <w:rPr>
                <w:sz w:val="23"/>
                <w:szCs w:val="23"/>
                <w:color w:val="auto"/>
              </w:rPr>
            </w:pPr>
          </w:p>
        </w:tc>
        <w:tc>
          <w:tcPr>
            <w:tcW w:w="1240" w:type="dxa"/>
            <w:vAlign w:val="bottom"/>
            <w:tcBorders>
              <w:bottom w:val="single" w:sz="8" w:color="auto"/>
            </w:tcBorders>
            <w:shd w:val="clear" w:color="auto" w:fill="CCEEFF"/>
          </w:tcPr>
          <w:p>
            <w:pPr>
              <w:spacing w:after="0"/>
              <w:rPr>
                <w:sz w:val="23"/>
                <w:szCs w:val="23"/>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15.3</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5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16.0</w:t>
            </w:r>
          </w:p>
        </w:tc>
      </w:tr>
      <w:tr>
        <w:trPr>
          <w:trHeight w:val="250"/>
        </w:trPr>
        <w:tc>
          <w:tcPr>
            <w:tcW w:w="754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Total equity</w:t>
            </w:r>
          </w:p>
        </w:tc>
        <w:tc>
          <w:tcPr>
            <w:tcW w:w="120" w:type="dxa"/>
            <w:vAlign w:val="bottom"/>
            <w:tcBorders>
              <w:bottom w:val="single" w:sz="8" w:color="CCEEFF"/>
            </w:tcBorders>
          </w:tcPr>
          <w:p>
            <w:pPr>
              <w:spacing w:after="0"/>
              <w:rPr>
                <w:sz w:val="21"/>
                <w:szCs w:val="21"/>
                <w:color w:val="auto"/>
              </w:rPr>
            </w:pPr>
          </w:p>
        </w:tc>
        <w:tc>
          <w:tcPr>
            <w:tcW w:w="1240" w:type="dxa"/>
            <w:vAlign w:val="bottom"/>
            <w:tcBorders>
              <w:bottom w:val="single" w:sz="8" w:color="auto"/>
            </w:tcBorders>
          </w:tcPr>
          <w:p>
            <w:pPr>
              <w:spacing w:after="0"/>
              <w:rPr>
                <w:sz w:val="21"/>
                <w:szCs w:val="21"/>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1,775.3</w:t>
            </w:r>
          </w:p>
        </w:tc>
        <w:tc>
          <w:tcPr>
            <w:tcW w:w="10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1,738.0</w:t>
            </w:r>
          </w:p>
        </w:tc>
      </w:tr>
      <w:tr>
        <w:trPr>
          <w:trHeight w:val="237"/>
        </w:trPr>
        <w:tc>
          <w:tcPr>
            <w:tcW w:w="7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liabilities and equity</w:t>
            </w:r>
          </w:p>
        </w:tc>
        <w:tc>
          <w:tcPr>
            <w:tcW w:w="1240" w:type="dxa"/>
            <w:vAlign w:val="bottom"/>
            <w:shd w:val="clear" w:color="auto" w:fill="CCEEFF"/>
          </w:tcPr>
          <w:p>
            <w:pPr>
              <w:jc w:val="right"/>
              <w:ind w:right="1068"/>
              <w:spacing w:after="0"/>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5,757.0</w:t>
            </w:r>
          </w:p>
        </w:tc>
        <w:tc>
          <w:tcPr>
            <w:tcW w:w="500" w:type="dxa"/>
            <w:vAlign w:val="bottom"/>
            <w:gridSpan w:val="3"/>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5,587.8</w:t>
            </w:r>
          </w:p>
        </w:tc>
      </w:tr>
      <w:tr>
        <w:trPr>
          <w:trHeight w:val="20"/>
        </w:trPr>
        <w:tc>
          <w:tcPr>
            <w:tcW w:w="7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1420"/>
          </w:cols>
          <w:pgMar w:left="240" w:top="796" w:right="239" w:bottom="1440" w:gutter="0" w:footer="0" w:header="0"/>
        </w:sectPr>
      </w:pPr>
    </w:p>
    <w:bookmarkStart w:id="8" w:name="page9"/>
    <w:bookmarkEnd w:id="8"/>
    <w:p>
      <w:pPr>
        <w:jc w:val="center"/>
        <w:spacing w:after="0" w:line="266" w:lineRule="auto"/>
        <w:rPr>
          <w:sz w:val="20"/>
          <w:szCs w:val="20"/>
          <w:color w:val="auto"/>
        </w:rPr>
      </w:pPr>
      <w:r>
        <w:rPr>
          <w:rFonts w:ascii="Arial" w:cs="Arial" w:eastAsia="Arial" w:hAnsi="Arial"/>
          <w:sz w:val="18"/>
          <w:szCs w:val="18"/>
          <w:b w:val="1"/>
          <w:bCs w:val="1"/>
          <w:color w:val="auto"/>
        </w:rPr>
        <w:t xml:space="preserve">WORLD FUEL SERVICES CORPORATION CONSOLIDATED STATEMENTS OF INCOME AND COMPREHENSIVE INCOME </w:t>
      </w:r>
      <w:r>
        <w:rPr>
          <w:rFonts w:ascii="Arial" w:cs="Arial" w:eastAsia="Arial" w:hAnsi="Arial"/>
          <w:sz w:val="18"/>
          <w:szCs w:val="18"/>
          <w:color w:val="auto"/>
        </w:rPr>
        <w:t>(Unaudited – In millions, except per share data)</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80" w:type="dxa"/>
            <w:vAlign w:val="bottom"/>
            <w:gridSpan w:val="5"/>
          </w:tcPr>
          <w:p>
            <w:pPr>
              <w:ind w:left="180"/>
              <w:spacing w:after="0"/>
              <w:rPr>
                <w:sz w:val="20"/>
                <w:szCs w:val="20"/>
                <w:color w:val="auto"/>
              </w:rPr>
            </w:pPr>
            <w:r>
              <w:rPr>
                <w:rFonts w:ascii="Arial" w:cs="Arial" w:eastAsia="Arial" w:hAnsi="Arial"/>
                <w:sz w:val="14"/>
                <w:szCs w:val="14"/>
                <w:b w:val="1"/>
                <w:bCs w:val="1"/>
                <w:color w:val="auto"/>
              </w:rPr>
              <w:t>For the Three Months Ended</w:t>
            </w:r>
          </w:p>
        </w:tc>
        <w:tc>
          <w:tcPr>
            <w:tcW w:w="300" w:type="dxa"/>
            <w:vAlign w:val="bottom"/>
          </w:tcPr>
          <w:p>
            <w:pPr>
              <w:spacing w:after="0"/>
              <w:rPr>
                <w:sz w:val="16"/>
                <w:szCs w:val="16"/>
                <w:color w:val="auto"/>
              </w:rPr>
            </w:pPr>
          </w:p>
        </w:tc>
        <w:tc>
          <w:tcPr>
            <w:tcW w:w="2300" w:type="dxa"/>
            <w:vAlign w:val="bottom"/>
            <w:gridSpan w:val="4"/>
          </w:tcPr>
          <w:p>
            <w:pPr>
              <w:jc w:val="right"/>
              <w:ind w:right="408"/>
              <w:spacing w:after="0"/>
              <w:rPr>
                <w:sz w:val="20"/>
                <w:szCs w:val="20"/>
                <w:color w:val="auto"/>
              </w:rPr>
            </w:pPr>
            <w:r>
              <w:rPr>
                <w:rFonts w:ascii="Arial" w:cs="Arial" w:eastAsia="Arial" w:hAnsi="Arial"/>
                <w:sz w:val="14"/>
                <w:szCs w:val="14"/>
                <w:b w:val="1"/>
                <w:bCs w:val="1"/>
                <w:color w:val="auto"/>
              </w:rPr>
              <w:t>For the Six Months Ended</w:t>
            </w:r>
          </w:p>
        </w:tc>
      </w:tr>
      <w:tr>
        <w:trPr>
          <w:trHeight w:val="276"/>
        </w:trPr>
        <w:tc>
          <w:tcPr>
            <w:tcW w:w="5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9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June 30,</w:t>
            </w:r>
          </w:p>
        </w:tc>
        <w:tc>
          <w:tcPr>
            <w:tcW w:w="900" w:type="dxa"/>
            <w:vAlign w:val="bottom"/>
            <w:tcBorders>
              <w:bottom w:val="single" w:sz="8" w:color="auto"/>
            </w:tcBorders>
          </w:tcPr>
          <w:p>
            <w:pPr>
              <w:spacing w:after="0"/>
              <w:rPr>
                <w:sz w:val="24"/>
                <w:szCs w:val="24"/>
                <w:color w:val="auto"/>
              </w:rPr>
            </w:pPr>
          </w:p>
        </w:tc>
      </w:tr>
      <w:tr>
        <w:trPr>
          <w:trHeight w:val="264"/>
        </w:trPr>
        <w:tc>
          <w:tcPr>
            <w:tcW w:w="59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2017</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10,150.8</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8,086.2</w:t>
            </w: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19,332.2</w:t>
            </w:r>
          </w:p>
        </w:tc>
        <w:tc>
          <w:tcPr>
            <w:tcW w:w="120" w:type="dxa"/>
            <w:vAlign w:val="bottom"/>
            <w:shd w:val="clear" w:color="auto" w:fill="CCEEFF"/>
          </w:tcPr>
          <w:p>
            <w:pPr>
              <w:spacing w:after="0"/>
              <w:rPr>
                <w:sz w:val="22"/>
                <w:szCs w:val="22"/>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16,280.4</w:t>
            </w: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Cost of revenue</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9,904.7</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7,855.2</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18,842.6</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15,818.0</w:t>
            </w:r>
          </w:p>
        </w:tc>
      </w:tr>
      <w:tr>
        <w:trPr>
          <w:trHeight w:val="250"/>
        </w:trPr>
        <w:tc>
          <w:tcPr>
            <w:tcW w:w="596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Gross profit</w:t>
            </w:r>
          </w:p>
        </w:tc>
        <w:tc>
          <w:tcPr>
            <w:tcW w:w="12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246.2</w:t>
            </w:r>
          </w:p>
        </w:tc>
        <w:tc>
          <w:tcPr>
            <w:tcW w:w="120" w:type="dxa"/>
            <w:vAlign w:val="bottom"/>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231.0</w:t>
            </w:r>
          </w:p>
        </w:tc>
        <w:tc>
          <w:tcPr>
            <w:tcW w:w="100" w:type="dxa"/>
            <w:vAlign w:val="bottom"/>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489.6</w:t>
            </w:r>
          </w:p>
        </w:tc>
        <w:tc>
          <w:tcPr>
            <w:tcW w:w="12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462.4</w:t>
            </w:r>
          </w:p>
        </w:tc>
      </w:tr>
      <w:tr>
        <w:trPr>
          <w:trHeight w:val="277"/>
        </w:trPr>
        <w:tc>
          <w:tcPr>
            <w:tcW w:w="6080" w:type="dxa"/>
            <w:vAlign w:val="bottom"/>
            <w:gridSpan w:val="2"/>
          </w:tcPr>
          <w:p>
            <w:pPr>
              <w:ind w:left="40"/>
              <w:spacing w:after="0"/>
              <w:rPr>
                <w:sz w:val="20"/>
                <w:szCs w:val="20"/>
                <w:color w:val="auto"/>
              </w:rPr>
            </w:pPr>
            <w:r>
              <w:rPr>
                <w:rFonts w:ascii="Arial" w:cs="Arial" w:eastAsia="Arial" w:hAnsi="Arial"/>
                <w:sz w:val="14"/>
                <w:szCs w:val="14"/>
                <w:color w:val="auto"/>
              </w:rPr>
              <w:t>Operating expenses:</w:t>
            </w: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Compensation and employee benefits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110.2</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102.3</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224.1</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206.8</w:t>
            </w: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General and administrative</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74.9</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77.4</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147.2</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154.0</w:t>
            </w:r>
          </w:p>
        </w:tc>
      </w:tr>
      <w:tr>
        <w:trPr>
          <w:trHeight w:val="250"/>
        </w:trPr>
        <w:tc>
          <w:tcPr>
            <w:tcW w:w="5960" w:type="dxa"/>
            <w:vAlign w:val="bottom"/>
            <w:tcBorders>
              <w:top w:val="single" w:sz="8" w:color="auto"/>
              <w:bottom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185.1</w:t>
            </w:r>
          </w:p>
        </w:tc>
        <w:tc>
          <w:tcPr>
            <w:tcW w:w="120" w:type="dxa"/>
            <w:vAlign w:val="bottom"/>
            <w:tcBorders>
              <w:top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auto"/>
            </w:tcBorders>
            <w:shd w:val="clear" w:color="auto" w:fill="CCEEFF"/>
          </w:tcPr>
          <w:p>
            <w:pPr>
              <w:spacing w:after="0"/>
              <w:rPr>
                <w:sz w:val="21"/>
                <w:szCs w:val="21"/>
                <w:color w:val="auto"/>
              </w:rPr>
            </w:pPr>
          </w:p>
        </w:tc>
        <w:tc>
          <w:tcPr>
            <w:tcW w:w="9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179.7</w:t>
            </w:r>
          </w:p>
        </w:tc>
        <w:tc>
          <w:tcPr>
            <w:tcW w:w="100" w:type="dxa"/>
            <w:vAlign w:val="bottom"/>
            <w:tcBorders>
              <w:top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auto"/>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371.3</w:t>
            </w:r>
          </w:p>
        </w:tc>
        <w:tc>
          <w:tcPr>
            <w:tcW w:w="120" w:type="dxa"/>
            <w:vAlign w:val="bottom"/>
            <w:tcBorders>
              <w:top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auto"/>
            </w:tcBorders>
            <w:shd w:val="clear" w:color="auto" w:fill="CCEEFF"/>
          </w:tcPr>
          <w:p>
            <w:pPr>
              <w:spacing w:after="0"/>
              <w:rPr>
                <w:sz w:val="21"/>
                <w:szCs w:val="21"/>
                <w:color w:val="auto"/>
              </w:rPr>
            </w:pPr>
          </w:p>
        </w:tc>
        <w:tc>
          <w:tcPr>
            <w:tcW w:w="9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360.9</w:t>
            </w:r>
          </w:p>
        </w:tc>
      </w:tr>
      <w:tr>
        <w:trPr>
          <w:trHeight w:val="250"/>
        </w:trPr>
        <w:tc>
          <w:tcPr>
            <w:tcW w:w="596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Income from operations</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61.1</w:t>
            </w:r>
          </w:p>
        </w:tc>
        <w:tc>
          <w:tcPr>
            <w:tcW w:w="12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51.2</w:t>
            </w:r>
          </w:p>
        </w:tc>
        <w:tc>
          <w:tcPr>
            <w:tcW w:w="10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118.3</w:t>
            </w:r>
          </w:p>
        </w:tc>
        <w:tc>
          <w:tcPr>
            <w:tcW w:w="12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101.6</w:t>
            </w:r>
          </w:p>
        </w:tc>
      </w:tr>
      <w:tr>
        <w:trPr>
          <w:trHeight w:val="283"/>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Non-operating expenses, net:</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Interest expense and other financing costs, net</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(17.9)</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(13.8)</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(34.2)</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(26.5)</w:t>
            </w:r>
          </w:p>
        </w:tc>
      </w:tr>
      <w:tr>
        <w:trPr>
          <w:trHeight w:val="270"/>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Other expense, net</w:t>
            </w:r>
          </w:p>
        </w:tc>
        <w:tc>
          <w:tcPr>
            <w:tcW w:w="26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(1.6)</w:t>
            </w: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w:t>
            </w:r>
          </w:p>
        </w:tc>
        <w:tc>
          <w:tcPr>
            <w:tcW w:w="12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w:t>
            </w:r>
          </w:p>
        </w:tc>
      </w:tr>
      <w:tr>
        <w:trPr>
          <w:trHeight w:val="250"/>
        </w:trPr>
        <w:tc>
          <w:tcPr>
            <w:tcW w:w="5960" w:type="dxa"/>
            <w:vAlign w:val="bottom"/>
            <w:tcBorders>
              <w:top w:val="single" w:sz="8" w:color="auto"/>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(19.5)</w:t>
            </w:r>
          </w:p>
        </w:tc>
        <w:tc>
          <w:tcPr>
            <w:tcW w:w="12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tcPr>
          <w:p>
            <w:pPr>
              <w:spacing w:after="0"/>
              <w:rPr>
                <w:sz w:val="21"/>
                <w:szCs w:val="21"/>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(16.4)</w:t>
            </w:r>
          </w:p>
        </w:tc>
        <w:tc>
          <w:tcPr>
            <w:tcW w:w="100" w:type="dxa"/>
            <w:vAlign w:val="bottom"/>
            <w:tcBorders>
              <w:bottom w:val="single" w:sz="8" w:color="CCEEFF"/>
            </w:tcBorders>
          </w:tcPr>
          <w:p>
            <w:pPr>
              <w:spacing w:after="0"/>
              <w:rPr>
                <w:sz w:val="21"/>
                <w:szCs w:val="21"/>
                <w:color w:val="auto"/>
              </w:rPr>
            </w:pPr>
          </w:p>
        </w:tc>
        <w:tc>
          <w:tcPr>
            <w:tcW w:w="300" w:type="dxa"/>
            <w:vAlign w:val="bottom"/>
            <w:tcBorders>
              <w:top w:val="single" w:sz="8" w:color="auto"/>
              <w:bottom w:val="single" w:sz="8" w:color="auto"/>
            </w:tcBorders>
          </w:tcPr>
          <w:p>
            <w:pPr>
              <w:spacing w:after="0"/>
              <w:rPr>
                <w:sz w:val="21"/>
                <w:szCs w:val="21"/>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(38.1)</w:t>
            </w:r>
          </w:p>
        </w:tc>
        <w:tc>
          <w:tcPr>
            <w:tcW w:w="120" w:type="dxa"/>
            <w:vAlign w:val="bottom"/>
            <w:tcBorders>
              <w:bottom w:val="single" w:sz="8" w:color="CCEEFF"/>
            </w:tcBorders>
          </w:tcPr>
          <w:p>
            <w:pPr>
              <w:spacing w:after="0"/>
              <w:rPr>
                <w:sz w:val="21"/>
                <w:szCs w:val="21"/>
                <w:color w:val="auto"/>
              </w:rPr>
            </w:pPr>
          </w:p>
        </w:tc>
        <w:tc>
          <w:tcPr>
            <w:tcW w:w="340" w:type="dxa"/>
            <w:vAlign w:val="bottom"/>
            <w:tcBorders>
              <w:top w:val="single" w:sz="8" w:color="auto"/>
              <w:bottom w:val="single" w:sz="8" w:color="auto"/>
            </w:tcBorders>
          </w:tcPr>
          <w:p>
            <w:pPr>
              <w:spacing w:after="0"/>
              <w:rPr>
                <w:sz w:val="21"/>
                <w:szCs w:val="21"/>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(30.6)</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Income before income taxes</w:t>
            </w:r>
          </w:p>
        </w:tc>
        <w:tc>
          <w:tcPr>
            <w:tcW w:w="2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41.6</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34.9</w:t>
            </w: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80.2</w:t>
            </w:r>
          </w:p>
        </w:tc>
        <w:tc>
          <w:tcPr>
            <w:tcW w:w="12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70.9</w:t>
            </w: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Provision for income taxes</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12.4</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4.6</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19.7</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9.6</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Net income including noncontrolling interest</w:t>
            </w:r>
          </w:p>
        </w:tc>
        <w:tc>
          <w:tcPr>
            <w:tcW w:w="2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29.2</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30.3</w:t>
            </w: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60.5</w:t>
            </w:r>
          </w:p>
        </w:tc>
        <w:tc>
          <w:tcPr>
            <w:tcW w:w="12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61.3</w:t>
            </w: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Net income attributable to noncontrolling interest</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0.5</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0.2</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0.6</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r>
      <w:tr>
        <w:trPr>
          <w:trHeight w:val="237"/>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Net income attributable to World Fuel</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28.7</w:t>
            </w:r>
          </w:p>
        </w:tc>
        <w:tc>
          <w:tcPr>
            <w:tcW w:w="120" w:type="dxa"/>
            <w:vAlign w:val="bottom"/>
            <w:shd w:val="clear" w:color="auto" w:fill="CCEEFF"/>
          </w:tcPr>
          <w:p>
            <w:pPr>
              <w:spacing w:after="0"/>
              <w:rPr>
                <w:sz w:val="20"/>
                <w:szCs w:val="20"/>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30.0</w:t>
            </w:r>
          </w:p>
        </w:tc>
        <w:tc>
          <w:tcPr>
            <w:tcW w:w="100" w:type="dxa"/>
            <w:vAlign w:val="bottom"/>
            <w:shd w:val="clear" w:color="auto" w:fill="CCEEFF"/>
          </w:tcPr>
          <w:p>
            <w:pPr>
              <w:spacing w:after="0"/>
              <w:rPr>
                <w:sz w:val="20"/>
                <w:szCs w:val="20"/>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59.9</w:t>
            </w:r>
          </w:p>
        </w:tc>
        <w:tc>
          <w:tcPr>
            <w:tcW w:w="12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61.4</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r>
      <w:tr>
        <w:trPr>
          <w:trHeight w:val="251"/>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Basic earnings per common share</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0.42</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0.44</w:t>
            </w: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0.89</w:t>
            </w:r>
          </w:p>
        </w:tc>
        <w:tc>
          <w:tcPr>
            <w:tcW w:w="12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0.90</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r>
      <w:tr>
        <w:trPr>
          <w:trHeight w:val="251"/>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Basic weighted average common shares</w:t>
            </w:r>
          </w:p>
        </w:tc>
        <w:tc>
          <w:tcPr>
            <w:tcW w:w="26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67.7</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68.4</w:t>
            </w: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67.6</w:t>
            </w:r>
          </w:p>
        </w:tc>
        <w:tc>
          <w:tcPr>
            <w:tcW w:w="1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68.5</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r>
      <w:tr>
        <w:trPr>
          <w:trHeight w:val="251"/>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Diluted earnings per common share</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0.42</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0.44</w:t>
            </w: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0.88</w:t>
            </w:r>
          </w:p>
        </w:tc>
        <w:tc>
          <w:tcPr>
            <w:tcW w:w="12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0.89</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r>
      <w:tr>
        <w:trPr>
          <w:trHeight w:val="251"/>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Diluted weighted average common shares</w:t>
            </w:r>
          </w:p>
        </w:tc>
        <w:tc>
          <w:tcPr>
            <w:tcW w:w="26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68.0</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68.7</w:t>
            </w: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67.9</w:t>
            </w:r>
          </w:p>
        </w:tc>
        <w:tc>
          <w:tcPr>
            <w:tcW w:w="1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68.9</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r>
      <w:tr>
        <w:trPr>
          <w:trHeight w:val="284"/>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Comprehensive income:</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r>
      <w:tr>
        <w:trPr>
          <w:trHeight w:val="264"/>
        </w:trPr>
        <w:tc>
          <w:tcPr>
            <w:tcW w:w="6080" w:type="dxa"/>
            <w:vAlign w:val="bottom"/>
            <w:gridSpan w:val="2"/>
          </w:tcPr>
          <w:p>
            <w:pPr>
              <w:ind w:left="40"/>
              <w:spacing w:after="0"/>
              <w:rPr>
                <w:sz w:val="20"/>
                <w:szCs w:val="20"/>
                <w:color w:val="auto"/>
              </w:rPr>
            </w:pPr>
            <w:r>
              <w:rPr>
                <w:rFonts w:ascii="Arial" w:cs="Arial" w:eastAsia="Arial" w:hAnsi="Arial"/>
                <w:sz w:val="14"/>
                <w:szCs w:val="14"/>
                <w:color w:val="auto"/>
              </w:rPr>
              <w:t>Net income including noncontrolling interest</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29.2</w:t>
            </w:r>
          </w:p>
        </w:tc>
        <w:tc>
          <w:tcPr>
            <w:tcW w:w="120" w:type="dxa"/>
            <w:vAlign w:val="bottom"/>
          </w:tcPr>
          <w:p>
            <w:pPr>
              <w:spacing w:after="0"/>
              <w:rPr>
                <w:sz w:val="22"/>
                <w:szCs w:val="22"/>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30.3</w:t>
            </w:r>
          </w:p>
        </w:tc>
        <w:tc>
          <w:tcPr>
            <w:tcW w:w="100" w:type="dxa"/>
            <w:vAlign w:val="bottom"/>
          </w:tcPr>
          <w:p>
            <w:pPr>
              <w:spacing w:after="0"/>
              <w:rPr>
                <w:sz w:val="22"/>
                <w:szCs w:val="22"/>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60.5</w:t>
            </w:r>
          </w:p>
        </w:tc>
        <w:tc>
          <w:tcPr>
            <w:tcW w:w="12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61.3</w:t>
            </w:r>
          </w:p>
        </w:tc>
      </w:tr>
      <w:tr>
        <w:trPr>
          <w:trHeight w:val="290"/>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Other comprehensive income (loss):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Foreign currency translation adjustments</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(28.6)</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11.2</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(18.3)</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17.6</w:t>
            </w:r>
          </w:p>
        </w:tc>
      </w:tr>
      <w:tr>
        <w:trPr>
          <w:trHeight w:val="163"/>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w w:val="94"/>
              </w:rPr>
              <w:t>Cash flow hedges, net of income tax expense of $3.1 for the three months ended June 30, 2018 and</w:t>
            </w:r>
          </w:p>
        </w:tc>
        <w:tc>
          <w:tcPr>
            <w:tcW w:w="26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r>
      <w:tr>
        <w:trPr>
          <w:trHeight w:val="149"/>
        </w:trPr>
        <w:tc>
          <w:tcPr>
            <w:tcW w:w="6080" w:type="dxa"/>
            <w:vAlign w:val="bottom"/>
            <w:gridSpan w:val="2"/>
            <w:shd w:val="clear" w:color="auto" w:fill="CCEEFF"/>
          </w:tcPr>
          <w:p>
            <w:pPr>
              <w:ind w:left="180"/>
              <w:spacing w:after="0" w:line="149" w:lineRule="exact"/>
              <w:rPr>
                <w:sz w:val="20"/>
                <w:szCs w:val="20"/>
                <w:color w:val="auto"/>
              </w:rPr>
            </w:pPr>
            <w:r>
              <w:rPr>
                <w:rFonts w:ascii="Arial" w:cs="Arial" w:eastAsia="Arial" w:hAnsi="Arial"/>
                <w:sz w:val="14"/>
                <w:szCs w:val="14"/>
                <w:color w:val="auto"/>
                <w:w w:val="95"/>
              </w:rPr>
              <w:t>net of income tax benefit of $1.1 and income tax expense of $6.6 for the six months ended June 30,</w:t>
            </w:r>
          </w:p>
        </w:tc>
        <w:tc>
          <w:tcPr>
            <w:tcW w:w="2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r>
      <w:tr>
        <w:trPr>
          <w:trHeight w:val="188"/>
        </w:trPr>
        <w:tc>
          <w:tcPr>
            <w:tcW w:w="59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2018 and 2017, respectively</w:t>
            </w:r>
          </w:p>
        </w:tc>
        <w:tc>
          <w:tcPr>
            <w:tcW w:w="12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6.9</w:t>
            </w:r>
          </w:p>
        </w:tc>
        <w:tc>
          <w:tcPr>
            <w:tcW w:w="120" w:type="dxa"/>
            <w:vAlign w:val="bottom"/>
            <w:shd w:val="clear" w:color="auto" w:fill="CCEEFF"/>
          </w:tcPr>
          <w:p>
            <w:pPr>
              <w:spacing w:after="0"/>
              <w:rPr>
                <w:sz w:val="16"/>
                <w:szCs w:val="16"/>
                <w:color w:val="auto"/>
              </w:rPr>
            </w:pPr>
          </w:p>
        </w:tc>
        <w:tc>
          <w:tcPr>
            <w:tcW w:w="32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w:t>
            </w:r>
          </w:p>
        </w:tc>
        <w:tc>
          <w:tcPr>
            <w:tcW w:w="120" w:type="dxa"/>
            <w:vAlign w:val="bottom"/>
            <w:shd w:val="clear" w:color="auto" w:fill="CCEEFF"/>
          </w:tcPr>
          <w:p>
            <w:pPr>
              <w:spacing w:after="0"/>
              <w:rPr>
                <w:sz w:val="16"/>
                <w:szCs w:val="16"/>
                <w:color w:val="auto"/>
              </w:rPr>
            </w:pPr>
          </w:p>
        </w:tc>
        <w:tc>
          <w:tcPr>
            <w:tcW w:w="340" w:type="dxa"/>
            <w:vAlign w:val="bottom"/>
            <w:tcBorders>
              <w:bottom w:val="single" w:sz="8" w:color="auto"/>
            </w:tcBorders>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10.5</w:t>
            </w:r>
          </w:p>
        </w:tc>
      </w:tr>
      <w:tr>
        <w:trPr>
          <w:trHeight w:val="250"/>
        </w:trPr>
        <w:tc>
          <w:tcPr>
            <w:tcW w:w="596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Other comprehensive income (loss):</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(21.7)</w:t>
            </w:r>
          </w:p>
        </w:tc>
        <w:tc>
          <w:tcPr>
            <w:tcW w:w="12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11.2</w:t>
            </w:r>
          </w:p>
        </w:tc>
        <w:tc>
          <w:tcPr>
            <w:tcW w:w="10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(21.1)</w:t>
            </w:r>
          </w:p>
        </w:tc>
        <w:tc>
          <w:tcPr>
            <w:tcW w:w="12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28.1</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Comprehensive income including noncontrolling interest</w:t>
            </w:r>
          </w:p>
        </w:tc>
        <w:tc>
          <w:tcPr>
            <w:tcW w:w="2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7.5</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41.5</w:t>
            </w: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39.3</w:t>
            </w:r>
          </w:p>
        </w:tc>
        <w:tc>
          <w:tcPr>
            <w:tcW w:w="12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89.4</w:t>
            </w: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Comprehensive (loss) income attributable to noncontrolling interest</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(1.1)</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w:t>
            </w:r>
          </w:p>
        </w:tc>
      </w:tr>
      <w:tr>
        <w:trPr>
          <w:trHeight w:val="237"/>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Comprehensive income attributable to World Fuel</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8.6</w:t>
            </w:r>
          </w:p>
        </w:tc>
        <w:tc>
          <w:tcPr>
            <w:tcW w:w="120" w:type="dxa"/>
            <w:vAlign w:val="bottom"/>
            <w:shd w:val="clear" w:color="auto" w:fill="CCEEFF"/>
          </w:tcPr>
          <w:p>
            <w:pPr>
              <w:spacing w:after="0"/>
              <w:rPr>
                <w:sz w:val="20"/>
                <w:szCs w:val="20"/>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40.3</w:t>
            </w:r>
          </w:p>
        </w:tc>
        <w:tc>
          <w:tcPr>
            <w:tcW w:w="100" w:type="dxa"/>
            <w:vAlign w:val="bottom"/>
            <w:shd w:val="clear" w:color="auto" w:fill="CCEEFF"/>
          </w:tcPr>
          <w:p>
            <w:pPr>
              <w:spacing w:after="0"/>
              <w:rPr>
                <w:sz w:val="20"/>
                <w:szCs w:val="20"/>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40.7</w:t>
            </w:r>
          </w:p>
        </w:tc>
        <w:tc>
          <w:tcPr>
            <w:tcW w:w="12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88.4</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1420"/>
          </w:cols>
          <w:pgMar w:left="240" w:top="796"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 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80" w:type="dxa"/>
            <w:vAlign w:val="bottom"/>
            <w:gridSpan w:val="5"/>
          </w:tcPr>
          <w:p>
            <w:pPr>
              <w:ind w:left="180"/>
              <w:spacing w:after="0"/>
              <w:rPr>
                <w:sz w:val="20"/>
                <w:szCs w:val="20"/>
                <w:color w:val="auto"/>
              </w:rPr>
            </w:pPr>
            <w:r>
              <w:rPr>
                <w:rFonts w:ascii="Arial" w:cs="Arial" w:eastAsia="Arial" w:hAnsi="Arial"/>
                <w:sz w:val="14"/>
                <w:szCs w:val="14"/>
                <w:b w:val="1"/>
                <w:bCs w:val="1"/>
                <w:color w:val="auto"/>
              </w:rPr>
              <w:t>For the Three Months Ended</w:t>
            </w:r>
          </w:p>
        </w:tc>
        <w:tc>
          <w:tcPr>
            <w:tcW w:w="300" w:type="dxa"/>
            <w:vAlign w:val="bottom"/>
          </w:tcPr>
          <w:p>
            <w:pPr>
              <w:spacing w:after="0"/>
              <w:rPr>
                <w:sz w:val="16"/>
                <w:szCs w:val="16"/>
                <w:color w:val="auto"/>
              </w:rPr>
            </w:pPr>
          </w:p>
        </w:tc>
        <w:tc>
          <w:tcPr>
            <w:tcW w:w="2300" w:type="dxa"/>
            <w:vAlign w:val="bottom"/>
            <w:gridSpan w:val="4"/>
          </w:tcPr>
          <w:p>
            <w:pPr>
              <w:jc w:val="right"/>
              <w:ind w:right="408"/>
              <w:spacing w:after="0"/>
              <w:rPr>
                <w:sz w:val="20"/>
                <w:szCs w:val="20"/>
                <w:color w:val="auto"/>
              </w:rPr>
            </w:pPr>
            <w:r>
              <w:rPr>
                <w:rFonts w:ascii="Arial" w:cs="Arial" w:eastAsia="Arial" w:hAnsi="Arial"/>
                <w:sz w:val="14"/>
                <w:szCs w:val="14"/>
                <w:b w:val="1"/>
                <w:bCs w:val="1"/>
                <w:color w:val="auto"/>
              </w:rPr>
              <w:t>For the Six Months Ended</w:t>
            </w:r>
          </w:p>
        </w:tc>
      </w:tr>
      <w:tr>
        <w:trPr>
          <w:trHeight w:val="276"/>
        </w:trPr>
        <w:tc>
          <w:tcPr>
            <w:tcW w:w="5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9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June 30,</w:t>
            </w:r>
          </w:p>
        </w:tc>
        <w:tc>
          <w:tcPr>
            <w:tcW w:w="900" w:type="dxa"/>
            <w:vAlign w:val="bottom"/>
            <w:tcBorders>
              <w:bottom w:val="single" w:sz="8" w:color="auto"/>
            </w:tcBorders>
          </w:tcPr>
          <w:p>
            <w:pPr>
              <w:spacing w:after="0"/>
              <w:rPr>
                <w:sz w:val="24"/>
                <w:szCs w:val="24"/>
                <w:color w:val="auto"/>
              </w:rPr>
            </w:pPr>
          </w:p>
        </w:tc>
      </w:tr>
      <w:tr>
        <w:trPr>
          <w:trHeight w:val="264"/>
        </w:trPr>
        <w:tc>
          <w:tcPr>
            <w:tcW w:w="59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2017</w:t>
            </w:r>
          </w:p>
        </w:tc>
      </w:tr>
      <w:tr>
        <w:trPr>
          <w:trHeight w:val="283"/>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Cash flows from operating activities: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r>
      <w:tr>
        <w:trPr>
          <w:trHeight w:val="264"/>
        </w:trPr>
        <w:tc>
          <w:tcPr>
            <w:tcW w:w="608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Net income (loss) including noncontrolling interest</w:t>
            </w: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29.2</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30.3</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60.5</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61.3</w:t>
            </w:r>
          </w:p>
        </w:tc>
      </w:tr>
      <w:tr>
        <w:trPr>
          <w:trHeight w:val="143"/>
        </w:trPr>
        <w:tc>
          <w:tcPr>
            <w:tcW w:w="6080" w:type="dxa"/>
            <w:vAlign w:val="bottom"/>
            <w:gridSpan w:val="2"/>
            <w:shd w:val="clear" w:color="auto" w:fill="CCEEFF"/>
          </w:tcPr>
          <w:p>
            <w:pPr>
              <w:ind w:left="180"/>
              <w:spacing w:after="0" w:line="143" w:lineRule="exact"/>
              <w:rPr>
                <w:sz w:val="20"/>
                <w:szCs w:val="20"/>
                <w:color w:val="auto"/>
              </w:rPr>
            </w:pPr>
            <w:r>
              <w:rPr>
                <w:rFonts w:ascii="Arial" w:cs="Arial" w:eastAsia="Arial" w:hAnsi="Arial"/>
                <w:sz w:val="14"/>
                <w:szCs w:val="14"/>
                <w:color w:val="auto"/>
              </w:rPr>
              <w:t>Adjustments to reconcile net income including noncontrolling interest to net cash provided by</w:t>
            </w:r>
          </w:p>
        </w:tc>
        <w:tc>
          <w:tcPr>
            <w:tcW w:w="2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r>
      <w:tr>
        <w:trPr>
          <w:trHeight w:val="194"/>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operating activities:</w:t>
            </w:r>
          </w:p>
        </w:tc>
        <w:tc>
          <w:tcPr>
            <w:tcW w:w="26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Depreciation and amortization</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19.6</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20.8</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38.4</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43.3</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Provision for bad debt</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3.9</w:t>
            </w: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Share-based payment award compensation costs</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2.2</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5.2</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6.4</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9.2</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Deferred income tax provision (benefit)</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6.0</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w:t>
            </w: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Foreign currency gains, net</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(5.0)</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(3.4)</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(6.5)</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Other</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(0.3)</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(0.8)</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0.4</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r>
      <w:tr>
        <w:trPr>
          <w:trHeight w:val="278"/>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Changes in assets and liabilities, net of acquisitions:</w:t>
            </w: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163"/>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Accounts receivable, net (reduced by beneficial interests received in exchange for accounts</w:t>
            </w:r>
          </w:p>
        </w:tc>
        <w:tc>
          <w:tcPr>
            <w:tcW w:w="26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r>
      <w:tr>
        <w:trPr>
          <w:trHeight w:val="149"/>
        </w:trPr>
        <w:tc>
          <w:tcPr>
            <w:tcW w:w="6080" w:type="dxa"/>
            <w:vAlign w:val="bottom"/>
            <w:gridSpan w:val="2"/>
            <w:shd w:val="clear" w:color="auto" w:fill="CCEEFF"/>
          </w:tcPr>
          <w:p>
            <w:pPr>
              <w:ind w:left="380"/>
              <w:spacing w:after="0" w:line="149" w:lineRule="exact"/>
              <w:rPr>
                <w:sz w:val="20"/>
                <w:szCs w:val="20"/>
                <w:color w:val="auto"/>
              </w:rPr>
            </w:pPr>
            <w:r>
              <w:rPr>
                <w:rFonts w:ascii="Arial" w:cs="Arial" w:eastAsia="Arial" w:hAnsi="Arial"/>
                <w:sz w:val="14"/>
                <w:szCs w:val="14"/>
                <w:color w:val="auto"/>
                <w:w w:val="97"/>
              </w:rPr>
              <w:t>receivables sold of $122.5 million and $83.2 million for the three months ended June 30, 2018</w:t>
            </w:r>
          </w:p>
        </w:tc>
        <w:tc>
          <w:tcPr>
            <w:tcW w:w="2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r>
      <w:tr>
        <w:trPr>
          <w:trHeight w:val="149"/>
        </w:trPr>
        <w:tc>
          <w:tcPr>
            <w:tcW w:w="6080" w:type="dxa"/>
            <w:vAlign w:val="bottom"/>
            <w:gridSpan w:val="2"/>
            <w:shd w:val="clear" w:color="auto" w:fill="CCEEFF"/>
          </w:tcPr>
          <w:p>
            <w:pPr>
              <w:ind w:left="380"/>
              <w:spacing w:after="0" w:line="149" w:lineRule="exact"/>
              <w:rPr>
                <w:sz w:val="20"/>
                <w:szCs w:val="20"/>
                <w:color w:val="auto"/>
              </w:rPr>
            </w:pPr>
            <w:r>
              <w:rPr>
                <w:rFonts w:ascii="Arial" w:cs="Arial" w:eastAsia="Arial" w:hAnsi="Arial"/>
                <w:sz w:val="14"/>
                <w:szCs w:val="14"/>
                <w:color w:val="auto"/>
                <w:w w:val="99"/>
              </w:rPr>
              <w:t>and 2017, respectively, and $241.5 million and $157.1 million for the six months ended June</w:t>
            </w:r>
          </w:p>
        </w:tc>
        <w:tc>
          <w:tcPr>
            <w:tcW w:w="2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r>
      <w:tr>
        <w:trPr>
          <w:trHeight w:val="194"/>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30, 2018 and 2017, respectively.)</w:t>
            </w:r>
          </w:p>
        </w:tc>
        <w:tc>
          <w:tcPr>
            <w:tcW w:w="26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(428.5)</w:t>
            </w:r>
          </w:p>
        </w:tc>
        <w:tc>
          <w:tcPr>
            <w:tcW w:w="12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(104.4)</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(499.7)</w:t>
            </w: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(47.7)</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Inventories</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28.0</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14.5</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(56.7)</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15.2</w:t>
            </w:r>
          </w:p>
        </w:tc>
      </w:tr>
      <w:tr>
        <w:trPr>
          <w:trHeight w:val="276"/>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Prepaid expenses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(3.9)</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0.5</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0.3</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Short-term derivative assets, net</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(19.3)</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4.0</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(22.0)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14.2</w:t>
            </w:r>
          </w:p>
        </w:tc>
      </w:tr>
      <w:tr>
        <w:trPr>
          <w:trHeight w:val="276"/>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Other current assets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(6.7)</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(32.2)</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Cash collateral with financial counterparties</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20.5</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(21.7)</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41.7</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(5.9)</w:t>
            </w:r>
          </w:p>
        </w:tc>
      </w:tr>
      <w:tr>
        <w:trPr>
          <w:trHeight w:val="276"/>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Other non-current assets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(4.4)</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(32.8)</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Accounts payable</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351.8</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57.4</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301.0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12.8</w:t>
            </w:r>
          </w:p>
        </w:tc>
      </w:tr>
      <w:tr>
        <w:trPr>
          <w:trHeight w:val="276"/>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Customer deposits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(6.9)</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(12.2)</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Accrued expenses and other current liabilities</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7.7</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(18.1)</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(22.5)</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(72.7)</w:t>
            </w:r>
          </w:p>
        </w:tc>
      </w:tr>
      <w:tr>
        <w:trPr>
          <w:trHeight w:val="270"/>
        </w:trPr>
        <w:tc>
          <w:tcPr>
            <w:tcW w:w="5960" w:type="dxa"/>
            <w:vAlign w:val="bottom"/>
            <w:tcBorders>
              <w:bottom w:val="single" w:sz="8" w:color="auto"/>
            </w:tcBorders>
            <w:shd w:val="clear" w:color="auto" w:fill="CCEEFF"/>
          </w:tcPr>
          <w:p>
            <w:pPr>
              <w:ind w:left="380"/>
              <w:spacing w:after="0"/>
              <w:rPr>
                <w:sz w:val="20"/>
                <w:szCs w:val="20"/>
                <w:color w:val="auto"/>
              </w:rPr>
            </w:pPr>
            <w:r>
              <w:rPr>
                <w:rFonts w:ascii="Arial" w:cs="Arial" w:eastAsia="Arial" w:hAnsi="Arial"/>
                <w:sz w:val="14"/>
                <w:szCs w:val="14"/>
                <w:color w:val="auto"/>
              </w:rPr>
              <w:t>Non-current income tax, net and other long-term liabilities</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7.9</w:t>
            </w:r>
          </w:p>
        </w:tc>
        <w:tc>
          <w:tcPr>
            <w:tcW w:w="12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(6.0)</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w:t>
            </w:r>
          </w:p>
        </w:tc>
      </w:tr>
      <w:tr>
        <w:trPr>
          <w:trHeight w:val="250"/>
        </w:trPr>
        <w:tc>
          <w:tcPr>
            <w:tcW w:w="596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Total adjustments</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(28.9)</w:t>
            </w:r>
          </w:p>
        </w:tc>
        <w:tc>
          <w:tcPr>
            <w:tcW w:w="12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(95.0)</w:t>
            </w:r>
          </w:p>
        </w:tc>
        <w:tc>
          <w:tcPr>
            <w:tcW w:w="10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(289.1)</w:t>
            </w:r>
          </w:p>
        </w:tc>
        <w:tc>
          <w:tcPr>
            <w:tcW w:w="12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(61.9)</w:t>
            </w:r>
          </w:p>
        </w:tc>
      </w:tr>
      <w:tr>
        <w:trPr>
          <w:trHeight w:val="250"/>
        </w:trPr>
        <w:tc>
          <w:tcPr>
            <w:tcW w:w="59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b w:val="1"/>
                <w:bCs w:val="1"/>
                <w:color w:val="auto"/>
              </w:rPr>
              <w:t>Net cash provided by (used in) operating activities</w:t>
            </w:r>
          </w:p>
        </w:tc>
        <w:tc>
          <w:tcPr>
            <w:tcW w:w="12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0.3</w:t>
            </w:r>
          </w:p>
        </w:tc>
        <w:tc>
          <w:tcPr>
            <w:tcW w:w="120" w:type="dxa"/>
            <w:vAlign w:val="bottom"/>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(64.7)</w:t>
            </w:r>
          </w:p>
        </w:tc>
        <w:tc>
          <w:tcPr>
            <w:tcW w:w="100" w:type="dxa"/>
            <w:vAlign w:val="bottom"/>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(228.6)</w:t>
            </w:r>
          </w:p>
        </w:tc>
        <w:tc>
          <w:tcPr>
            <w:tcW w:w="12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w:t>
            </w:r>
          </w:p>
        </w:tc>
      </w:tr>
      <w:tr>
        <w:trPr>
          <w:trHeight w:val="277"/>
        </w:trPr>
        <w:tc>
          <w:tcPr>
            <w:tcW w:w="6080" w:type="dxa"/>
            <w:vAlign w:val="bottom"/>
            <w:gridSpan w:val="2"/>
          </w:tcPr>
          <w:p>
            <w:pPr>
              <w:ind w:left="40"/>
              <w:spacing w:after="0"/>
              <w:rPr>
                <w:sz w:val="20"/>
                <w:szCs w:val="20"/>
                <w:color w:val="auto"/>
              </w:rPr>
            </w:pPr>
            <w:r>
              <w:rPr>
                <w:rFonts w:ascii="Arial" w:cs="Arial" w:eastAsia="Arial" w:hAnsi="Arial"/>
                <w:sz w:val="14"/>
                <w:szCs w:val="14"/>
                <w:color w:val="auto"/>
              </w:rPr>
              <w:t>Cash flows from investing activities:</w:t>
            </w: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Cash receipts of retained beneficial interests in receivable sales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121.8</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83.5</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241.9</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156.4</w:t>
            </w: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Acquisition of businesses, net of cash acquired</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1.0</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(0.4)</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(21.0)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(88.4)</w:t>
            </w: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Capital expenditures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(13.4)</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(21.4)</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(28.9)</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(31.5)</w:t>
            </w:r>
          </w:p>
        </w:tc>
      </w:tr>
      <w:tr>
        <w:trPr>
          <w:trHeight w:val="264"/>
        </w:trPr>
        <w:tc>
          <w:tcPr>
            <w:tcW w:w="596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Other investing activities, net</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4.1</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7.6</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(0.4)</w:t>
            </w:r>
          </w:p>
        </w:tc>
      </w:tr>
      <w:tr>
        <w:trPr>
          <w:trHeight w:val="250"/>
        </w:trPr>
        <w:tc>
          <w:tcPr>
            <w:tcW w:w="59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b w:val="1"/>
                <w:bCs w:val="1"/>
                <w:color w:val="auto"/>
              </w:rPr>
              <w:t>Net cash provided by investing activities</w:t>
            </w:r>
          </w:p>
        </w:tc>
        <w:tc>
          <w:tcPr>
            <w:tcW w:w="12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113.4</w:t>
            </w:r>
          </w:p>
        </w:tc>
        <w:tc>
          <w:tcPr>
            <w:tcW w:w="120" w:type="dxa"/>
            <w:vAlign w:val="bottom"/>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61.1</w:t>
            </w:r>
          </w:p>
        </w:tc>
        <w:tc>
          <w:tcPr>
            <w:tcW w:w="100" w:type="dxa"/>
            <w:vAlign w:val="bottom"/>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199.5</w:t>
            </w:r>
          </w:p>
        </w:tc>
        <w:tc>
          <w:tcPr>
            <w:tcW w:w="12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36.0</w:t>
            </w:r>
          </w:p>
        </w:tc>
      </w:tr>
      <w:tr>
        <w:trPr>
          <w:trHeight w:val="277"/>
        </w:trPr>
        <w:tc>
          <w:tcPr>
            <w:tcW w:w="6080" w:type="dxa"/>
            <w:vAlign w:val="bottom"/>
            <w:gridSpan w:val="2"/>
          </w:tcPr>
          <w:p>
            <w:pPr>
              <w:ind w:left="40"/>
              <w:spacing w:after="0"/>
              <w:rPr>
                <w:sz w:val="20"/>
                <w:szCs w:val="20"/>
                <w:color w:val="auto"/>
              </w:rPr>
            </w:pPr>
            <w:r>
              <w:rPr>
                <w:rFonts w:ascii="Arial" w:cs="Arial" w:eastAsia="Arial" w:hAnsi="Arial"/>
                <w:sz w:val="14"/>
                <w:szCs w:val="14"/>
                <w:color w:val="auto"/>
              </w:rPr>
              <w:t>Cash flows from financing activities:</w:t>
            </w: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Borrowings of debt</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1,406.1</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1,173.0</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2,875.0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1,991.8</w:t>
            </w: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Repayments of debt</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(1,474.5)</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(1,188.6)</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(3,019.5)</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(2,111.1)</w:t>
            </w: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Dividends paid on common stock</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w:t>
            </w:r>
          </w:p>
        </w:tc>
      </w:tr>
      <w:tr>
        <w:trPr>
          <w:trHeight w:val="157"/>
        </w:trPr>
        <w:tc>
          <w:tcPr>
            <w:tcW w:w="6080" w:type="dxa"/>
            <w:vAlign w:val="bottom"/>
            <w:gridSpan w:val="2"/>
          </w:tcPr>
          <w:p>
            <w:pPr>
              <w:ind w:left="180"/>
              <w:spacing w:after="0" w:line="157" w:lineRule="exact"/>
              <w:rPr>
                <w:sz w:val="20"/>
                <w:szCs w:val="20"/>
                <w:color w:val="auto"/>
              </w:rPr>
            </w:pPr>
            <w:r>
              <w:rPr>
                <w:rFonts w:ascii="Arial" w:cs="Arial" w:eastAsia="Arial" w:hAnsi="Arial"/>
                <w:sz w:val="14"/>
                <w:szCs w:val="14"/>
                <w:color w:val="auto"/>
                <w:w w:val="94"/>
              </w:rPr>
              <w:t>Purchases of common stock tendered by employees to satisfy the required withholding taxes related</w:t>
            </w:r>
          </w:p>
        </w:tc>
        <w:tc>
          <w:tcPr>
            <w:tcW w:w="2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r>
      <w:tr>
        <w:trPr>
          <w:trHeight w:val="188"/>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to share-based payment awards</w:t>
            </w:r>
          </w:p>
        </w:tc>
        <w:tc>
          <w:tcPr>
            <w:tcW w:w="260" w:type="dxa"/>
            <w:vAlign w:val="bottom"/>
          </w:tcPr>
          <w:p>
            <w:pPr>
              <w:spacing w:after="0"/>
              <w:rPr>
                <w:sz w:val="16"/>
                <w:szCs w:val="16"/>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(1.6)</w:t>
            </w:r>
          </w:p>
        </w:tc>
        <w:tc>
          <w:tcPr>
            <w:tcW w:w="1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(2.7)</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(3.9)</w:t>
            </w: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Purchases of common stock</w:t>
            </w:r>
          </w:p>
        </w:tc>
        <w:tc>
          <w:tcPr>
            <w:tcW w:w="26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24"/>
                <w:szCs w:val="2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(20.8)</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(31.9)</w:t>
            </w:r>
          </w:p>
        </w:tc>
      </w:tr>
      <w:tr>
        <w:trPr>
          <w:trHeight w:val="264"/>
        </w:trPr>
        <w:tc>
          <w:tcPr>
            <w:tcW w:w="596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Other financing activities, net</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(0.4)</w:t>
            </w:r>
          </w:p>
        </w:tc>
      </w:tr>
      <w:tr>
        <w:trPr>
          <w:trHeight w:val="250"/>
        </w:trPr>
        <w:tc>
          <w:tcPr>
            <w:tcW w:w="59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b w:val="1"/>
                <w:bCs w:val="1"/>
                <w:color w:val="auto"/>
              </w:rPr>
              <w:t>Net cash used in financing activities</w:t>
            </w:r>
          </w:p>
        </w:tc>
        <w:tc>
          <w:tcPr>
            <w:tcW w:w="12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(73.9)</w:t>
            </w:r>
          </w:p>
        </w:tc>
        <w:tc>
          <w:tcPr>
            <w:tcW w:w="120" w:type="dxa"/>
            <w:vAlign w:val="bottom"/>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(43.5)</w:t>
            </w:r>
          </w:p>
        </w:tc>
        <w:tc>
          <w:tcPr>
            <w:tcW w:w="100" w:type="dxa"/>
            <w:vAlign w:val="bottom"/>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(154.7)</w:t>
            </w:r>
          </w:p>
        </w:tc>
        <w:tc>
          <w:tcPr>
            <w:tcW w:w="12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(163.7)</w:t>
            </w:r>
          </w:p>
        </w:tc>
      </w:tr>
      <w:tr>
        <w:trPr>
          <w:trHeight w:val="250"/>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Effect of exchange rate changes on cash and cash equivalents</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(5.1)</w:t>
            </w:r>
          </w:p>
        </w:tc>
        <w:tc>
          <w:tcPr>
            <w:tcW w:w="12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w:t>
            </w:r>
          </w:p>
        </w:tc>
        <w:tc>
          <w:tcPr>
            <w:tcW w:w="10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w:t>
            </w:r>
          </w:p>
        </w:tc>
        <w:tc>
          <w:tcPr>
            <w:tcW w:w="12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5.2</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Net increase (decrease) in cash and cash equivalents</w:t>
            </w:r>
          </w:p>
        </w:tc>
        <w:tc>
          <w:tcPr>
            <w:tcW w:w="2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34.7</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(43.7)</w:t>
            </w: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(184.8)</w:t>
            </w:r>
          </w:p>
        </w:tc>
        <w:tc>
          <w:tcPr>
            <w:tcW w:w="12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(123.0)</w:t>
            </w: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Cash and cash equivalents, as of beginning of period</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152.9</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619.3</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372.3</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698.6</w:t>
            </w:r>
          </w:p>
        </w:tc>
      </w:tr>
      <w:tr>
        <w:trPr>
          <w:trHeight w:val="237"/>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Cash and cash equivalents, as of end of period</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187.6</w:t>
            </w:r>
          </w:p>
        </w:tc>
        <w:tc>
          <w:tcPr>
            <w:tcW w:w="120" w:type="dxa"/>
            <w:vAlign w:val="bottom"/>
            <w:shd w:val="clear" w:color="auto" w:fill="CCEEFF"/>
          </w:tcPr>
          <w:p>
            <w:pPr>
              <w:spacing w:after="0"/>
              <w:rPr>
                <w:sz w:val="20"/>
                <w:szCs w:val="20"/>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575.6</w:t>
            </w:r>
          </w:p>
        </w:tc>
        <w:tc>
          <w:tcPr>
            <w:tcW w:w="100" w:type="dxa"/>
            <w:vAlign w:val="bottom"/>
            <w:shd w:val="clear" w:color="auto" w:fill="CCEEFF"/>
          </w:tcPr>
          <w:p>
            <w:pPr>
              <w:spacing w:after="0"/>
              <w:rPr>
                <w:sz w:val="20"/>
                <w:szCs w:val="20"/>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187.6</w:t>
            </w:r>
          </w:p>
        </w:tc>
        <w:tc>
          <w:tcPr>
            <w:tcW w:w="12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575.6</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bl>
    <w:p>
      <w:pPr>
        <w:spacing w:after="0" w:line="197" w:lineRule="exact"/>
        <w:rPr>
          <w:sz w:val="20"/>
          <w:szCs w:val="20"/>
          <w:color w:val="auto"/>
        </w:rPr>
      </w:pPr>
    </w:p>
    <w:p>
      <w:pPr>
        <w:ind w:right="60" w:firstLine="8"/>
        <w:spacing w:after="0" w:line="273" w:lineRule="auto"/>
        <w:tabs>
          <w:tab w:leader="none" w:pos="108" w:val="left"/>
        </w:tabs>
        <w:numPr>
          <w:ilvl w:val="0"/>
          <w:numId w:val="3"/>
        </w:numPr>
        <w:rPr>
          <w:rFonts w:ascii="Arial" w:cs="Arial" w:eastAsia="Arial" w:hAnsi="Arial"/>
          <w:sz w:val="14"/>
          <w:szCs w:val="14"/>
          <w:color w:val="auto"/>
        </w:rPr>
      </w:pPr>
      <w:r>
        <w:rPr>
          <w:rFonts w:ascii="Arial" w:cs="Arial" w:eastAsia="Arial" w:hAnsi="Arial"/>
          <w:sz w:val="14"/>
          <w:szCs w:val="14"/>
          <w:color w:val="auto"/>
        </w:rPr>
        <w:t>The adoption of ASU 2016-15 resulted in operating cash flow decreases and investing cash flow increases of $121.8 million and $83.5 million for the three months ended June 30, 2018 and 2017, respectively, and $241.9 million and $156.4 million for the six months ended June 30, 2018 and 2017, respectively.</w:t>
      </w:r>
    </w:p>
    <w:p>
      <w:pPr>
        <w:sectPr>
          <w:pgSz w:w="11900" w:h="16838" w:orient="portrait"/>
          <w:cols w:equalWidth="0" w:num="1">
            <w:col w:w="11420"/>
          </w:cols>
          <w:pgMar w:left="240" w:top="918" w:right="239" w:bottom="1440" w:gutter="0" w:footer="0" w:header="0"/>
        </w:sectPr>
      </w:pPr>
    </w:p>
    <w:bookmarkStart w:id="10" w:name="page11"/>
    <w:bookmarkEnd w:id="10"/>
    <w:p>
      <w:pPr>
        <w:jc w:val="center"/>
        <w:ind w:left="2760" w:right="2760"/>
        <w:spacing w:after="0" w:line="266" w:lineRule="auto"/>
        <w:rPr>
          <w:sz w:val="20"/>
          <w:szCs w:val="20"/>
          <w:color w:val="auto"/>
        </w:rPr>
      </w:pPr>
      <w:r>
        <w:rPr>
          <w:rFonts w:ascii="Arial" w:cs="Arial" w:eastAsia="Arial" w:hAnsi="Arial"/>
          <w:sz w:val="18"/>
          <w:szCs w:val="18"/>
          <w:b w:val="1"/>
          <w:bCs w:val="1"/>
          <w:color w:val="auto"/>
        </w:rPr>
        <w:t xml:space="preserve">WORLD FUEL SERVICES CORPORATION RECONCILIATION OF GAAP TO NON-GAAP FINANCIAL MEASURES </w:t>
      </w:r>
      <w:r>
        <w:rPr>
          <w:rFonts w:ascii="Arial" w:cs="Arial" w:eastAsia="Arial" w:hAnsi="Arial"/>
          <w:sz w:val="18"/>
          <w:szCs w:val="18"/>
          <w:color w:val="auto"/>
        </w:rPr>
        <w:t>(Unaudited - In millions, except per share data)</w:t>
      </w:r>
    </w:p>
    <w:p>
      <w:pPr>
        <w:sectPr>
          <w:pgSz w:w="11900" w:h="16838" w:orient="portrait"/>
          <w:cols w:equalWidth="0" w:num="1">
            <w:col w:w="11420"/>
          </w:cols>
          <w:pgMar w:left="240" w:top="796"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Non-GAAP financial measures and reconciliation: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-122555</wp:posOffset>
            </wp:positionV>
            <wp:extent cx="37731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773170" cy="8890"/>
                    </a:xfrm>
                    <a:prstGeom prst="rect">
                      <a:avLst/>
                    </a:prstGeom>
                    <a:noFill/>
                  </pic:spPr>
                </pic:pic>
              </a:graphicData>
            </a:graphic>
          </wp:anchor>
        </w:drawing>
      </w:r>
    </w:p>
    <w:p>
      <w:pPr>
        <w:spacing w:after="0" w:line="145"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income attributable to World Fuel</w:t>
      </w:r>
    </w:p>
    <w:p>
      <w:pPr>
        <w:spacing w:after="0" w:line="6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Acquisition related charges</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3"/>
          <w:szCs w:val="13"/>
          <w:color w:val="auto"/>
        </w:rPr>
        <w:t>Severance and other restructuring-related costs</w:t>
      </w:r>
    </w:p>
    <w:p>
      <w:pPr>
        <w:spacing w:after="0" w:line="121" w:lineRule="exact"/>
        <w:rPr>
          <w:sz w:val="20"/>
          <w:szCs w:val="20"/>
          <w:color w:val="auto"/>
        </w:rPr>
      </w:pPr>
    </w:p>
    <w:p>
      <w:pPr>
        <w:ind w:left="280"/>
        <w:spacing w:after="0"/>
        <w:rPr>
          <w:sz w:val="20"/>
          <w:szCs w:val="20"/>
          <w:color w:val="auto"/>
        </w:rPr>
      </w:pPr>
      <w:r>
        <w:rPr>
          <w:rFonts w:ascii="Arial" w:cs="Arial" w:eastAsia="Arial" w:hAnsi="Arial"/>
          <w:sz w:val="14"/>
          <w:szCs w:val="14"/>
          <w:color w:val="auto"/>
        </w:rPr>
        <w:t>Income tax impacts</w:t>
      </w:r>
    </w:p>
    <w:p>
      <w:pPr>
        <w:spacing w:after="0" w:line="150" w:lineRule="exact"/>
        <w:rPr>
          <w:sz w:val="20"/>
          <w:szCs w:val="20"/>
          <w:color w:val="auto"/>
        </w:rPr>
      </w:pPr>
    </w:p>
    <w:p>
      <w:pPr>
        <w:ind w:left="40"/>
        <w:spacing w:after="0"/>
        <w:rPr>
          <w:sz w:val="20"/>
          <w:szCs w:val="20"/>
          <w:color w:val="auto"/>
        </w:rPr>
      </w:pPr>
      <w:r>
        <w:rPr>
          <w:rFonts w:ascii="Arial" w:cs="Arial" w:eastAsia="Arial" w:hAnsi="Arial"/>
          <w:sz w:val="14"/>
          <w:szCs w:val="14"/>
          <w:color w:val="auto"/>
        </w:rPr>
        <w:t>Adjusted net income attributable to World Fuel</w:t>
      </w:r>
    </w:p>
    <w:p>
      <w:pPr>
        <w:spacing w:after="0" w:line="20" w:lineRule="exact"/>
        <w:rPr>
          <w:sz w:val="20"/>
          <w:szCs w:val="20"/>
          <w:color w:val="auto"/>
        </w:rPr>
      </w:pPr>
      <w:r>
        <w:rPr>
          <w:sz w:val="20"/>
          <w:szCs w:val="20"/>
          <w:color w:val="auto"/>
        </w:rPr>
        <w:br w:type="column"/>
      </w:r>
    </w:p>
    <w:p>
      <w:pPr>
        <w:spacing w:after="0" w:line="12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7"/>
        </w:trPr>
        <w:tc>
          <w:tcPr>
            <w:tcW w:w="2260" w:type="dxa"/>
            <w:vAlign w:val="bottom"/>
            <w:gridSpan w:val="4"/>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860" w:type="dxa"/>
            <w:vAlign w:val="bottom"/>
            <w:gridSpan w:val="3"/>
          </w:tcPr>
          <w:p>
            <w:pPr>
              <w:jc w:val="right"/>
              <w:spacing w:after="0"/>
              <w:rPr>
                <w:sz w:val="20"/>
                <w:szCs w:val="20"/>
                <w:color w:val="auto"/>
              </w:rPr>
            </w:pPr>
            <w:r>
              <w:rPr>
                <w:rFonts w:ascii="Arial" w:cs="Arial" w:eastAsia="Arial" w:hAnsi="Arial"/>
                <w:sz w:val="14"/>
                <w:szCs w:val="14"/>
                <w:b w:val="1"/>
                <w:bCs w:val="1"/>
                <w:color w:val="auto"/>
              </w:rPr>
              <w:t>For the Six Months Ended</w:t>
            </w:r>
          </w:p>
        </w:tc>
        <w:tc>
          <w:tcPr>
            <w:tcW w:w="440" w:type="dxa"/>
            <w:vAlign w:val="bottom"/>
          </w:tcPr>
          <w:p>
            <w:pPr>
              <w:spacing w:after="0"/>
              <w:rPr>
                <w:sz w:val="19"/>
                <w:szCs w:val="19"/>
                <w:color w:val="auto"/>
              </w:rPr>
            </w:pPr>
          </w:p>
        </w:tc>
      </w:tr>
      <w:tr>
        <w:trPr>
          <w:trHeight w:val="276"/>
        </w:trPr>
        <w:tc>
          <w:tcPr>
            <w:tcW w:w="84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jc w:val="right"/>
              <w:ind w:right="608"/>
              <w:spacing w:after="0"/>
              <w:rPr>
                <w:sz w:val="20"/>
                <w:szCs w:val="20"/>
                <w:color w:val="auto"/>
              </w:rPr>
            </w:pPr>
            <w:r>
              <w:rPr>
                <w:rFonts w:ascii="Arial" w:cs="Arial" w:eastAsia="Arial" w:hAnsi="Arial"/>
                <w:sz w:val="14"/>
                <w:szCs w:val="14"/>
                <w:b w:val="1"/>
                <w:bCs w:val="1"/>
                <w:color w:val="auto"/>
              </w:rPr>
              <w:t>June 30,</w:t>
            </w:r>
          </w:p>
        </w:tc>
        <w:tc>
          <w:tcPr>
            <w:tcW w:w="3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gridSpan w:val="3"/>
          </w:tcPr>
          <w:p>
            <w:pPr>
              <w:jc w:val="right"/>
              <w:ind w:right="508"/>
              <w:spacing w:after="0"/>
              <w:rPr>
                <w:sz w:val="20"/>
                <w:szCs w:val="20"/>
                <w:color w:val="auto"/>
              </w:rPr>
            </w:pPr>
            <w:r>
              <w:rPr>
                <w:rFonts w:ascii="Arial" w:cs="Arial" w:eastAsia="Arial" w:hAnsi="Arial"/>
                <w:sz w:val="14"/>
                <w:szCs w:val="14"/>
                <w:b w:val="1"/>
                <w:bCs w:val="1"/>
                <w:color w:val="auto"/>
              </w:rPr>
              <w:t>June 30,</w:t>
            </w:r>
          </w:p>
        </w:tc>
        <w:tc>
          <w:tcPr>
            <w:tcW w:w="440" w:type="dxa"/>
            <w:vAlign w:val="bottom"/>
            <w:tcBorders>
              <w:bottom w:val="single" w:sz="8" w:color="auto"/>
            </w:tcBorders>
          </w:tcPr>
          <w:p>
            <w:pPr>
              <w:spacing w:after="0"/>
              <w:rPr>
                <w:sz w:val="24"/>
                <w:szCs w:val="24"/>
                <w:color w:val="auto"/>
              </w:rPr>
            </w:pPr>
          </w:p>
        </w:tc>
      </w:tr>
      <w:tr>
        <w:trPr>
          <w:trHeight w:val="264"/>
        </w:trPr>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44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2017</w:t>
            </w:r>
          </w:p>
        </w:tc>
        <w:tc>
          <w:tcPr>
            <w:tcW w:w="38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2017</w:t>
            </w:r>
          </w:p>
        </w:tc>
      </w:tr>
      <w:tr>
        <w:trPr>
          <w:trHeight w:val="244"/>
        </w:trPr>
        <w:tc>
          <w:tcPr>
            <w:tcW w:w="840" w:type="dxa"/>
            <w:vAlign w:val="bottom"/>
          </w:tcPr>
          <w:p>
            <w:pPr>
              <w:jc w:val="right"/>
              <w:ind w:right="668"/>
              <w:spacing w:after="0"/>
              <w:rPr>
                <w:sz w:val="20"/>
                <w:szCs w:val="20"/>
                <w:color w:val="auto"/>
              </w:rPr>
            </w:pPr>
            <w:r>
              <w:rPr>
                <w:rFonts w:ascii="Arial" w:cs="Arial" w:eastAsia="Arial" w:hAnsi="Arial"/>
                <w:sz w:val="14"/>
                <w:szCs w:val="14"/>
                <w:color w:val="auto"/>
              </w:rPr>
              <w:t>$</w:t>
            </w:r>
          </w:p>
        </w:tc>
        <w:tc>
          <w:tcPr>
            <w:tcW w:w="440" w:type="dxa"/>
            <w:vAlign w:val="bottom"/>
          </w:tcPr>
          <w:p>
            <w:pPr>
              <w:jc w:val="right"/>
              <w:ind w:right="48"/>
              <w:spacing w:after="0"/>
              <w:rPr>
                <w:sz w:val="20"/>
                <w:szCs w:val="20"/>
                <w:color w:val="auto"/>
              </w:rPr>
            </w:pPr>
            <w:r>
              <w:rPr>
                <w:rFonts w:ascii="Arial" w:cs="Arial" w:eastAsia="Arial" w:hAnsi="Arial"/>
                <w:sz w:val="14"/>
                <w:szCs w:val="14"/>
                <w:color w:val="auto"/>
              </w:rPr>
              <w:t>28.7</w:t>
            </w:r>
          </w:p>
        </w:tc>
        <w:tc>
          <w:tcPr>
            <w:tcW w:w="120" w:type="dxa"/>
            <w:vAlign w:val="bottom"/>
          </w:tcPr>
          <w:p>
            <w:pPr>
              <w:spacing w:after="0"/>
              <w:rPr>
                <w:sz w:val="21"/>
                <w:szCs w:val="21"/>
                <w:color w:val="auto"/>
              </w:rPr>
            </w:pPr>
          </w:p>
        </w:tc>
        <w:tc>
          <w:tcPr>
            <w:tcW w:w="860" w:type="dxa"/>
            <w:vAlign w:val="bottom"/>
          </w:tcPr>
          <w:p>
            <w:pPr>
              <w:jc w:val="right"/>
              <w:ind w:right="688"/>
              <w:spacing w:after="0"/>
              <w:rPr>
                <w:sz w:val="20"/>
                <w:szCs w:val="20"/>
                <w:color w:val="auto"/>
              </w:rPr>
            </w:pPr>
            <w:r>
              <w:rPr>
                <w:rFonts w:ascii="Arial" w:cs="Arial" w:eastAsia="Arial" w:hAnsi="Arial"/>
                <w:sz w:val="14"/>
                <w:szCs w:val="14"/>
                <w:color w:val="auto"/>
              </w:rPr>
              <w:t>$</w:t>
            </w:r>
          </w:p>
        </w:tc>
        <w:tc>
          <w:tcPr>
            <w:tcW w:w="380" w:type="dxa"/>
            <w:vAlign w:val="bottom"/>
          </w:tcPr>
          <w:p>
            <w:pPr>
              <w:jc w:val="right"/>
              <w:ind w:right="28"/>
              <w:spacing w:after="0"/>
              <w:rPr>
                <w:sz w:val="20"/>
                <w:szCs w:val="20"/>
                <w:color w:val="auto"/>
              </w:rPr>
            </w:pPr>
            <w:r>
              <w:rPr>
                <w:rFonts w:ascii="Arial" w:cs="Arial" w:eastAsia="Arial" w:hAnsi="Arial"/>
                <w:sz w:val="14"/>
                <w:szCs w:val="14"/>
                <w:color w:val="auto"/>
                <w:w w:val="95"/>
              </w:rPr>
              <w:t>30.0</w:t>
            </w:r>
          </w:p>
        </w:tc>
        <w:tc>
          <w:tcPr>
            <w:tcW w:w="100" w:type="dxa"/>
            <w:vAlign w:val="bottom"/>
          </w:tcPr>
          <w:p>
            <w:pPr>
              <w:spacing w:after="0"/>
              <w:rPr>
                <w:sz w:val="21"/>
                <w:szCs w:val="21"/>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59.9</w:t>
            </w:r>
          </w:p>
        </w:tc>
        <w:tc>
          <w:tcPr>
            <w:tcW w:w="120" w:type="dxa"/>
            <w:vAlign w:val="bottom"/>
          </w:tcPr>
          <w:p>
            <w:pPr>
              <w:spacing w:after="0"/>
              <w:rPr>
                <w:sz w:val="21"/>
                <w:szCs w:val="21"/>
                <w:color w:val="auto"/>
              </w:rPr>
            </w:pPr>
          </w:p>
        </w:tc>
        <w:tc>
          <w:tcPr>
            <w:tcW w:w="800" w:type="dxa"/>
            <w:vAlign w:val="bottom"/>
          </w:tcPr>
          <w:p>
            <w:pPr>
              <w:jc w:val="right"/>
              <w:ind w:right="628"/>
              <w:spacing w:after="0"/>
              <w:rPr>
                <w:sz w:val="20"/>
                <w:szCs w:val="20"/>
                <w:color w:val="auto"/>
              </w:rPr>
            </w:pPr>
            <w:r>
              <w:rPr>
                <w:rFonts w:ascii="Arial" w:cs="Arial" w:eastAsia="Arial" w:hAnsi="Arial"/>
                <w:sz w:val="14"/>
                <w:szCs w:val="14"/>
                <w:color w:val="auto"/>
              </w:rPr>
              <w:t>$</w:t>
            </w:r>
          </w:p>
        </w:tc>
        <w:tc>
          <w:tcPr>
            <w:tcW w:w="440" w:type="dxa"/>
            <w:vAlign w:val="bottom"/>
          </w:tcPr>
          <w:p>
            <w:pPr>
              <w:jc w:val="right"/>
              <w:ind w:right="28"/>
              <w:spacing w:after="0"/>
              <w:rPr>
                <w:sz w:val="20"/>
                <w:szCs w:val="20"/>
                <w:color w:val="auto"/>
              </w:rPr>
            </w:pPr>
            <w:r>
              <w:rPr>
                <w:rFonts w:ascii="Arial" w:cs="Arial" w:eastAsia="Arial" w:hAnsi="Arial"/>
                <w:sz w:val="14"/>
                <w:szCs w:val="14"/>
                <w:color w:val="auto"/>
              </w:rPr>
              <w:t>61.4</w:t>
            </w:r>
          </w:p>
        </w:tc>
      </w:tr>
      <w:tr>
        <w:trPr>
          <w:trHeight w:val="270"/>
        </w:trPr>
        <w:tc>
          <w:tcPr>
            <w:tcW w:w="840" w:type="dxa"/>
            <w:vAlign w:val="bottom"/>
          </w:tcPr>
          <w:p>
            <w:pPr>
              <w:spacing w:after="0"/>
              <w:rPr>
                <w:sz w:val="23"/>
                <w:szCs w:val="23"/>
                <w:color w:val="auto"/>
              </w:rPr>
            </w:pPr>
          </w:p>
        </w:tc>
        <w:tc>
          <w:tcPr>
            <w:tcW w:w="440" w:type="dxa"/>
            <w:vAlign w:val="bottom"/>
          </w:tcPr>
          <w:p>
            <w:pPr>
              <w:jc w:val="right"/>
              <w:ind w:right="48"/>
              <w:spacing w:after="0"/>
              <w:rPr>
                <w:sz w:val="20"/>
                <w:szCs w:val="20"/>
                <w:color w:val="auto"/>
              </w:rPr>
            </w:pPr>
            <w:r>
              <w:rPr>
                <w:rFonts w:ascii="Arial" w:cs="Arial" w:eastAsia="Arial" w:hAnsi="Arial"/>
                <w:sz w:val="14"/>
                <w:szCs w:val="14"/>
                <w:color w:val="auto"/>
              </w:rPr>
              <w:t>0.8</w:t>
            </w:r>
          </w:p>
        </w:tc>
        <w:tc>
          <w:tcPr>
            <w:tcW w:w="1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380" w:type="dxa"/>
            <w:vAlign w:val="bottom"/>
          </w:tcPr>
          <w:p>
            <w:pPr>
              <w:jc w:val="right"/>
              <w:ind w:right="28"/>
              <w:spacing w:after="0"/>
              <w:rPr>
                <w:sz w:val="20"/>
                <w:szCs w:val="20"/>
                <w:color w:val="auto"/>
              </w:rPr>
            </w:pPr>
            <w:r>
              <w:rPr>
                <w:rFonts w:ascii="Arial" w:cs="Arial" w:eastAsia="Arial" w:hAnsi="Arial"/>
                <w:sz w:val="14"/>
                <w:szCs w:val="14"/>
                <w:color w:val="auto"/>
              </w:rPr>
              <w:t>2.6</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1.4</w:t>
            </w: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40" w:type="dxa"/>
            <w:vAlign w:val="bottom"/>
          </w:tcPr>
          <w:p>
            <w:pPr>
              <w:jc w:val="right"/>
              <w:ind w:right="28"/>
              <w:spacing w:after="0"/>
              <w:rPr>
                <w:sz w:val="20"/>
                <w:szCs w:val="20"/>
                <w:color w:val="auto"/>
              </w:rPr>
            </w:pPr>
            <w:r>
              <w:rPr>
                <w:rFonts w:ascii="Arial" w:cs="Arial" w:eastAsia="Arial" w:hAnsi="Arial"/>
                <w:sz w:val="14"/>
                <w:szCs w:val="14"/>
                <w:color w:val="auto"/>
              </w:rPr>
              <w:t>5.5</w:t>
            </w:r>
          </w:p>
        </w:tc>
      </w:tr>
      <w:tr>
        <w:trPr>
          <w:trHeight w:val="270"/>
        </w:trPr>
        <w:tc>
          <w:tcPr>
            <w:tcW w:w="840" w:type="dxa"/>
            <w:vAlign w:val="bottom"/>
          </w:tcPr>
          <w:p>
            <w:pPr>
              <w:spacing w:after="0"/>
              <w:rPr>
                <w:sz w:val="23"/>
                <w:szCs w:val="23"/>
                <w:color w:val="auto"/>
              </w:rPr>
            </w:pPr>
          </w:p>
        </w:tc>
        <w:tc>
          <w:tcPr>
            <w:tcW w:w="440" w:type="dxa"/>
            <w:vAlign w:val="bottom"/>
          </w:tcPr>
          <w:p>
            <w:pPr>
              <w:jc w:val="right"/>
              <w:ind w:right="48"/>
              <w:spacing w:after="0"/>
              <w:rPr>
                <w:sz w:val="20"/>
                <w:szCs w:val="20"/>
                <w:color w:val="auto"/>
              </w:rPr>
            </w:pPr>
            <w:r>
              <w:rPr>
                <w:rFonts w:ascii="Arial" w:cs="Arial" w:eastAsia="Arial" w:hAnsi="Arial"/>
                <w:sz w:val="14"/>
                <w:szCs w:val="14"/>
                <w:color w:val="auto"/>
              </w:rPr>
              <w:t>2.7</w:t>
            </w:r>
          </w:p>
        </w:tc>
        <w:tc>
          <w:tcPr>
            <w:tcW w:w="1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380" w:type="dxa"/>
            <w:vAlign w:val="bottom"/>
          </w:tcPr>
          <w:p>
            <w:pPr>
              <w:jc w:val="right"/>
              <w:ind w:right="28"/>
              <w:spacing w:after="0"/>
              <w:rPr>
                <w:sz w:val="20"/>
                <w:szCs w:val="20"/>
                <w:color w:val="auto"/>
              </w:rPr>
            </w:pPr>
            <w:r>
              <w:rPr>
                <w:rFonts w:ascii="Arial" w:cs="Arial" w:eastAsia="Arial" w:hAnsi="Arial"/>
                <w:sz w:val="14"/>
                <w:szCs w:val="14"/>
                <w:color w:val="auto"/>
              </w:rPr>
              <w:t>3.1</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7.0</w:t>
            </w: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40" w:type="dxa"/>
            <w:vAlign w:val="bottom"/>
          </w:tcPr>
          <w:p>
            <w:pPr>
              <w:jc w:val="right"/>
              <w:ind w:right="28"/>
              <w:spacing w:after="0"/>
              <w:rPr>
                <w:sz w:val="20"/>
                <w:szCs w:val="20"/>
                <w:color w:val="auto"/>
              </w:rPr>
            </w:pPr>
            <w:r>
              <w:rPr>
                <w:rFonts w:ascii="Arial" w:cs="Arial" w:eastAsia="Arial" w:hAnsi="Arial"/>
                <w:sz w:val="14"/>
                <w:szCs w:val="14"/>
                <w:color w:val="auto"/>
              </w:rPr>
              <w:t>5.0</w:t>
            </w:r>
          </w:p>
        </w:tc>
      </w:tr>
      <w:tr>
        <w:trPr>
          <w:trHeight w:val="276"/>
        </w:trPr>
        <w:tc>
          <w:tcPr>
            <w:tcW w:w="84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(0.6)</w:t>
            </w:r>
          </w:p>
        </w:tc>
        <w:tc>
          <w:tcPr>
            <w:tcW w:w="120" w:type="dxa"/>
            <w:vAlign w:val="bottom"/>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w:t>
            </w:r>
          </w:p>
        </w:tc>
        <w:tc>
          <w:tcPr>
            <w:tcW w:w="120" w:type="dxa"/>
            <w:vAlign w:val="bottom"/>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w:t>
            </w:r>
          </w:p>
        </w:tc>
      </w:tr>
      <w:tr>
        <w:trPr>
          <w:trHeight w:val="244"/>
        </w:trPr>
        <w:tc>
          <w:tcPr>
            <w:tcW w:w="840" w:type="dxa"/>
            <w:vAlign w:val="bottom"/>
          </w:tcPr>
          <w:p>
            <w:pPr>
              <w:jc w:val="right"/>
              <w:ind w:right="668"/>
              <w:spacing w:after="0"/>
              <w:rPr>
                <w:sz w:val="20"/>
                <w:szCs w:val="20"/>
                <w:color w:val="auto"/>
              </w:rPr>
            </w:pPr>
            <w:r>
              <w:rPr>
                <w:rFonts w:ascii="Arial" w:cs="Arial" w:eastAsia="Arial" w:hAnsi="Arial"/>
                <w:sz w:val="14"/>
                <w:szCs w:val="14"/>
                <w:color w:val="auto"/>
              </w:rPr>
              <w:t>$</w:t>
            </w:r>
          </w:p>
        </w:tc>
        <w:tc>
          <w:tcPr>
            <w:tcW w:w="440" w:type="dxa"/>
            <w:vAlign w:val="bottom"/>
          </w:tcPr>
          <w:p>
            <w:pPr>
              <w:jc w:val="right"/>
              <w:ind w:right="48"/>
              <w:spacing w:after="0"/>
              <w:rPr>
                <w:sz w:val="20"/>
                <w:szCs w:val="20"/>
                <w:color w:val="auto"/>
              </w:rPr>
            </w:pPr>
            <w:r>
              <w:rPr>
                <w:rFonts w:ascii="Arial" w:cs="Arial" w:eastAsia="Arial" w:hAnsi="Arial"/>
                <w:sz w:val="14"/>
                <w:szCs w:val="14"/>
                <w:color w:val="auto"/>
              </w:rPr>
              <w:t>31.7</w:t>
            </w:r>
          </w:p>
        </w:tc>
        <w:tc>
          <w:tcPr>
            <w:tcW w:w="120" w:type="dxa"/>
            <w:vAlign w:val="bottom"/>
          </w:tcPr>
          <w:p>
            <w:pPr>
              <w:spacing w:after="0"/>
              <w:rPr>
                <w:sz w:val="21"/>
                <w:szCs w:val="21"/>
                <w:color w:val="auto"/>
              </w:rPr>
            </w:pPr>
          </w:p>
        </w:tc>
        <w:tc>
          <w:tcPr>
            <w:tcW w:w="860" w:type="dxa"/>
            <w:vAlign w:val="bottom"/>
          </w:tcPr>
          <w:p>
            <w:pPr>
              <w:jc w:val="right"/>
              <w:ind w:right="688"/>
              <w:spacing w:after="0"/>
              <w:rPr>
                <w:sz w:val="20"/>
                <w:szCs w:val="20"/>
                <w:color w:val="auto"/>
              </w:rPr>
            </w:pPr>
            <w:r>
              <w:rPr>
                <w:rFonts w:ascii="Arial" w:cs="Arial" w:eastAsia="Arial" w:hAnsi="Arial"/>
                <w:sz w:val="14"/>
                <w:szCs w:val="14"/>
                <w:color w:val="auto"/>
              </w:rPr>
              <w:t>$</w:t>
            </w:r>
          </w:p>
        </w:tc>
        <w:tc>
          <w:tcPr>
            <w:tcW w:w="380" w:type="dxa"/>
            <w:vAlign w:val="bottom"/>
          </w:tcPr>
          <w:p>
            <w:pPr>
              <w:jc w:val="right"/>
              <w:ind w:right="28"/>
              <w:spacing w:after="0"/>
              <w:rPr>
                <w:sz w:val="20"/>
                <w:szCs w:val="20"/>
                <w:color w:val="auto"/>
              </w:rPr>
            </w:pPr>
            <w:r>
              <w:rPr>
                <w:rFonts w:ascii="Arial" w:cs="Arial" w:eastAsia="Arial" w:hAnsi="Arial"/>
                <w:sz w:val="14"/>
                <w:szCs w:val="14"/>
                <w:color w:val="auto"/>
                <w:w w:val="95"/>
              </w:rPr>
              <w:t>34.2</w:t>
            </w:r>
          </w:p>
        </w:tc>
        <w:tc>
          <w:tcPr>
            <w:tcW w:w="100" w:type="dxa"/>
            <w:vAlign w:val="bottom"/>
          </w:tcPr>
          <w:p>
            <w:pPr>
              <w:spacing w:after="0"/>
              <w:rPr>
                <w:sz w:val="21"/>
                <w:szCs w:val="21"/>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66.7</w:t>
            </w:r>
          </w:p>
        </w:tc>
        <w:tc>
          <w:tcPr>
            <w:tcW w:w="120" w:type="dxa"/>
            <w:vAlign w:val="bottom"/>
          </w:tcPr>
          <w:p>
            <w:pPr>
              <w:spacing w:after="0"/>
              <w:rPr>
                <w:sz w:val="21"/>
                <w:szCs w:val="21"/>
                <w:color w:val="auto"/>
              </w:rPr>
            </w:pPr>
          </w:p>
        </w:tc>
        <w:tc>
          <w:tcPr>
            <w:tcW w:w="800" w:type="dxa"/>
            <w:vAlign w:val="bottom"/>
          </w:tcPr>
          <w:p>
            <w:pPr>
              <w:jc w:val="right"/>
              <w:ind w:right="628"/>
              <w:spacing w:after="0"/>
              <w:rPr>
                <w:sz w:val="20"/>
                <w:szCs w:val="20"/>
                <w:color w:val="auto"/>
              </w:rPr>
            </w:pPr>
            <w:r>
              <w:rPr>
                <w:rFonts w:ascii="Arial" w:cs="Arial" w:eastAsia="Arial" w:hAnsi="Arial"/>
                <w:sz w:val="14"/>
                <w:szCs w:val="14"/>
                <w:color w:val="auto"/>
              </w:rPr>
              <w:t>$</w:t>
            </w:r>
          </w:p>
        </w:tc>
        <w:tc>
          <w:tcPr>
            <w:tcW w:w="440" w:type="dxa"/>
            <w:vAlign w:val="bottom"/>
          </w:tcPr>
          <w:p>
            <w:pPr>
              <w:jc w:val="right"/>
              <w:ind w:right="28"/>
              <w:spacing w:after="0"/>
              <w:rPr>
                <w:sz w:val="20"/>
                <w:szCs w:val="20"/>
                <w:color w:val="auto"/>
              </w:rPr>
            </w:pPr>
            <w:r>
              <w:rPr>
                <w:rFonts w:ascii="Arial" w:cs="Arial" w:eastAsia="Arial" w:hAnsi="Arial"/>
                <w:sz w:val="14"/>
                <w:szCs w:val="14"/>
                <w:color w:val="auto"/>
              </w:rPr>
              <w:t>68.8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-3855085</wp:posOffset>
            </wp:positionH>
            <wp:positionV relativeFrom="paragraph">
              <wp:posOffset>-849630</wp:posOffset>
            </wp:positionV>
            <wp:extent cx="7246620" cy="171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-3855085</wp:posOffset>
            </wp:positionH>
            <wp:positionV relativeFrom="paragraph">
              <wp:posOffset>-506095</wp:posOffset>
            </wp:positionV>
            <wp:extent cx="7246620" cy="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-3855085</wp:posOffset>
            </wp:positionH>
            <wp:positionV relativeFrom="paragraph">
              <wp:posOffset>-163195</wp:posOffset>
            </wp:positionV>
            <wp:extent cx="7246620"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360" w:space="720"/>
            <w:col w:w="5340"/>
          </w:cols>
          <w:pgMar w:left="240" w:top="796" w:right="239" w:bottom="1440" w:gutter="0" w:footer="0" w:header="0"/>
          <w:type w:val="continuous"/>
        </w:sectPr>
      </w:pPr>
    </w:p>
    <w:p>
      <w:pPr>
        <w:spacing w:after="0" w:line="82"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Diluted earnings per common share</w:t>
            </w:r>
          </w:p>
        </w:tc>
        <w:tc>
          <w:tcPr>
            <w:tcW w:w="48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0.42</w:t>
            </w:r>
          </w:p>
        </w:tc>
        <w:tc>
          <w:tcPr>
            <w:tcW w:w="120" w:type="dxa"/>
            <w:vAlign w:val="bottom"/>
            <w:shd w:val="clear" w:color="auto" w:fill="CCEEFF"/>
          </w:tcPr>
          <w:p>
            <w:pPr>
              <w:spacing w:after="0"/>
              <w:rPr>
                <w:sz w:val="23"/>
                <w:szCs w:val="23"/>
                <w:color w:val="auto"/>
              </w:rPr>
            </w:pPr>
          </w:p>
        </w:tc>
        <w:tc>
          <w:tcPr>
            <w:tcW w:w="46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0.44</w:t>
            </w:r>
          </w:p>
        </w:tc>
        <w:tc>
          <w:tcPr>
            <w:tcW w:w="100" w:type="dxa"/>
            <w:vAlign w:val="bottom"/>
            <w:shd w:val="clear" w:color="auto" w:fill="CCEEFF"/>
          </w:tcPr>
          <w:p>
            <w:pPr>
              <w:spacing w:after="0"/>
              <w:rPr>
                <w:sz w:val="23"/>
                <w:szCs w:val="23"/>
                <w:color w:val="auto"/>
              </w:rPr>
            </w:pPr>
          </w:p>
        </w:tc>
        <w:tc>
          <w:tcPr>
            <w:tcW w:w="48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0.88</w:t>
            </w:r>
          </w:p>
        </w:tc>
        <w:tc>
          <w:tcPr>
            <w:tcW w:w="120" w:type="dxa"/>
            <w:vAlign w:val="bottom"/>
            <w:shd w:val="clear" w:color="auto" w:fill="CCEEFF"/>
          </w:tcPr>
          <w:p>
            <w:pPr>
              <w:spacing w:after="0"/>
              <w:rPr>
                <w:sz w:val="23"/>
                <w:szCs w:val="23"/>
                <w:color w:val="auto"/>
              </w:rPr>
            </w:pPr>
          </w:p>
        </w:tc>
        <w:tc>
          <w:tcPr>
            <w:tcW w:w="46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0.89</w:t>
            </w: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Acquisition related charges</w:t>
            </w:r>
          </w:p>
        </w:tc>
        <w:tc>
          <w:tcPr>
            <w:tcW w:w="48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0.01</w:t>
            </w: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0.04</w:t>
            </w:r>
          </w:p>
        </w:tc>
        <w:tc>
          <w:tcPr>
            <w:tcW w:w="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0.02</w:t>
            </w: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0.08</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Severance and other restructuring-related costs</w:t>
            </w:r>
          </w:p>
        </w:tc>
        <w:tc>
          <w:tcPr>
            <w:tcW w:w="4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0.04</w:t>
            </w:r>
          </w:p>
        </w:tc>
        <w:tc>
          <w:tcPr>
            <w:tcW w:w="120" w:type="dxa"/>
            <w:vAlign w:val="bottom"/>
            <w:shd w:val="clear" w:color="auto" w:fill="CCEEFF"/>
          </w:tcPr>
          <w:p>
            <w:pPr>
              <w:spacing w:after="0"/>
              <w:rPr>
                <w:sz w:val="24"/>
                <w:szCs w:val="24"/>
                <w:color w:val="auto"/>
              </w:rPr>
            </w:pPr>
          </w:p>
        </w:tc>
        <w:tc>
          <w:tcPr>
            <w:tcW w:w="46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0.05</w:t>
            </w:r>
          </w:p>
        </w:tc>
        <w:tc>
          <w:tcPr>
            <w:tcW w:w="10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0.10</w:t>
            </w:r>
          </w:p>
        </w:tc>
        <w:tc>
          <w:tcPr>
            <w:tcW w:w="120" w:type="dxa"/>
            <w:vAlign w:val="bottom"/>
            <w:shd w:val="clear" w:color="auto" w:fill="CCEEFF"/>
          </w:tcPr>
          <w:p>
            <w:pPr>
              <w:spacing w:after="0"/>
              <w:rPr>
                <w:sz w:val="24"/>
                <w:szCs w:val="24"/>
                <w:color w:val="auto"/>
              </w:rPr>
            </w:pPr>
          </w:p>
        </w:tc>
        <w:tc>
          <w:tcPr>
            <w:tcW w:w="46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0.07</w:t>
            </w:r>
          </w:p>
        </w:tc>
      </w:tr>
      <w:tr>
        <w:trPr>
          <w:trHeight w:val="264"/>
        </w:trPr>
        <w:tc>
          <w:tcPr>
            <w:tcW w:w="596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Income tax impacts</w:t>
            </w:r>
          </w:p>
        </w:tc>
        <w:tc>
          <w:tcPr>
            <w:tcW w:w="12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(0.01)</w:t>
            </w:r>
          </w:p>
        </w:tc>
        <w:tc>
          <w:tcPr>
            <w:tcW w:w="12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(0.02)</w:t>
            </w:r>
          </w:p>
        </w:tc>
        <w:tc>
          <w:tcPr>
            <w:tcW w:w="10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(0.02)</w:t>
            </w:r>
          </w:p>
        </w:tc>
        <w:tc>
          <w:tcPr>
            <w:tcW w:w="12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(0.04)</w:t>
            </w:r>
          </w:p>
        </w:tc>
      </w:tr>
      <w:tr>
        <w:trPr>
          <w:trHeight w:val="237"/>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Adjusted diluted earnings per common share</w:t>
            </w:r>
          </w:p>
        </w:tc>
        <w:tc>
          <w:tcPr>
            <w:tcW w:w="48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0.47</w:t>
            </w:r>
          </w:p>
        </w:tc>
        <w:tc>
          <w:tcPr>
            <w:tcW w:w="120" w:type="dxa"/>
            <w:vAlign w:val="bottom"/>
            <w:shd w:val="clear" w:color="auto" w:fill="CCEEFF"/>
          </w:tcPr>
          <w:p>
            <w:pPr>
              <w:spacing w:after="0"/>
              <w:rPr>
                <w:sz w:val="20"/>
                <w:szCs w:val="20"/>
                <w:color w:val="auto"/>
              </w:rPr>
            </w:pPr>
          </w:p>
        </w:tc>
        <w:tc>
          <w:tcPr>
            <w:tcW w:w="46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0.50</w:t>
            </w:r>
          </w:p>
        </w:tc>
        <w:tc>
          <w:tcPr>
            <w:tcW w:w="100" w:type="dxa"/>
            <w:vAlign w:val="bottom"/>
            <w:shd w:val="clear" w:color="auto" w:fill="CCEEFF"/>
          </w:tcPr>
          <w:p>
            <w:pPr>
              <w:spacing w:after="0"/>
              <w:rPr>
                <w:sz w:val="20"/>
                <w:szCs w:val="20"/>
                <w:color w:val="auto"/>
              </w:rPr>
            </w:pPr>
          </w:p>
        </w:tc>
        <w:tc>
          <w:tcPr>
            <w:tcW w:w="48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0.98</w:t>
            </w:r>
          </w:p>
        </w:tc>
        <w:tc>
          <w:tcPr>
            <w:tcW w:w="120" w:type="dxa"/>
            <w:vAlign w:val="bottom"/>
            <w:shd w:val="clear" w:color="auto" w:fill="CCEEFF"/>
          </w:tcPr>
          <w:p>
            <w:pPr>
              <w:spacing w:after="0"/>
              <w:rPr>
                <w:sz w:val="20"/>
                <w:szCs w:val="20"/>
                <w:color w:val="auto"/>
              </w:rPr>
            </w:pPr>
          </w:p>
        </w:tc>
        <w:tc>
          <w:tcPr>
            <w:tcW w:w="46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1.00</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796" w:right="2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Non-GAAP financial measures and reconciliation: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-122555</wp:posOffset>
            </wp:positionV>
            <wp:extent cx="37731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773170" cy="8890"/>
                    </a:xfrm>
                    <a:prstGeom prst="rect">
                      <a:avLst/>
                    </a:prstGeom>
                    <a:noFill/>
                  </pic:spPr>
                </pic:pic>
              </a:graphicData>
            </a:graphic>
          </wp:anchor>
        </w:drawing>
      </w:r>
    </w:p>
    <w:p>
      <w:pPr>
        <w:spacing w:after="0" w:line="145"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Income from operations</w:t>
      </w:r>
    </w:p>
    <w:p>
      <w:pPr>
        <w:spacing w:after="0" w:line="6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Depreciation and amortization</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Acquisition-related charges</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3"/>
          <w:szCs w:val="13"/>
          <w:color w:val="auto"/>
        </w:rPr>
        <w:t>Severance and other restructuring-related costs</w:t>
      </w:r>
    </w:p>
    <w:p>
      <w:pPr>
        <w:spacing w:after="0" w:line="148" w:lineRule="exact"/>
        <w:rPr>
          <w:sz w:val="20"/>
          <w:szCs w:val="20"/>
          <w:color w:val="auto"/>
        </w:rPr>
      </w:pPr>
    </w:p>
    <w:p>
      <w:pPr>
        <w:ind w:left="40"/>
        <w:spacing w:after="0"/>
        <w:rPr>
          <w:sz w:val="20"/>
          <w:szCs w:val="20"/>
          <w:color w:val="auto"/>
        </w:rPr>
      </w:pPr>
      <w:r>
        <w:rPr>
          <w:rFonts w:ascii="Arial" w:cs="Arial" w:eastAsia="Arial" w:hAnsi="Arial"/>
          <w:sz w:val="14"/>
          <w:szCs w:val="14"/>
          <w:color w:val="auto"/>
        </w:rPr>
        <w:t>Adjusted EBITDA</w:t>
      </w:r>
      <w:r>
        <w:rPr>
          <w:rFonts w:ascii="Arial" w:cs="Arial" w:eastAsia="Arial" w:hAnsi="Arial"/>
          <w:sz w:val="8"/>
          <w:szCs w:val="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37731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77317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7"/>
        </w:trPr>
        <w:tc>
          <w:tcPr>
            <w:tcW w:w="2260" w:type="dxa"/>
            <w:vAlign w:val="bottom"/>
            <w:gridSpan w:val="4"/>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300" w:type="dxa"/>
            <w:vAlign w:val="bottom"/>
            <w:gridSpan w:val="4"/>
          </w:tcPr>
          <w:p>
            <w:pPr>
              <w:jc w:val="right"/>
              <w:ind w:right="408"/>
              <w:spacing w:after="0"/>
              <w:rPr>
                <w:sz w:val="20"/>
                <w:szCs w:val="20"/>
                <w:color w:val="auto"/>
              </w:rPr>
            </w:pPr>
            <w:r>
              <w:rPr>
                <w:rFonts w:ascii="Arial" w:cs="Arial" w:eastAsia="Arial" w:hAnsi="Arial"/>
                <w:sz w:val="14"/>
                <w:szCs w:val="14"/>
                <w:b w:val="1"/>
                <w:bCs w:val="1"/>
                <w:color w:val="auto"/>
              </w:rPr>
              <w:t>For the Six Months Ended</w:t>
            </w:r>
          </w:p>
        </w:tc>
      </w:tr>
      <w:tr>
        <w:trPr>
          <w:trHeight w:val="276"/>
        </w:trPr>
        <w:tc>
          <w:tcPr>
            <w:tcW w:w="84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jc w:val="right"/>
              <w:ind w:right="608"/>
              <w:spacing w:after="0"/>
              <w:rPr>
                <w:sz w:val="20"/>
                <w:szCs w:val="20"/>
                <w:color w:val="auto"/>
              </w:rPr>
            </w:pPr>
            <w:r>
              <w:rPr>
                <w:rFonts w:ascii="Arial" w:cs="Arial" w:eastAsia="Arial" w:hAnsi="Arial"/>
                <w:sz w:val="14"/>
                <w:szCs w:val="14"/>
                <w:b w:val="1"/>
                <w:bCs w:val="1"/>
                <w:color w:val="auto"/>
              </w:rPr>
              <w:t>June 30,</w:t>
            </w:r>
          </w:p>
        </w:tc>
        <w:tc>
          <w:tcPr>
            <w:tcW w:w="3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June 30,</w:t>
            </w:r>
          </w:p>
        </w:tc>
        <w:tc>
          <w:tcPr>
            <w:tcW w:w="900" w:type="dxa"/>
            <w:vAlign w:val="bottom"/>
            <w:tcBorders>
              <w:bottom w:val="single" w:sz="8" w:color="auto"/>
            </w:tcBorders>
          </w:tcPr>
          <w:p>
            <w:pPr>
              <w:spacing w:after="0"/>
              <w:rPr>
                <w:sz w:val="24"/>
                <w:szCs w:val="24"/>
                <w:color w:val="auto"/>
              </w:rPr>
            </w:pPr>
          </w:p>
        </w:tc>
      </w:tr>
      <w:tr>
        <w:trPr>
          <w:trHeight w:val="264"/>
        </w:trPr>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44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2017</w:t>
            </w:r>
          </w:p>
        </w:tc>
        <w:tc>
          <w:tcPr>
            <w:tcW w:w="38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2017</w:t>
            </w:r>
          </w:p>
        </w:tc>
      </w:tr>
      <w:tr>
        <w:trPr>
          <w:trHeight w:val="244"/>
        </w:trPr>
        <w:tc>
          <w:tcPr>
            <w:tcW w:w="840" w:type="dxa"/>
            <w:vAlign w:val="bottom"/>
          </w:tcPr>
          <w:p>
            <w:pPr>
              <w:jc w:val="right"/>
              <w:ind w:right="668"/>
              <w:spacing w:after="0"/>
              <w:rPr>
                <w:sz w:val="20"/>
                <w:szCs w:val="20"/>
                <w:color w:val="auto"/>
              </w:rPr>
            </w:pPr>
            <w:r>
              <w:rPr>
                <w:rFonts w:ascii="Arial" w:cs="Arial" w:eastAsia="Arial" w:hAnsi="Arial"/>
                <w:sz w:val="14"/>
                <w:szCs w:val="14"/>
                <w:color w:val="auto"/>
              </w:rPr>
              <w:t>$</w:t>
            </w:r>
          </w:p>
        </w:tc>
        <w:tc>
          <w:tcPr>
            <w:tcW w:w="440" w:type="dxa"/>
            <w:vAlign w:val="bottom"/>
          </w:tcPr>
          <w:p>
            <w:pPr>
              <w:jc w:val="right"/>
              <w:ind w:right="48"/>
              <w:spacing w:after="0"/>
              <w:rPr>
                <w:sz w:val="20"/>
                <w:szCs w:val="20"/>
                <w:color w:val="auto"/>
              </w:rPr>
            </w:pPr>
            <w:r>
              <w:rPr>
                <w:rFonts w:ascii="Arial" w:cs="Arial" w:eastAsia="Arial" w:hAnsi="Arial"/>
                <w:sz w:val="14"/>
                <w:szCs w:val="14"/>
                <w:color w:val="auto"/>
              </w:rPr>
              <w:t>61.1</w:t>
            </w:r>
          </w:p>
        </w:tc>
        <w:tc>
          <w:tcPr>
            <w:tcW w:w="120" w:type="dxa"/>
            <w:vAlign w:val="bottom"/>
          </w:tcPr>
          <w:p>
            <w:pPr>
              <w:spacing w:after="0"/>
              <w:rPr>
                <w:sz w:val="21"/>
                <w:szCs w:val="21"/>
                <w:color w:val="auto"/>
              </w:rPr>
            </w:pPr>
          </w:p>
        </w:tc>
        <w:tc>
          <w:tcPr>
            <w:tcW w:w="860" w:type="dxa"/>
            <w:vAlign w:val="bottom"/>
          </w:tcPr>
          <w:p>
            <w:pPr>
              <w:jc w:val="right"/>
              <w:ind w:right="688"/>
              <w:spacing w:after="0"/>
              <w:rPr>
                <w:sz w:val="20"/>
                <w:szCs w:val="20"/>
                <w:color w:val="auto"/>
              </w:rPr>
            </w:pPr>
            <w:r>
              <w:rPr>
                <w:rFonts w:ascii="Arial" w:cs="Arial" w:eastAsia="Arial" w:hAnsi="Arial"/>
                <w:sz w:val="14"/>
                <w:szCs w:val="14"/>
                <w:color w:val="auto"/>
              </w:rPr>
              <w:t>$</w:t>
            </w:r>
          </w:p>
        </w:tc>
        <w:tc>
          <w:tcPr>
            <w:tcW w:w="380" w:type="dxa"/>
            <w:vAlign w:val="bottom"/>
          </w:tcPr>
          <w:p>
            <w:pPr>
              <w:jc w:val="right"/>
              <w:ind w:right="28"/>
              <w:spacing w:after="0"/>
              <w:rPr>
                <w:sz w:val="20"/>
                <w:szCs w:val="20"/>
                <w:color w:val="auto"/>
              </w:rPr>
            </w:pPr>
            <w:r>
              <w:rPr>
                <w:rFonts w:ascii="Arial" w:cs="Arial" w:eastAsia="Arial" w:hAnsi="Arial"/>
                <w:sz w:val="14"/>
                <w:szCs w:val="14"/>
                <w:color w:val="auto"/>
                <w:w w:val="95"/>
              </w:rPr>
              <w:t>51.2</w:t>
            </w:r>
          </w:p>
        </w:tc>
        <w:tc>
          <w:tcPr>
            <w:tcW w:w="100" w:type="dxa"/>
            <w:vAlign w:val="bottom"/>
          </w:tcPr>
          <w:p>
            <w:pPr>
              <w:spacing w:after="0"/>
              <w:rPr>
                <w:sz w:val="21"/>
                <w:szCs w:val="21"/>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118.3</w:t>
            </w:r>
          </w:p>
        </w:tc>
        <w:tc>
          <w:tcPr>
            <w:tcW w:w="120" w:type="dxa"/>
            <w:vAlign w:val="bottom"/>
          </w:tcPr>
          <w:p>
            <w:pPr>
              <w:spacing w:after="0"/>
              <w:rPr>
                <w:sz w:val="21"/>
                <w:szCs w:val="21"/>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101.6</w:t>
            </w:r>
          </w:p>
        </w:tc>
      </w:tr>
      <w:tr>
        <w:trPr>
          <w:trHeight w:val="270"/>
        </w:trPr>
        <w:tc>
          <w:tcPr>
            <w:tcW w:w="840" w:type="dxa"/>
            <w:vAlign w:val="bottom"/>
          </w:tcPr>
          <w:p>
            <w:pPr>
              <w:spacing w:after="0"/>
              <w:rPr>
                <w:sz w:val="23"/>
                <w:szCs w:val="23"/>
                <w:color w:val="auto"/>
              </w:rPr>
            </w:pPr>
          </w:p>
        </w:tc>
        <w:tc>
          <w:tcPr>
            <w:tcW w:w="440" w:type="dxa"/>
            <w:vAlign w:val="bottom"/>
          </w:tcPr>
          <w:p>
            <w:pPr>
              <w:jc w:val="right"/>
              <w:ind w:right="48"/>
              <w:spacing w:after="0"/>
              <w:rPr>
                <w:sz w:val="20"/>
                <w:szCs w:val="20"/>
                <w:color w:val="auto"/>
              </w:rPr>
            </w:pPr>
            <w:r>
              <w:rPr>
                <w:rFonts w:ascii="Arial" w:cs="Arial" w:eastAsia="Arial" w:hAnsi="Arial"/>
                <w:sz w:val="14"/>
                <w:szCs w:val="14"/>
                <w:color w:val="auto"/>
              </w:rPr>
              <w:t>19.6</w:t>
            </w:r>
          </w:p>
        </w:tc>
        <w:tc>
          <w:tcPr>
            <w:tcW w:w="1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380" w:type="dxa"/>
            <w:vAlign w:val="bottom"/>
          </w:tcPr>
          <w:p>
            <w:pPr>
              <w:jc w:val="right"/>
              <w:ind w:right="28"/>
              <w:spacing w:after="0"/>
              <w:rPr>
                <w:sz w:val="20"/>
                <w:szCs w:val="20"/>
                <w:color w:val="auto"/>
              </w:rPr>
            </w:pPr>
            <w:r>
              <w:rPr>
                <w:rFonts w:ascii="Arial" w:cs="Arial" w:eastAsia="Arial" w:hAnsi="Arial"/>
                <w:sz w:val="14"/>
                <w:szCs w:val="14"/>
                <w:color w:val="auto"/>
                <w:w w:val="95"/>
              </w:rPr>
              <w:t>20.8</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38.4</w:t>
            </w: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43.3</w:t>
            </w:r>
          </w:p>
        </w:tc>
      </w:tr>
      <w:tr>
        <w:trPr>
          <w:trHeight w:val="270"/>
        </w:trPr>
        <w:tc>
          <w:tcPr>
            <w:tcW w:w="840" w:type="dxa"/>
            <w:vAlign w:val="bottom"/>
          </w:tcPr>
          <w:p>
            <w:pPr>
              <w:spacing w:after="0"/>
              <w:rPr>
                <w:sz w:val="23"/>
                <w:szCs w:val="23"/>
                <w:color w:val="auto"/>
              </w:rPr>
            </w:pPr>
          </w:p>
        </w:tc>
        <w:tc>
          <w:tcPr>
            <w:tcW w:w="440" w:type="dxa"/>
            <w:vAlign w:val="bottom"/>
          </w:tcPr>
          <w:p>
            <w:pPr>
              <w:jc w:val="right"/>
              <w:ind w:right="48"/>
              <w:spacing w:after="0"/>
              <w:rPr>
                <w:sz w:val="20"/>
                <w:szCs w:val="20"/>
                <w:color w:val="auto"/>
              </w:rPr>
            </w:pPr>
            <w:r>
              <w:rPr>
                <w:rFonts w:ascii="Arial" w:cs="Arial" w:eastAsia="Arial" w:hAnsi="Arial"/>
                <w:sz w:val="14"/>
                <w:szCs w:val="14"/>
                <w:color w:val="auto"/>
              </w:rPr>
              <w:t>0.8</w:t>
            </w:r>
          </w:p>
        </w:tc>
        <w:tc>
          <w:tcPr>
            <w:tcW w:w="1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380" w:type="dxa"/>
            <w:vAlign w:val="bottom"/>
          </w:tcPr>
          <w:p>
            <w:pPr>
              <w:jc w:val="right"/>
              <w:ind w:right="28"/>
              <w:spacing w:after="0"/>
              <w:rPr>
                <w:sz w:val="20"/>
                <w:szCs w:val="20"/>
                <w:color w:val="auto"/>
              </w:rPr>
            </w:pPr>
            <w:r>
              <w:rPr>
                <w:rFonts w:ascii="Arial" w:cs="Arial" w:eastAsia="Arial" w:hAnsi="Arial"/>
                <w:sz w:val="14"/>
                <w:szCs w:val="14"/>
                <w:color w:val="auto"/>
              </w:rPr>
              <w:t>2.6</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1.4</w:t>
            </w: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5.5</w:t>
            </w:r>
          </w:p>
        </w:tc>
      </w:tr>
      <w:tr>
        <w:trPr>
          <w:trHeight w:val="276"/>
        </w:trPr>
        <w:tc>
          <w:tcPr>
            <w:tcW w:w="84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2.7</w:t>
            </w:r>
          </w:p>
        </w:tc>
        <w:tc>
          <w:tcPr>
            <w:tcW w:w="120" w:type="dxa"/>
            <w:vAlign w:val="bottom"/>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3.1</w:t>
            </w:r>
          </w:p>
        </w:tc>
        <w:tc>
          <w:tcPr>
            <w:tcW w:w="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7.0</w:t>
            </w:r>
          </w:p>
        </w:tc>
        <w:tc>
          <w:tcPr>
            <w:tcW w:w="1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4.4</w:t>
            </w:r>
          </w:p>
        </w:tc>
      </w:tr>
      <w:tr>
        <w:trPr>
          <w:trHeight w:val="237"/>
        </w:trPr>
        <w:tc>
          <w:tcPr>
            <w:tcW w:w="840" w:type="dxa"/>
            <w:vAlign w:val="bottom"/>
            <w:tcBorders>
              <w:bottom w:val="single" w:sz="8" w:color="auto"/>
            </w:tcBorders>
          </w:tcPr>
          <w:p>
            <w:pPr>
              <w:jc w:val="right"/>
              <w:ind w:right="668"/>
              <w:spacing w:after="0"/>
              <w:rPr>
                <w:sz w:val="20"/>
                <w:szCs w:val="20"/>
                <w:color w:val="auto"/>
              </w:rPr>
            </w:pPr>
            <w:r>
              <w:rPr>
                <w:rFonts w:ascii="Arial" w:cs="Arial" w:eastAsia="Arial" w:hAnsi="Arial"/>
                <w:sz w:val="14"/>
                <w:szCs w:val="14"/>
                <w:color w:val="auto"/>
              </w:rPr>
              <w:t>$</w:t>
            </w:r>
          </w:p>
        </w:tc>
        <w:tc>
          <w:tcPr>
            <w:tcW w:w="4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84.2</w:t>
            </w:r>
          </w:p>
        </w:tc>
        <w:tc>
          <w:tcPr>
            <w:tcW w:w="120" w:type="dxa"/>
            <w:vAlign w:val="bottom"/>
          </w:tcPr>
          <w:p>
            <w:pPr>
              <w:spacing w:after="0"/>
              <w:rPr>
                <w:sz w:val="20"/>
                <w:szCs w:val="20"/>
                <w:color w:val="auto"/>
              </w:rPr>
            </w:pPr>
          </w:p>
        </w:tc>
        <w:tc>
          <w:tcPr>
            <w:tcW w:w="860" w:type="dxa"/>
            <w:vAlign w:val="bottom"/>
            <w:tcBorders>
              <w:bottom w:val="single" w:sz="8" w:color="auto"/>
            </w:tcBorders>
          </w:tcPr>
          <w:p>
            <w:pPr>
              <w:jc w:val="right"/>
              <w:ind w:right="688"/>
              <w:spacing w:after="0"/>
              <w:rPr>
                <w:sz w:val="20"/>
                <w:szCs w:val="20"/>
                <w:color w:val="auto"/>
              </w:rPr>
            </w:pPr>
            <w:r>
              <w:rPr>
                <w:rFonts w:ascii="Arial" w:cs="Arial" w:eastAsia="Arial" w:hAnsi="Arial"/>
                <w:sz w:val="14"/>
                <w:szCs w:val="14"/>
                <w:color w:val="auto"/>
              </w:rPr>
              <w:t>$</w:t>
            </w:r>
          </w:p>
        </w:tc>
        <w:tc>
          <w:tcPr>
            <w:tcW w:w="3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95"/>
              </w:rPr>
              <w:t>77.7</w:t>
            </w:r>
          </w:p>
        </w:tc>
        <w:tc>
          <w:tcPr>
            <w:tcW w:w="100" w:type="dxa"/>
            <w:vAlign w:val="bottom"/>
          </w:tcPr>
          <w:p>
            <w:pPr>
              <w:spacing w:after="0"/>
              <w:rPr>
                <w:sz w:val="20"/>
                <w:szCs w:val="20"/>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165.1</w:t>
            </w:r>
          </w:p>
        </w:tc>
        <w:tc>
          <w:tcPr>
            <w:tcW w:w="120" w:type="dxa"/>
            <w:vAlign w:val="bottom"/>
          </w:tcPr>
          <w:p>
            <w:pPr>
              <w:spacing w:after="0"/>
              <w:rPr>
                <w:sz w:val="20"/>
                <w:szCs w:val="20"/>
                <w:color w:val="auto"/>
              </w:rPr>
            </w:pP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154.8</w:t>
            </w:r>
          </w:p>
        </w:tc>
      </w:tr>
      <w:tr>
        <w:trPr>
          <w:trHeight w:val="20"/>
        </w:trPr>
        <w:tc>
          <w:tcPr>
            <w:tcW w:w="8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-3855085</wp:posOffset>
            </wp:positionH>
            <wp:positionV relativeFrom="paragraph">
              <wp:posOffset>-874395</wp:posOffset>
            </wp:positionV>
            <wp:extent cx="724662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-3855085</wp:posOffset>
            </wp:positionH>
            <wp:positionV relativeFrom="paragraph">
              <wp:posOffset>-530860</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-3855085</wp:posOffset>
            </wp:positionH>
            <wp:positionV relativeFrom="paragraph">
              <wp:posOffset>-187960</wp:posOffset>
            </wp:positionV>
            <wp:extent cx="7246620"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197" w:lineRule="exact"/>
        <w:rPr>
          <w:sz w:val="20"/>
          <w:szCs w:val="20"/>
          <w:color w:val="auto"/>
        </w:rPr>
      </w:pPr>
    </w:p>
    <w:p>
      <w:pPr>
        <w:sectPr>
          <w:pgSz w:w="11900" w:h="16838" w:orient="portrait"/>
          <w:cols w:equalWidth="0" w:num="2">
            <w:col w:w="5360" w:space="720"/>
            <w:col w:w="5340"/>
          </w:cols>
          <w:pgMar w:left="240" w:top="796" w:right="239" w:bottom="1440" w:gutter="0" w:footer="0" w:header="0"/>
          <w:type w:val="continuous"/>
        </w:sectPr>
      </w:pPr>
    </w:p>
    <w:p>
      <w:pPr>
        <w:ind w:left="660" w:right="180" w:hanging="328"/>
        <w:spacing w:after="0" w:line="273" w:lineRule="auto"/>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The Company defines adjusted EBITDA as income from operations, excluding the impact of depreciation and amortization, and items that are considered to be non-operational and are not representative of our core business, including those associated with severance, restructuring and acquisition-related costs.</w:t>
      </w:r>
    </w:p>
    <w:p>
      <w:pPr>
        <w:sectPr>
          <w:pgSz w:w="11900" w:h="16838" w:orient="portrait"/>
          <w:cols w:equalWidth="0" w:num="1">
            <w:col w:w="11420"/>
          </w:cols>
          <w:pgMar w:left="240" w:top="796" w:right="239" w:bottom="1440" w:gutter="0" w:footer="0" w:header="0"/>
          <w:type w:val="continuous"/>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BUSINESS SEGMENTS INFORMATION</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(Unaudited - 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4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340" w:type="dxa"/>
            <w:vAlign w:val="bottom"/>
            <w:gridSpan w:val="5"/>
          </w:tcPr>
          <w:p>
            <w:pPr>
              <w:ind w:left="120"/>
              <w:spacing w:after="0"/>
              <w:rPr>
                <w:sz w:val="20"/>
                <w:szCs w:val="20"/>
                <w:color w:val="auto"/>
              </w:rPr>
            </w:pPr>
            <w:r>
              <w:rPr>
                <w:rFonts w:ascii="Arial" w:cs="Arial" w:eastAsia="Arial" w:hAnsi="Arial"/>
                <w:sz w:val="14"/>
                <w:szCs w:val="14"/>
                <w:b w:val="1"/>
                <w:bCs w:val="1"/>
                <w:color w:val="auto"/>
              </w:rPr>
              <w:t>For the Three Months Ended</w:t>
            </w:r>
          </w:p>
        </w:tc>
        <w:tc>
          <w:tcPr>
            <w:tcW w:w="220" w:type="dxa"/>
            <w:vAlign w:val="bottom"/>
          </w:tcPr>
          <w:p>
            <w:pPr>
              <w:spacing w:after="0"/>
              <w:rPr>
                <w:sz w:val="16"/>
                <w:szCs w:val="16"/>
                <w:color w:val="auto"/>
              </w:rPr>
            </w:pPr>
          </w:p>
        </w:tc>
        <w:tc>
          <w:tcPr>
            <w:tcW w:w="2120" w:type="dxa"/>
            <w:vAlign w:val="bottom"/>
            <w:gridSpan w:val="4"/>
          </w:tcPr>
          <w:p>
            <w:pPr>
              <w:jc w:val="right"/>
              <w:ind w:right="268"/>
              <w:spacing w:after="0"/>
              <w:rPr>
                <w:sz w:val="20"/>
                <w:szCs w:val="20"/>
                <w:color w:val="auto"/>
              </w:rPr>
            </w:pPr>
            <w:r>
              <w:rPr>
                <w:rFonts w:ascii="Arial" w:cs="Arial" w:eastAsia="Arial" w:hAnsi="Arial"/>
                <w:sz w:val="14"/>
                <w:szCs w:val="14"/>
                <w:b w:val="1"/>
                <w:bCs w:val="1"/>
                <w:color w:val="auto"/>
              </w:rPr>
              <w:t>For the Six Months Ended</w:t>
            </w:r>
          </w:p>
        </w:tc>
      </w:tr>
      <w:tr>
        <w:trPr>
          <w:trHeight w:val="276"/>
        </w:trPr>
        <w:tc>
          <w:tcPr>
            <w:tcW w:w="6400" w:type="dxa"/>
            <w:vAlign w:val="bottom"/>
            <w:tcBorders>
              <w:bottom w:val="single" w:sz="8" w:color="auto"/>
            </w:tcBorders>
          </w:tcPr>
          <w:p>
            <w:pPr>
              <w:spacing w:after="0"/>
              <w:rPr>
                <w:sz w:val="24"/>
                <w:szCs w:val="24"/>
                <w:color w:val="auto"/>
              </w:rPr>
            </w:pPr>
          </w:p>
        </w:tc>
        <w:tc>
          <w:tcPr>
            <w:tcW w:w="14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June 30,</w:t>
            </w: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gridSpan w:val="3"/>
          </w:tcPr>
          <w:p>
            <w:pPr>
              <w:jc w:val="right"/>
              <w:ind w:right="28"/>
              <w:spacing w:after="0"/>
              <w:rPr>
                <w:sz w:val="20"/>
                <w:szCs w:val="20"/>
                <w:color w:val="auto"/>
              </w:rPr>
            </w:pPr>
            <w:r>
              <w:rPr>
                <w:rFonts w:ascii="Arial" w:cs="Arial" w:eastAsia="Arial" w:hAnsi="Arial"/>
                <w:sz w:val="14"/>
                <w:szCs w:val="14"/>
                <w:b w:val="1"/>
                <w:bCs w:val="1"/>
                <w:color w:val="auto"/>
              </w:rPr>
              <w:t>June 30,</w:t>
            </w:r>
          </w:p>
        </w:tc>
        <w:tc>
          <w:tcPr>
            <w:tcW w:w="800" w:type="dxa"/>
            <w:vAlign w:val="bottom"/>
            <w:tcBorders>
              <w:bottom w:val="single" w:sz="8" w:color="auto"/>
            </w:tcBorders>
          </w:tcPr>
          <w:p>
            <w:pPr>
              <w:spacing w:after="0"/>
              <w:rPr>
                <w:sz w:val="24"/>
                <w:szCs w:val="24"/>
                <w:color w:val="auto"/>
              </w:rPr>
            </w:pPr>
          </w:p>
        </w:tc>
      </w:tr>
      <w:tr>
        <w:trPr>
          <w:trHeight w:val="264"/>
        </w:trPr>
        <w:tc>
          <w:tcPr>
            <w:tcW w:w="65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200" w:type="dxa"/>
            <w:vAlign w:val="bottom"/>
            <w:tcBorders>
              <w:bottom w:val="single" w:sz="8" w:color="auto"/>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ind w:right="368"/>
              <w:spacing w:after="0"/>
              <w:rPr>
                <w:sz w:val="20"/>
                <w:szCs w:val="20"/>
                <w:color w:val="auto"/>
              </w:rPr>
            </w:pPr>
            <w:r>
              <w:rPr>
                <w:rFonts w:ascii="Arial" w:cs="Arial" w:eastAsia="Arial" w:hAnsi="Arial"/>
                <w:sz w:val="14"/>
                <w:szCs w:val="14"/>
                <w:b w:val="1"/>
                <w:bCs w:val="1"/>
                <w:color w:val="auto"/>
              </w:rPr>
              <w:t>2018</w:t>
            </w:r>
          </w:p>
        </w:tc>
        <w:tc>
          <w:tcPr>
            <w:tcW w:w="120" w:type="dxa"/>
            <w:vAlign w:val="bottom"/>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spacing w:after="0"/>
              <w:rPr>
                <w:sz w:val="22"/>
                <w:szCs w:val="22"/>
                <w:color w:val="auto"/>
              </w:rPr>
            </w:pPr>
          </w:p>
        </w:tc>
        <w:tc>
          <w:tcPr>
            <w:tcW w:w="82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b w:val="1"/>
                <w:bCs w:val="1"/>
                <w:color w:val="auto"/>
              </w:rPr>
              <w:t>2017</w:t>
            </w:r>
          </w:p>
        </w:tc>
        <w:tc>
          <w:tcPr>
            <w:tcW w:w="120" w:type="dxa"/>
            <w:vAlign w:val="bottom"/>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90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b w:val="1"/>
                <w:bCs w:val="1"/>
                <w:color w:val="auto"/>
              </w:rPr>
              <w:t>2018</w:t>
            </w:r>
          </w:p>
        </w:tc>
        <w:tc>
          <w:tcPr>
            <w:tcW w:w="100" w:type="dxa"/>
            <w:vAlign w:val="bottom"/>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b w:val="1"/>
                <w:bCs w:val="1"/>
                <w:color w:val="auto"/>
              </w:rPr>
              <w:t>2017</w:t>
            </w:r>
          </w:p>
        </w:tc>
      </w:tr>
      <w:tr>
        <w:trPr>
          <w:trHeight w:val="250"/>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Aviation segment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4,900.7</w:t>
            </w:r>
          </w:p>
        </w:tc>
        <w:tc>
          <w:tcPr>
            <w:tcW w:w="120" w:type="dxa"/>
            <w:vAlign w:val="bottom"/>
          </w:tcPr>
          <w:p>
            <w:pPr>
              <w:spacing w:after="0"/>
              <w:rPr>
                <w:sz w:val="21"/>
                <w:szCs w:val="21"/>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3,508.4</w:t>
            </w:r>
          </w:p>
        </w:tc>
        <w:tc>
          <w:tcPr>
            <w:tcW w:w="120" w:type="dxa"/>
            <w:vAlign w:val="bottom"/>
          </w:tcPr>
          <w:p>
            <w:pPr>
              <w:spacing w:after="0"/>
              <w:rPr>
                <w:sz w:val="21"/>
                <w:szCs w:val="21"/>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9,193.6</w:t>
            </w:r>
          </w:p>
        </w:tc>
        <w:tc>
          <w:tcPr>
            <w:tcW w:w="100" w:type="dxa"/>
            <w:vAlign w:val="bottom"/>
          </w:tcPr>
          <w:p>
            <w:pPr>
              <w:spacing w:after="0"/>
              <w:rPr>
                <w:sz w:val="21"/>
                <w:szCs w:val="21"/>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6,825.8</w:t>
            </w:r>
          </w:p>
        </w:tc>
      </w:tr>
      <w:tr>
        <w:trPr>
          <w:trHeight w:val="276"/>
        </w:trPr>
        <w:tc>
          <w:tcPr>
            <w:tcW w:w="6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Land segment</w:t>
            </w:r>
          </w:p>
        </w:tc>
        <w:tc>
          <w:tcPr>
            <w:tcW w:w="2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2,960.2</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2,564.0</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5,820.9</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5,347.4</w:t>
            </w: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Marine segment</w:t>
            </w:r>
          </w:p>
        </w:tc>
        <w:tc>
          <w:tcPr>
            <w:tcW w:w="20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2,289.9</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2,013.8</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4,317.7</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4,107.3</w:t>
            </w:r>
          </w:p>
        </w:tc>
      </w:tr>
      <w:tr>
        <w:trPr>
          <w:trHeight w:val="237"/>
        </w:trPr>
        <w:tc>
          <w:tcPr>
            <w:tcW w:w="6400" w:type="dxa"/>
            <w:vAlign w:val="bottom"/>
            <w:tcBorders>
              <w:top w:val="single" w:sz="8" w:color="auto"/>
              <w:bottom w:val="single" w:sz="8" w:color="auto"/>
            </w:tcBorders>
            <w:shd w:val="clear" w:color="auto" w:fill="CCEEFF"/>
          </w:tcPr>
          <w:p>
            <w:pPr>
              <w:spacing w:after="0"/>
              <w:rPr>
                <w:sz w:val="20"/>
                <w:szCs w:val="20"/>
                <w:color w:val="auto"/>
              </w:rPr>
            </w:pPr>
          </w:p>
        </w:tc>
        <w:tc>
          <w:tcPr>
            <w:tcW w:w="14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10,150.8</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320" w:type="dxa"/>
            <w:vAlign w:val="bottom"/>
            <w:tcBorders>
              <w:top w:val="single" w:sz="8" w:color="auto"/>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8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8,086.2</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19,332.2</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20" w:type="dxa"/>
            <w:vAlign w:val="bottom"/>
            <w:tcBorders>
              <w:top w:val="single" w:sz="8" w:color="auto"/>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16,280.4</w:t>
            </w:r>
          </w:p>
        </w:tc>
      </w:tr>
      <w:tr>
        <w:trPr>
          <w:trHeight w:val="20"/>
        </w:trPr>
        <w:tc>
          <w:tcPr>
            <w:tcW w:w="64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64"/>
        </w:trPr>
        <w:tc>
          <w:tcPr>
            <w:tcW w:w="6540" w:type="dxa"/>
            <w:vAlign w:val="bottom"/>
            <w:gridSpan w:val="2"/>
          </w:tcPr>
          <w:p>
            <w:pPr>
              <w:ind w:left="40"/>
              <w:spacing w:after="0"/>
              <w:rPr>
                <w:sz w:val="20"/>
                <w:szCs w:val="20"/>
                <w:color w:val="auto"/>
              </w:rPr>
            </w:pPr>
            <w:r>
              <w:rPr>
                <w:rFonts w:ascii="Arial" w:cs="Arial" w:eastAsia="Arial" w:hAnsi="Arial"/>
                <w:sz w:val="14"/>
                <w:szCs w:val="14"/>
                <w:color w:val="auto"/>
              </w:rPr>
              <w:t>Gross profit:</w:t>
            </w:r>
          </w:p>
        </w:tc>
        <w:tc>
          <w:tcPr>
            <w:tcW w:w="2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0" w:type="dxa"/>
            <w:vAlign w:val="bottom"/>
          </w:tcPr>
          <w:p>
            <w:pPr>
              <w:spacing w:after="0"/>
              <w:rPr>
                <w:sz w:val="22"/>
                <w:szCs w:val="22"/>
                <w:color w:val="auto"/>
              </w:rPr>
            </w:pPr>
          </w:p>
        </w:tc>
      </w:tr>
      <w:tr>
        <w:trPr>
          <w:trHeight w:val="276"/>
        </w:trPr>
        <w:tc>
          <w:tcPr>
            <w:tcW w:w="6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Aviation segment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127.4</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110.9</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237.3</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210.8</w:t>
            </w: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Land segment</w:t>
            </w:r>
          </w:p>
        </w:tc>
        <w:tc>
          <w:tcPr>
            <w:tcW w:w="20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88.6</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87.2</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190.8</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185.0</w:t>
            </w:r>
          </w:p>
        </w:tc>
      </w:tr>
      <w:tr>
        <w:trPr>
          <w:trHeight w:val="270"/>
        </w:trPr>
        <w:tc>
          <w:tcPr>
            <w:tcW w:w="6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Marine segment</w:t>
            </w:r>
          </w:p>
        </w:tc>
        <w:tc>
          <w:tcPr>
            <w:tcW w:w="200" w:type="dxa"/>
            <w:vAlign w:val="bottom"/>
            <w:shd w:val="clear" w:color="auto" w:fill="CCEEFF"/>
          </w:tcPr>
          <w:p>
            <w:pPr>
              <w:spacing w:after="0"/>
              <w:rPr>
                <w:sz w:val="23"/>
                <w:szCs w:val="23"/>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30.2</w:t>
            </w: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32.9</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61.5</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66.6</w:t>
            </w:r>
          </w:p>
        </w:tc>
      </w:tr>
      <w:tr>
        <w:trPr>
          <w:trHeight w:val="277"/>
        </w:trPr>
        <w:tc>
          <w:tcPr>
            <w:tcW w:w="6400" w:type="dxa"/>
            <w:vAlign w:val="bottom"/>
            <w:tcBorders>
              <w:top w:val="single" w:sz="8" w:color="auto"/>
              <w:bottom w:val="single" w:sz="8" w:color="auto"/>
            </w:tcBorders>
          </w:tcPr>
          <w:p>
            <w:pPr>
              <w:spacing w:after="0"/>
              <w:rPr>
                <w:sz w:val="24"/>
                <w:szCs w:val="24"/>
                <w:color w:val="auto"/>
              </w:rPr>
            </w:pPr>
          </w:p>
        </w:tc>
        <w:tc>
          <w:tcPr>
            <w:tcW w:w="14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246.2</w:t>
            </w:r>
          </w:p>
        </w:tc>
        <w:tc>
          <w:tcPr>
            <w:tcW w:w="120" w:type="dxa"/>
            <w:vAlign w:val="bottom"/>
            <w:tcBorders>
              <w:bottom w:val="single" w:sz="8" w:color="CCEEFF"/>
            </w:tcBorders>
          </w:tcPr>
          <w:p>
            <w:pPr>
              <w:spacing w:after="0"/>
              <w:rPr>
                <w:sz w:val="24"/>
                <w:szCs w:val="24"/>
                <w:color w:val="auto"/>
              </w:rPr>
            </w:pPr>
          </w:p>
        </w:tc>
        <w:tc>
          <w:tcPr>
            <w:tcW w:w="320" w:type="dxa"/>
            <w:vAlign w:val="bottom"/>
            <w:tcBorders>
              <w:top w:val="single" w:sz="8" w:color="auto"/>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82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231.0</w:t>
            </w:r>
          </w:p>
        </w:tc>
        <w:tc>
          <w:tcPr>
            <w:tcW w:w="12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489.6</w:t>
            </w:r>
          </w:p>
        </w:tc>
        <w:tc>
          <w:tcPr>
            <w:tcW w:w="100" w:type="dxa"/>
            <w:vAlign w:val="bottom"/>
            <w:tcBorders>
              <w:bottom w:val="single" w:sz="8" w:color="CCEEFF"/>
            </w:tcBorders>
          </w:tcPr>
          <w:p>
            <w:pPr>
              <w:spacing w:after="0"/>
              <w:rPr>
                <w:sz w:val="24"/>
                <w:szCs w:val="24"/>
                <w:color w:val="auto"/>
              </w:rPr>
            </w:pPr>
          </w:p>
        </w:tc>
        <w:tc>
          <w:tcPr>
            <w:tcW w:w="320" w:type="dxa"/>
            <w:vAlign w:val="bottom"/>
            <w:tcBorders>
              <w:top w:val="single" w:sz="8" w:color="auto"/>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462.4</w:t>
            </w:r>
          </w:p>
        </w:tc>
      </w:tr>
      <w:tr>
        <w:trPr>
          <w:trHeight w:val="270"/>
        </w:trPr>
        <w:tc>
          <w:tcPr>
            <w:tcW w:w="65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Income from operations:</w:t>
            </w:r>
          </w:p>
        </w:tc>
        <w:tc>
          <w:tcPr>
            <w:tcW w:w="2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Aviation segment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64.2</w:t>
            </w:r>
          </w:p>
        </w:tc>
        <w:tc>
          <w:tcPr>
            <w:tcW w:w="120" w:type="dxa"/>
            <w:vAlign w:val="bottom"/>
          </w:tcPr>
          <w:p>
            <w:pPr>
              <w:spacing w:after="0"/>
              <w:rPr>
                <w:sz w:val="22"/>
                <w:szCs w:val="22"/>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49.7</w:t>
            </w:r>
          </w:p>
        </w:tc>
        <w:tc>
          <w:tcPr>
            <w:tcW w:w="1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112.0</w:t>
            </w:r>
          </w:p>
        </w:tc>
        <w:tc>
          <w:tcPr>
            <w:tcW w:w="100" w:type="dxa"/>
            <w:vAlign w:val="bottom"/>
          </w:tcPr>
          <w:p>
            <w:pPr>
              <w:spacing w:after="0"/>
              <w:rPr>
                <w:sz w:val="22"/>
                <w:szCs w:val="22"/>
                <w:color w:val="auto"/>
              </w:rPr>
            </w:pP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90.2</w:t>
            </w:r>
          </w:p>
        </w:tc>
      </w:tr>
      <w:tr>
        <w:trPr>
          <w:trHeight w:val="276"/>
        </w:trPr>
        <w:tc>
          <w:tcPr>
            <w:tcW w:w="6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Land segment</w:t>
            </w:r>
          </w:p>
        </w:tc>
        <w:tc>
          <w:tcPr>
            <w:tcW w:w="2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10.2</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12.2</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29.9</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33.6</w:t>
            </w: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Marine segment</w:t>
            </w:r>
          </w:p>
        </w:tc>
        <w:tc>
          <w:tcPr>
            <w:tcW w:w="20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7.9</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7.2</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16.4</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15.5</w:t>
            </w:r>
          </w:p>
        </w:tc>
      </w:tr>
      <w:tr>
        <w:trPr>
          <w:trHeight w:val="256"/>
        </w:trPr>
        <w:tc>
          <w:tcPr>
            <w:tcW w:w="6400" w:type="dxa"/>
            <w:vAlign w:val="bottom"/>
            <w:tcBorders>
              <w:top w:val="single" w:sz="8" w:color="auto"/>
            </w:tcBorders>
            <w:shd w:val="clear" w:color="auto" w:fill="CCEEFF"/>
          </w:tcPr>
          <w:p>
            <w:pPr>
              <w:spacing w:after="0"/>
              <w:rPr>
                <w:sz w:val="22"/>
                <w:szCs w:val="22"/>
                <w:color w:val="auto"/>
              </w:rPr>
            </w:pPr>
          </w:p>
        </w:tc>
        <w:tc>
          <w:tcPr>
            <w:tcW w:w="14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96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82.3</w:t>
            </w:r>
          </w:p>
        </w:tc>
        <w:tc>
          <w:tcPr>
            <w:tcW w:w="120" w:type="dxa"/>
            <w:vAlign w:val="bottom"/>
            <w:tcBorders>
              <w:top w:val="single" w:sz="8" w:color="CCEEFF"/>
            </w:tcBorders>
            <w:shd w:val="clear" w:color="auto" w:fill="CCEEFF"/>
          </w:tcPr>
          <w:p>
            <w:pPr>
              <w:spacing w:after="0"/>
              <w:rPr>
                <w:sz w:val="22"/>
                <w:szCs w:val="22"/>
                <w:color w:val="auto"/>
              </w:rPr>
            </w:pPr>
          </w:p>
        </w:tc>
        <w:tc>
          <w:tcPr>
            <w:tcW w:w="320" w:type="dxa"/>
            <w:vAlign w:val="bottom"/>
            <w:tcBorders>
              <w:top w:val="single" w:sz="8" w:color="auto"/>
            </w:tcBorders>
            <w:shd w:val="clear" w:color="auto" w:fill="CCEEFF"/>
          </w:tcPr>
          <w:p>
            <w:pPr>
              <w:spacing w:after="0"/>
              <w:rPr>
                <w:sz w:val="22"/>
                <w:szCs w:val="22"/>
                <w:color w:val="auto"/>
              </w:rPr>
            </w:pPr>
          </w:p>
        </w:tc>
        <w:tc>
          <w:tcPr>
            <w:tcW w:w="8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69.2</w:t>
            </w:r>
          </w:p>
        </w:tc>
        <w:tc>
          <w:tcPr>
            <w:tcW w:w="12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auto"/>
            </w:tcBorders>
            <w:shd w:val="clear" w:color="auto" w:fill="CCEEFF"/>
          </w:tcPr>
          <w:p>
            <w:pPr>
              <w:spacing w:after="0"/>
              <w:rPr>
                <w:sz w:val="22"/>
                <w:szCs w:val="22"/>
                <w:color w:val="auto"/>
              </w:rPr>
            </w:pPr>
          </w:p>
        </w:tc>
        <w:tc>
          <w:tcPr>
            <w:tcW w:w="9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158.3</w:t>
            </w:r>
          </w:p>
        </w:tc>
        <w:tc>
          <w:tcPr>
            <w:tcW w:w="100" w:type="dxa"/>
            <w:vAlign w:val="bottom"/>
            <w:tcBorders>
              <w:top w:val="single" w:sz="8" w:color="CCEEFF"/>
            </w:tcBorders>
            <w:shd w:val="clear" w:color="auto" w:fill="CCEEFF"/>
          </w:tcPr>
          <w:p>
            <w:pPr>
              <w:spacing w:after="0"/>
              <w:rPr>
                <w:sz w:val="22"/>
                <w:szCs w:val="22"/>
                <w:color w:val="auto"/>
              </w:rPr>
            </w:pPr>
          </w:p>
        </w:tc>
        <w:tc>
          <w:tcPr>
            <w:tcW w:w="320" w:type="dxa"/>
            <w:vAlign w:val="bottom"/>
            <w:tcBorders>
              <w:top w:val="single" w:sz="8" w:color="auto"/>
            </w:tcBorders>
            <w:shd w:val="clear" w:color="auto" w:fill="CCEEFF"/>
          </w:tcPr>
          <w:p>
            <w:pPr>
              <w:spacing w:after="0"/>
              <w:rPr>
                <w:sz w:val="22"/>
                <w:szCs w:val="22"/>
                <w:color w:val="auto"/>
              </w:rPr>
            </w:pPr>
          </w:p>
        </w:tc>
        <w:tc>
          <w:tcPr>
            <w:tcW w:w="8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139.3</w:t>
            </w: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Corporate overhead - unallocated</w:t>
            </w:r>
          </w:p>
        </w:tc>
        <w:tc>
          <w:tcPr>
            <w:tcW w:w="200" w:type="dxa"/>
            <w:vAlign w:val="bottom"/>
          </w:tcPr>
          <w:p>
            <w:pPr>
              <w:spacing w:after="0"/>
              <w:rPr>
                <w:sz w:val="22"/>
                <w:szCs w:val="22"/>
                <w:color w:val="auto"/>
              </w:rPr>
            </w:pPr>
          </w:p>
        </w:tc>
        <w:tc>
          <w:tcPr>
            <w:tcW w:w="960" w:type="dxa"/>
            <w:vAlign w:val="bottom"/>
          </w:tcPr>
          <w:p>
            <w:pPr>
              <w:jc w:val="right"/>
              <w:ind w:right="8"/>
              <w:spacing w:after="0"/>
              <w:rPr>
                <w:sz w:val="20"/>
                <w:szCs w:val="20"/>
                <w:color w:val="auto"/>
              </w:rPr>
            </w:pPr>
            <w:r>
              <w:rPr>
                <w:rFonts w:ascii="Arial" w:cs="Arial" w:eastAsia="Arial" w:hAnsi="Arial"/>
                <w:sz w:val="14"/>
                <w:szCs w:val="14"/>
                <w:color w:val="auto"/>
              </w:rPr>
              <w:t>(21.2)</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(17.9)</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(40.0)</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(37.7)</w:t>
            </w:r>
          </w:p>
        </w:tc>
      </w:tr>
      <w:tr>
        <w:trPr>
          <w:trHeight w:val="237"/>
        </w:trPr>
        <w:tc>
          <w:tcPr>
            <w:tcW w:w="6400" w:type="dxa"/>
            <w:vAlign w:val="bottom"/>
            <w:tcBorders>
              <w:top w:val="single" w:sz="8" w:color="auto"/>
              <w:bottom w:val="single" w:sz="8" w:color="auto"/>
            </w:tcBorders>
            <w:shd w:val="clear" w:color="auto" w:fill="CCEEFF"/>
          </w:tcPr>
          <w:p>
            <w:pPr>
              <w:spacing w:after="0"/>
              <w:rPr>
                <w:sz w:val="20"/>
                <w:szCs w:val="20"/>
                <w:color w:val="auto"/>
              </w:rPr>
            </w:pPr>
          </w:p>
        </w:tc>
        <w:tc>
          <w:tcPr>
            <w:tcW w:w="14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61.1</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320" w:type="dxa"/>
            <w:vAlign w:val="bottom"/>
            <w:tcBorders>
              <w:top w:val="single" w:sz="8" w:color="auto"/>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8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51.2</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118.3</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20" w:type="dxa"/>
            <w:vAlign w:val="bottom"/>
            <w:tcBorders>
              <w:top w:val="single" w:sz="8" w:color="auto"/>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101.6</w:t>
            </w:r>
          </w:p>
        </w:tc>
      </w:tr>
      <w:tr>
        <w:trPr>
          <w:trHeight w:val="20"/>
        </w:trPr>
        <w:tc>
          <w:tcPr>
            <w:tcW w:w="64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SALES VOLUME SUPPLEMENTAL INFORMATION</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(Unaudited - 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4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500" w:type="dxa"/>
            <w:vAlign w:val="bottom"/>
            <w:gridSpan w:val="5"/>
          </w:tcPr>
          <w:p>
            <w:pPr>
              <w:jc w:val="center"/>
              <w:ind w:right="100"/>
              <w:spacing w:after="0"/>
              <w:rPr>
                <w:sz w:val="20"/>
                <w:szCs w:val="20"/>
                <w:color w:val="auto"/>
              </w:rPr>
            </w:pPr>
            <w:r>
              <w:rPr>
                <w:rFonts w:ascii="Arial" w:cs="Arial" w:eastAsia="Arial" w:hAnsi="Arial"/>
                <w:sz w:val="14"/>
                <w:szCs w:val="14"/>
                <w:b w:val="1"/>
                <w:bCs w:val="1"/>
                <w:color w:val="auto"/>
                <w:w w:val="94"/>
              </w:rPr>
              <w:t>For the Three Months Ended</w:t>
            </w:r>
          </w:p>
        </w:tc>
        <w:tc>
          <w:tcPr>
            <w:tcW w:w="2380" w:type="dxa"/>
            <w:vAlign w:val="bottom"/>
            <w:gridSpan w:val="4"/>
          </w:tcPr>
          <w:p>
            <w:pPr>
              <w:jc w:val="center"/>
              <w:spacing w:after="0"/>
              <w:rPr>
                <w:sz w:val="20"/>
                <w:szCs w:val="20"/>
                <w:color w:val="auto"/>
              </w:rPr>
            </w:pPr>
            <w:r>
              <w:rPr>
                <w:rFonts w:ascii="Arial" w:cs="Arial" w:eastAsia="Arial" w:hAnsi="Arial"/>
                <w:sz w:val="14"/>
                <w:szCs w:val="14"/>
                <w:b w:val="1"/>
                <w:bCs w:val="1"/>
                <w:color w:val="auto"/>
                <w:w w:val="93"/>
              </w:rPr>
              <w:t>For the Six Months Ended</w:t>
            </w:r>
          </w:p>
        </w:tc>
      </w:tr>
      <w:tr>
        <w:trPr>
          <w:trHeight w:val="276"/>
        </w:trPr>
        <w:tc>
          <w:tcPr>
            <w:tcW w:w="640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580" w:type="dxa"/>
            <w:vAlign w:val="bottom"/>
            <w:tcBorders>
              <w:bottom w:val="single" w:sz="8" w:color="auto"/>
            </w:tcBorders>
            <w:gridSpan w:val="3"/>
          </w:tcPr>
          <w:p>
            <w:pPr>
              <w:jc w:val="center"/>
              <w:ind w:left="768"/>
              <w:spacing w:after="0"/>
              <w:rPr>
                <w:sz w:val="20"/>
                <w:szCs w:val="20"/>
                <w:color w:val="auto"/>
              </w:rPr>
            </w:pPr>
            <w:r>
              <w:rPr>
                <w:rFonts w:ascii="Arial" w:cs="Arial" w:eastAsia="Arial" w:hAnsi="Arial"/>
                <w:sz w:val="14"/>
                <w:szCs w:val="14"/>
                <w:b w:val="1"/>
                <w:bCs w:val="1"/>
                <w:color w:val="auto"/>
                <w:w w:val="89"/>
              </w:rPr>
              <w:t>June 30,</w:t>
            </w: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Borders>
              <w:bottom w:val="single" w:sz="8" w:color="auto"/>
            </w:tcBorders>
            <w:gridSpan w:val="3"/>
          </w:tcPr>
          <w:p>
            <w:pPr>
              <w:jc w:val="center"/>
              <w:ind w:left="768"/>
              <w:spacing w:after="0"/>
              <w:rPr>
                <w:sz w:val="20"/>
                <w:szCs w:val="20"/>
                <w:color w:val="auto"/>
              </w:rPr>
            </w:pPr>
            <w:r>
              <w:rPr>
                <w:rFonts w:ascii="Arial" w:cs="Arial" w:eastAsia="Arial" w:hAnsi="Arial"/>
                <w:sz w:val="14"/>
                <w:szCs w:val="14"/>
                <w:b w:val="1"/>
                <w:bCs w:val="1"/>
                <w:color w:val="auto"/>
                <w:w w:val="92"/>
              </w:rPr>
              <w:t>June 30,</w:t>
            </w:r>
          </w:p>
        </w:tc>
        <w:tc>
          <w:tcPr>
            <w:tcW w:w="820" w:type="dxa"/>
            <w:vAlign w:val="bottom"/>
            <w:tcBorders>
              <w:bottom w:val="single" w:sz="8" w:color="auto"/>
            </w:tcBorders>
          </w:tcPr>
          <w:p>
            <w:pPr>
              <w:spacing w:after="0"/>
              <w:rPr>
                <w:sz w:val="24"/>
                <w:szCs w:val="24"/>
                <w:color w:val="auto"/>
              </w:rPr>
            </w:pPr>
          </w:p>
        </w:tc>
      </w:tr>
      <w:tr>
        <w:trPr>
          <w:trHeight w:val="264"/>
        </w:trPr>
        <w:tc>
          <w:tcPr>
            <w:tcW w:w="654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Volume (Gallons):</w:t>
            </w:r>
          </w:p>
        </w:tc>
        <w:tc>
          <w:tcPr>
            <w:tcW w:w="116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1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2017</w:t>
            </w:r>
          </w:p>
        </w:tc>
      </w:tr>
      <w:tr>
        <w:trPr>
          <w:trHeight w:val="256"/>
        </w:trPr>
        <w:tc>
          <w:tcPr>
            <w:tcW w:w="654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Aviation Segment</w:t>
            </w: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2,090.3</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2,031.5</w:t>
            </w: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4,057.4</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3,862.5</w:t>
            </w:r>
          </w:p>
        </w:tc>
      </w:tr>
      <w:tr>
        <w:trPr>
          <w:trHeight w:val="264"/>
        </w:trPr>
        <w:tc>
          <w:tcPr>
            <w:tcW w:w="6540" w:type="dxa"/>
            <w:vAlign w:val="bottom"/>
            <w:gridSpan w:val="2"/>
          </w:tcPr>
          <w:p>
            <w:pPr>
              <w:ind w:left="280"/>
              <w:spacing w:after="0"/>
              <w:rPr>
                <w:sz w:val="20"/>
                <w:szCs w:val="20"/>
                <w:color w:val="auto"/>
              </w:rPr>
            </w:pPr>
            <w:r>
              <w:rPr>
                <w:rFonts w:ascii="Arial" w:cs="Arial" w:eastAsia="Arial" w:hAnsi="Arial"/>
                <w:sz w:val="14"/>
                <w:szCs w:val="14"/>
                <w:color w:val="auto"/>
              </w:rPr>
              <w:t xml:space="preserve">Land Segment </w:t>
            </w:r>
            <w:r>
              <w:rPr>
                <w:rFonts w:ascii="Arial" w:cs="Arial" w:eastAsia="Arial" w:hAnsi="Arial"/>
                <w:sz w:val="8"/>
                <w:szCs w:val="8"/>
                <w:color w:val="auto"/>
              </w:rPr>
              <w:t>(1)</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1,432.4</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1,472.3</w:t>
            </w:r>
          </w:p>
        </w:tc>
        <w:tc>
          <w:tcPr>
            <w:tcW w:w="10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2,890.7</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2,969.4</w:t>
            </w:r>
          </w:p>
        </w:tc>
      </w:tr>
      <w:tr>
        <w:trPr>
          <w:trHeight w:val="270"/>
        </w:trPr>
        <w:tc>
          <w:tcPr>
            <w:tcW w:w="640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 xml:space="preserve">Marine Segment </w:t>
            </w:r>
            <w:r>
              <w:rPr>
                <w:rFonts w:ascii="Arial" w:cs="Arial" w:eastAsia="Arial" w:hAnsi="Arial"/>
                <w:sz w:val="8"/>
                <w:szCs w:val="8"/>
                <w:color w:val="auto"/>
              </w:rPr>
              <w:t>(2)</w:t>
            </w:r>
          </w:p>
        </w:tc>
        <w:tc>
          <w:tcPr>
            <w:tcW w:w="140" w:type="dxa"/>
            <w:vAlign w:val="bottom"/>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1,554.3</w:t>
            </w:r>
          </w:p>
        </w:tc>
        <w:tc>
          <w:tcPr>
            <w:tcW w:w="10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1,785.4</w:t>
            </w:r>
          </w:p>
        </w:tc>
        <w:tc>
          <w:tcPr>
            <w:tcW w:w="100" w:type="dxa"/>
            <w:vAlign w:val="bottom"/>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3,078.9</w:t>
            </w:r>
          </w:p>
        </w:tc>
        <w:tc>
          <w:tcPr>
            <w:tcW w:w="10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3,589.1</w:t>
            </w:r>
          </w:p>
        </w:tc>
      </w:tr>
      <w:tr>
        <w:trPr>
          <w:trHeight w:val="237"/>
        </w:trPr>
        <w:tc>
          <w:tcPr>
            <w:tcW w:w="6540" w:type="dxa"/>
            <w:vAlign w:val="bottom"/>
            <w:gridSpan w:val="2"/>
          </w:tcPr>
          <w:p>
            <w:pPr>
              <w:ind w:left="280"/>
              <w:spacing w:after="0"/>
              <w:rPr>
                <w:sz w:val="20"/>
                <w:szCs w:val="20"/>
                <w:color w:val="auto"/>
              </w:rPr>
            </w:pPr>
            <w:r>
              <w:rPr>
                <w:rFonts w:ascii="Arial" w:cs="Arial" w:eastAsia="Arial" w:hAnsi="Arial"/>
                <w:sz w:val="14"/>
                <w:szCs w:val="14"/>
                <w:color w:val="auto"/>
              </w:rPr>
              <w:t>Consolidated Total</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5,077.0</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5,289.3</w:t>
            </w:r>
          </w:p>
        </w:tc>
        <w:tc>
          <w:tcPr>
            <w:tcW w:w="100" w:type="dxa"/>
            <w:vAlign w:val="bottom"/>
          </w:tcPr>
          <w:p>
            <w:pPr>
              <w:spacing w:after="0"/>
              <w:rPr>
                <w:sz w:val="20"/>
                <w:szCs w:val="20"/>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10,027.0</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10,421.0</w:t>
            </w:r>
          </w:p>
        </w:tc>
      </w:tr>
      <w:tr>
        <w:trPr>
          <w:trHeight w:val="20"/>
        </w:trPr>
        <w:tc>
          <w:tcPr>
            <w:tcW w:w="6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r>
    </w:tbl>
    <w:p>
      <w:pPr>
        <w:spacing w:after="0" w:line="197"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Includes gallons and gallon equivalents of British Thermal Units (BTU) for our natural gas sales and Kilowatt Hours (KwH) for our Kinect power business.</w:t>
      </w:r>
    </w:p>
    <w:p>
      <w:pPr>
        <w:spacing w:after="0" w:line="13" w:lineRule="exact"/>
        <w:rPr>
          <w:rFonts w:ascii="Arial" w:cs="Arial" w:eastAsia="Arial" w:hAnsi="Arial"/>
          <w:sz w:val="14"/>
          <w:szCs w:val="14"/>
          <w:color w:val="auto"/>
        </w:rPr>
      </w:pPr>
    </w:p>
    <w:p>
      <w:pPr>
        <w:ind w:left="660" w:hanging="328"/>
        <w:spacing w:after="0"/>
        <w:tabs>
          <w:tab w:leader="none" w:pos="660" w:val="left"/>
        </w:tabs>
        <w:numPr>
          <w:ilvl w:val="0"/>
          <w:numId w:val="5"/>
        </w:numPr>
        <w:rPr>
          <w:rFonts w:ascii="Arial" w:cs="Arial" w:eastAsia="Arial" w:hAnsi="Arial"/>
          <w:sz w:val="13"/>
          <w:szCs w:val="13"/>
          <w:color w:val="auto"/>
        </w:rPr>
      </w:pPr>
      <w:r>
        <w:rPr>
          <w:rFonts w:ascii="Arial" w:cs="Arial" w:eastAsia="Arial" w:hAnsi="Arial"/>
          <w:sz w:val="13"/>
          <w:szCs w:val="13"/>
          <w:color w:val="auto"/>
        </w:rPr>
        <w:t>Converted from metric tons to gallons at a rate of 264 gallons per metric ton. Marine segment metric tons were 5.9 and 11.7 for the three and six months ended June 30, 2018.</w:t>
      </w:r>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color w:val="auto"/>
        </w:rPr>
        <w:t>CONTACT: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World Fuel Services Corporation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Ira M Birns, 305-428-8000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&amp; Chief Financial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Glenn Klevitz, 305-428-8000</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Vice President, Assistant Treasurer &amp; Investor Relations</w:t>
      </w:r>
    </w:p>
    <w:sectPr>
      <w:pgSz w:w="11900" w:h="16838" w:orient="portrait"/>
      <w:cols w:equalWidth="0" w:num="1">
        <w:col w:w="11420"/>
      </w:cols>
      <w:pgMar w:left="240" w:top="79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2019-12-28T21:21:26Z</dcterms:created>
  <dcterms:modified xsi:type="dcterms:W3CDTF">2019-12-28T21:21:26Z</dcterms:modified>
</cp:coreProperties>
</file>