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39"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8-K</w:t>
      </w:r>
    </w:p>
    <w:p>
      <w:pPr>
        <w:spacing w:after="0" w:line="200" w:lineRule="exact"/>
        <w:rPr>
          <w:sz w:val="24"/>
          <w:szCs w:val="24"/>
          <w:color w:val="auto"/>
        </w:rPr>
      </w:pPr>
    </w:p>
    <w:p>
      <w:pPr>
        <w:spacing w:after="0" w:line="297"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CURRENT REPORT</w:t>
      </w:r>
    </w:p>
    <w:p>
      <w:pPr>
        <w:spacing w:after="0" w:line="166"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PURSUANT TO SECTION 13 OR 15(d) OF</w:t>
      </w:r>
    </w:p>
    <w:p>
      <w:pPr>
        <w:spacing w:after="0" w:line="166"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57" w:lineRule="exact"/>
        <w:rPr>
          <w:sz w:val="24"/>
          <w:szCs w:val="24"/>
          <w:color w:val="auto"/>
        </w:rPr>
      </w:pPr>
    </w:p>
    <w:p>
      <w:pPr>
        <w:jc w:val="center"/>
        <w:ind w:right="-39"/>
        <w:spacing w:after="0"/>
        <w:rPr>
          <w:sz w:val="20"/>
          <w:szCs w:val="20"/>
          <w:color w:val="auto"/>
        </w:rPr>
      </w:pPr>
      <w:r>
        <w:rPr>
          <w:rFonts w:ascii="Arial" w:cs="Arial" w:eastAsia="Arial" w:hAnsi="Arial"/>
          <w:sz w:val="20"/>
          <w:szCs w:val="20"/>
          <w:b w:val="1"/>
          <w:bCs w:val="1"/>
          <w:color w:val="auto"/>
        </w:rPr>
        <w:t>Date of Report (Date of earliest event reported): October 30, 2019</w:t>
      </w:r>
    </w:p>
    <w:p>
      <w:pPr>
        <w:spacing w:after="0" w:line="366" w:lineRule="exact"/>
        <w:rPr>
          <w:sz w:val="24"/>
          <w:szCs w:val="24"/>
          <w:color w:val="auto"/>
        </w:rPr>
      </w:pPr>
    </w:p>
    <w:p>
      <w:pPr>
        <w:jc w:val="center"/>
        <w:ind w:right="-39"/>
        <w:spacing w:after="0"/>
        <w:rPr>
          <w:sz w:val="20"/>
          <w:szCs w:val="20"/>
          <w:color w:val="auto"/>
        </w:rPr>
      </w:pPr>
      <w:r>
        <w:rPr>
          <w:rFonts w:ascii="Arial" w:cs="Arial" w:eastAsia="Arial" w:hAnsi="Arial"/>
          <w:sz w:val="40"/>
          <w:szCs w:val="40"/>
          <w:b w:val="1"/>
          <w:bCs w:val="1"/>
          <w:color w:val="auto"/>
        </w:rPr>
        <w:t>WORLD FUEL SERVICES CORPORATION</w:t>
      </w:r>
    </w:p>
    <w:p>
      <w:pPr>
        <w:spacing w:after="0" w:line="40" w:lineRule="exact"/>
        <w:rPr>
          <w:sz w:val="24"/>
          <w:szCs w:val="24"/>
          <w:color w:val="auto"/>
        </w:rPr>
      </w:pPr>
    </w:p>
    <w:p>
      <w:pPr>
        <w:jc w:val="center"/>
        <w:ind w:right="-39"/>
        <w:spacing w:after="0"/>
        <w:rPr>
          <w:sz w:val="20"/>
          <w:szCs w:val="20"/>
          <w:color w:val="auto"/>
        </w:rPr>
      </w:pPr>
      <w:r>
        <w:rPr>
          <w:rFonts w:ascii="Arial" w:cs="Arial" w:eastAsia="Arial" w:hAnsi="Arial"/>
          <w:sz w:val="14"/>
          <w:szCs w:val="14"/>
          <w:color w:val="auto"/>
        </w:rPr>
        <w:t>(Exact name of registrant as specified in its charter)</w:t>
      </w:r>
    </w:p>
    <w:p>
      <w:pPr>
        <w:spacing w:after="0" w:line="200" w:lineRule="exact"/>
        <w:rPr>
          <w:sz w:val="24"/>
          <w:szCs w:val="24"/>
          <w:color w:val="auto"/>
        </w:rPr>
      </w:pPr>
    </w:p>
    <w:p>
      <w:pPr>
        <w:spacing w:after="0" w:line="208" w:lineRule="exact"/>
        <w:rPr>
          <w:sz w:val="24"/>
          <w:szCs w:val="24"/>
          <w:color w:val="auto"/>
        </w:rPr>
      </w:pPr>
    </w:p>
    <w:tbl>
      <w:tblPr>
        <w:tblLayout w:type="fixed"/>
        <w:tblInd w:w="420" w:type="dxa"/>
        <w:tblCellMar>
          <w:top w:w="0" w:type="dxa"/>
          <w:left w:w="0" w:type="dxa"/>
          <w:bottom w:w="0" w:type="dxa"/>
          <w:right w:w="0" w:type="dxa"/>
        </w:tblCellMar>
      </w:tblPr>
      <w:tr>
        <w:trPr>
          <w:trHeight w:val="234"/>
        </w:trPr>
        <w:tc>
          <w:tcPr>
            <w:tcW w:w="3260" w:type="dxa"/>
            <w:vAlign w:val="bottom"/>
          </w:tcPr>
          <w:p>
            <w:pPr>
              <w:jc w:val="center"/>
              <w:ind w:right="459"/>
              <w:spacing w:after="0"/>
              <w:rPr>
                <w:sz w:val="20"/>
                <w:szCs w:val="20"/>
                <w:color w:val="auto"/>
              </w:rPr>
            </w:pPr>
            <w:r>
              <w:rPr>
                <w:rFonts w:ascii="Arial" w:cs="Arial" w:eastAsia="Arial" w:hAnsi="Arial"/>
                <w:sz w:val="18"/>
                <w:szCs w:val="18"/>
                <w:b w:val="1"/>
                <w:bCs w:val="1"/>
                <w:color w:val="auto"/>
                <w:w w:val="93"/>
              </w:rPr>
              <w:t>Florida</w:t>
            </w:r>
          </w:p>
        </w:tc>
        <w:tc>
          <w:tcPr>
            <w:tcW w:w="3820" w:type="dxa"/>
            <w:vAlign w:val="bottom"/>
          </w:tcPr>
          <w:p>
            <w:pPr>
              <w:jc w:val="right"/>
              <w:ind w:right="1496"/>
              <w:spacing w:after="0"/>
              <w:rPr>
                <w:sz w:val="20"/>
                <w:szCs w:val="20"/>
                <w:color w:val="auto"/>
              </w:rPr>
            </w:pPr>
            <w:r>
              <w:rPr>
                <w:rFonts w:ascii="Arial" w:cs="Arial" w:eastAsia="Arial" w:hAnsi="Arial"/>
                <w:sz w:val="18"/>
                <w:szCs w:val="18"/>
                <w:b w:val="1"/>
                <w:bCs w:val="1"/>
                <w:color w:val="auto"/>
              </w:rPr>
              <w:t>1-9533</w:t>
            </w:r>
          </w:p>
        </w:tc>
        <w:tc>
          <w:tcPr>
            <w:tcW w:w="3200" w:type="dxa"/>
            <w:vAlign w:val="bottom"/>
          </w:tcPr>
          <w:p>
            <w:pPr>
              <w:jc w:val="right"/>
              <w:ind w:right="577"/>
              <w:spacing w:after="0"/>
              <w:rPr>
                <w:sz w:val="20"/>
                <w:szCs w:val="20"/>
                <w:color w:val="auto"/>
              </w:rPr>
            </w:pPr>
            <w:r>
              <w:rPr>
                <w:rFonts w:ascii="Arial" w:cs="Arial" w:eastAsia="Arial" w:hAnsi="Arial"/>
                <w:sz w:val="18"/>
                <w:szCs w:val="18"/>
                <w:b w:val="1"/>
                <w:bCs w:val="1"/>
                <w:color w:val="auto"/>
              </w:rPr>
              <w:t>59-2459427</w:t>
            </w:r>
          </w:p>
        </w:tc>
      </w:tr>
      <w:tr>
        <w:trPr>
          <w:trHeight w:val="434"/>
        </w:trPr>
        <w:tc>
          <w:tcPr>
            <w:tcW w:w="3260" w:type="dxa"/>
            <w:vAlign w:val="bottom"/>
          </w:tcPr>
          <w:p>
            <w:pPr>
              <w:jc w:val="center"/>
              <w:ind w:right="459"/>
              <w:spacing w:after="0"/>
              <w:rPr>
                <w:sz w:val="20"/>
                <w:szCs w:val="20"/>
                <w:color w:val="auto"/>
              </w:rPr>
            </w:pPr>
            <w:r>
              <w:rPr>
                <w:rFonts w:ascii="Arial" w:cs="Arial" w:eastAsia="Arial" w:hAnsi="Arial"/>
                <w:sz w:val="14"/>
                <w:szCs w:val="14"/>
                <w:b w:val="1"/>
                <w:bCs w:val="1"/>
                <w:color w:val="auto"/>
                <w:w w:val="93"/>
              </w:rPr>
              <w:t>(State or other jurisdiction of incorporation)</w:t>
            </w:r>
          </w:p>
        </w:tc>
        <w:tc>
          <w:tcPr>
            <w:tcW w:w="3820" w:type="dxa"/>
            <w:vAlign w:val="bottom"/>
          </w:tcPr>
          <w:p>
            <w:pPr>
              <w:jc w:val="center"/>
              <w:ind w:left="56"/>
              <w:spacing w:after="0"/>
              <w:rPr>
                <w:sz w:val="20"/>
                <w:szCs w:val="20"/>
                <w:color w:val="auto"/>
              </w:rPr>
            </w:pPr>
            <w:r>
              <w:rPr>
                <w:rFonts w:ascii="Arial" w:cs="Arial" w:eastAsia="Arial" w:hAnsi="Arial"/>
                <w:sz w:val="14"/>
                <w:szCs w:val="14"/>
                <w:b w:val="1"/>
                <w:bCs w:val="1"/>
                <w:color w:val="auto"/>
                <w:w w:val="94"/>
              </w:rPr>
              <w:t>(Commission File Number)</w:t>
            </w:r>
          </w:p>
        </w:tc>
        <w:tc>
          <w:tcPr>
            <w:tcW w:w="3200" w:type="dxa"/>
            <w:vAlign w:val="bottom"/>
          </w:tcPr>
          <w:p>
            <w:pPr>
              <w:jc w:val="center"/>
              <w:ind w:left="917"/>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390"/>
        </w:trPr>
        <w:tc>
          <w:tcPr>
            <w:tcW w:w="3260" w:type="dxa"/>
            <w:vAlign w:val="bottom"/>
          </w:tcPr>
          <w:p>
            <w:pPr>
              <w:ind w:left="860"/>
              <w:spacing w:after="0"/>
              <w:rPr>
                <w:sz w:val="20"/>
                <w:szCs w:val="20"/>
                <w:color w:val="auto"/>
              </w:rPr>
            </w:pPr>
            <w:r>
              <w:rPr>
                <w:rFonts w:ascii="Arial" w:cs="Arial" w:eastAsia="Arial" w:hAnsi="Arial"/>
                <w:sz w:val="18"/>
                <w:szCs w:val="18"/>
                <w:b w:val="1"/>
                <w:bCs w:val="1"/>
                <w:color w:val="auto"/>
                <w:w w:val="95"/>
              </w:rPr>
              <w:t>9800 N.W. 41st Street, Miami,</w:t>
            </w:r>
          </w:p>
        </w:tc>
        <w:tc>
          <w:tcPr>
            <w:tcW w:w="3820" w:type="dxa"/>
            <w:vAlign w:val="bottom"/>
          </w:tcPr>
          <w:p>
            <w:pPr>
              <w:ind w:left="60"/>
              <w:spacing w:after="0"/>
              <w:rPr>
                <w:sz w:val="20"/>
                <w:szCs w:val="20"/>
                <w:color w:val="auto"/>
              </w:rPr>
            </w:pPr>
            <w:r>
              <w:rPr>
                <w:rFonts w:ascii="Arial" w:cs="Arial" w:eastAsia="Arial" w:hAnsi="Arial"/>
                <w:sz w:val="18"/>
                <w:szCs w:val="18"/>
                <w:b w:val="1"/>
                <w:bCs w:val="1"/>
                <w:color w:val="auto"/>
              </w:rPr>
              <w:t>Florida</w:t>
            </w:r>
          </w:p>
        </w:tc>
        <w:tc>
          <w:tcPr>
            <w:tcW w:w="3200" w:type="dxa"/>
            <w:vAlign w:val="bottom"/>
          </w:tcPr>
          <w:p>
            <w:pPr>
              <w:jc w:val="right"/>
              <w:ind w:right="1197"/>
              <w:spacing w:after="0"/>
              <w:rPr>
                <w:sz w:val="20"/>
                <w:szCs w:val="20"/>
                <w:color w:val="auto"/>
              </w:rPr>
            </w:pPr>
            <w:r>
              <w:rPr>
                <w:rFonts w:ascii="Arial" w:cs="Arial" w:eastAsia="Arial" w:hAnsi="Arial"/>
                <w:sz w:val="18"/>
                <w:szCs w:val="18"/>
                <w:b w:val="1"/>
                <w:bCs w:val="1"/>
                <w:color w:val="auto"/>
              </w:rPr>
              <w:t>33178</w:t>
            </w:r>
          </w:p>
        </w:tc>
      </w:tr>
      <w:tr>
        <w:trPr>
          <w:trHeight w:val="312"/>
        </w:trPr>
        <w:tc>
          <w:tcPr>
            <w:tcW w:w="7080" w:type="dxa"/>
            <w:vAlign w:val="bottom"/>
            <w:gridSpan w:val="2"/>
          </w:tcPr>
          <w:p>
            <w:pPr>
              <w:ind w:left="1240"/>
              <w:spacing w:after="0"/>
              <w:rPr>
                <w:sz w:val="20"/>
                <w:szCs w:val="20"/>
                <w:color w:val="auto"/>
              </w:rPr>
            </w:pPr>
            <w:r>
              <w:rPr>
                <w:rFonts w:ascii="Arial" w:cs="Arial" w:eastAsia="Arial" w:hAnsi="Arial"/>
                <w:sz w:val="14"/>
                <w:szCs w:val="14"/>
                <w:b w:val="1"/>
                <w:bCs w:val="1"/>
                <w:color w:val="auto"/>
              </w:rPr>
              <w:t>(Address of principal executive offices)</w:t>
            </w:r>
          </w:p>
        </w:tc>
        <w:tc>
          <w:tcPr>
            <w:tcW w:w="3200" w:type="dxa"/>
            <w:vAlign w:val="bottom"/>
          </w:tcPr>
          <w:p>
            <w:pPr>
              <w:jc w:val="center"/>
              <w:ind w:left="77"/>
              <w:spacing w:after="0"/>
              <w:rPr>
                <w:sz w:val="20"/>
                <w:szCs w:val="20"/>
                <w:color w:val="auto"/>
              </w:rPr>
            </w:pPr>
            <w:r>
              <w:rPr>
                <w:rFonts w:ascii="Arial" w:cs="Arial" w:eastAsia="Arial" w:hAnsi="Arial"/>
                <w:sz w:val="16"/>
                <w:szCs w:val="16"/>
                <w:b w:val="1"/>
                <w:bCs w:val="1"/>
                <w:color w:val="auto"/>
                <w:w w:val="96"/>
              </w:rPr>
              <w:t>(Zip Code)</w:t>
            </w:r>
          </w:p>
        </w:tc>
      </w:tr>
    </w:tbl>
    <w:p>
      <w:pPr>
        <w:spacing w:after="0" w:line="210"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Registrant’s telephone number, including area code: (305) 428-8000</w:t>
      </w:r>
    </w:p>
    <w:p>
      <w:pPr>
        <w:spacing w:after="0" w:line="229" w:lineRule="exact"/>
        <w:rPr>
          <w:sz w:val="24"/>
          <w:szCs w:val="24"/>
          <w:color w:val="auto"/>
        </w:rPr>
      </w:pPr>
    </w:p>
    <w:p>
      <w:pPr>
        <w:ind w:right="18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74"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5" w:lineRule="exact"/>
        <w:rPr>
          <w:sz w:val="24"/>
          <w:szCs w:val="24"/>
          <w:color w:val="auto"/>
        </w:rPr>
      </w:pPr>
    </w:p>
    <w:tbl>
      <w:tblPr>
        <w:tblLayout w:type="fixed"/>
        <w:tblInd w:w="1080" w:type="dxa"/>
        <w:tblCellMar>
          <w:top w:w="0" w:type="dxa"/>
          <w:left w:w="0" w:type="dxa"/>
          <w:bottom w:w="0" w:type="dxa"/>
          <w:right w:w="0" w:type="dxa"/>
        </w:tblCellMar>
      </w:tblPr>
      <w:tr>
        <w:trPr>
          <w:trHeight w:val="207"/>
        </w:trPr>
        <w:tc>
          <w:tcPr>
            <w:tcW w:w="880" w:type="dxa"/>
            <w:vAlign w:val="bottom"/>
          </w:tcPr>
          <w:p>
            <w:pPr>
              <w:spacing w:after="0"/>
              <w:rPr>
                <w:sz w:val="18"/>
                <w:szCs w:val="18"/>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1680" w:type="dxa"/>
            <w:vAlign w:val="bottom"/>
          </w:tcPr>
          <w:p>
            <w:pPr>
              <w:spacing w:after="0"/>
              <w:rPr>
                <w:sz w:val="18"/>
                <w:szCs w:val="18"/>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840" w:type="dxa"/>
            <w:vAlign w:val="bottom"/>
          </w:tcPr>
          <w:p>
            <w:pPr>
              <w:spacing w:after="0"/>
              <w:rPr>
                <w:sz w:val="18"/>
                <w:szCs w:val="18"/>
                <w:color w:val="auto"/>
              </w:rPr>
            </w:pPr>
          </w:p>
        </w:tc>
        <w:tc>
          <w:tcPr>
            <w:tcW w:w="31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480"/>
        </w:trPr>
        <w:tc>
          <w:tcPr>
            <w:tcW w:w="3860" w:type="dxa"/>
            <w:vAlign w:val="bottom"/>
            <w:gridSpan w:val="3"/>
          </w:tcPr>
          <w:p>
            <w:pPr>
              <w:jc w:val="center"/>
              <w:ind w:right="820"/>
              <w:spacing w:after="0"/>
              <w:rPr>
                <w:sz w:val="20"/>
                <w:szCs w:val="20"/>
                <w:color w:val="auto"/>
              </w:rPr>
            </w:pPr>
            <w:r>
              <w:rPr>
                <w:rFonts w:ascii="Arial" w:cs="Arial" w:eastAsia="Arial" w:hAnsi="Arial"/>
                <w:sz w:val="18"/>
                <w:szCs w:val="18"/>
                <w:color w:val="auto"/>
                <w:w w:val="89"/>
              </w:rPr>
              <w:t>Common Stock, par value $0.01 per share</w:t>
            </w:r>
          </w:p>
        </w:tc>
        <w:tc>
          <w:tcPr>
            <w:tcW w:w="2200" w:type="dxa"/>
            <w:vAlign w:val="bottom"/>
            <w:gridSpan w:val="2"/>
          </w:tcPr>
          <w:p>
            <w:pPr>
              <w:jc w:val="center"/>
              <w:ind w:right="860"/>
              <w:spacing w:after="0"/>
              <w:rPr>
                <w:sz w:val="20"/>
                <w:szCs w:val="20"/>
                <w:color w:val="auto"/>
              </w:rPr>
            </w:pPr>
            <w:r>
              <w:rPr>
                <w:rFonts w:ascii="Arial" w:cs="Arial" w:eastAsia="Arial" w:hAnsi="Arial"/>
                <w:sz w:val="18"/>
                <w:szCs w:val="18"/>
                <w:color w:val="auto"/>
              </w:rPr>
              <w:t>INT</w:t>
            </w:r>
          </w:p>
        </w:tc>
        <w:tc>
          <w:tcPr>
            <w:tcW w:w="318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269" w:lineRule="exact"/>
        <w:rPr>
          <w:sz w:val="24"/>
          <w:szCs w:val="24"/>
          <w:color w:val="auto"/>
        </w:rPr>
      </w:pPr>
    </w:p>
    <w:p>
      <w:pPr>
        <w:ind w:firstLine="648"/>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firstLine="648"/>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80"/>
          </w:cols>
          <w:pgMar w:left="240" w:top="679" w:right="27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6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information is provided pursuant to Item 7.01 of Form 8-K, “Regulation FD Disclosure” and Item 2.02 of Form 8-K, “Results of Operations and Financial Condition.”</w:t>
      </w:r>
    </w:p>
    <w:p>
      <w:pPr>
        <w:spacing w:after="0" w:line="21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On October 30, 2019, World Fuel Services Corporation (the “Company”) issued a press release reporting its financial results for the third quarter ended September 30, 2019. A copy of the press release is attached hereto as Exhibit 99.1.</w:t>
      </w:r>
    </w:p>
    <w:p>
      <w:pPr>
        <w:spacing w:after="0" w:line="17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 Exhibits</w:t>
      </w:r>
    </w:p>
    <w:p>
      <w:pPr>
        <w:spacing w:after="0" w:line="200" w:lineRule="exact"/>
        <w:rPr>
          <w:sz w:val="20"/>
          <w:szCs w:val="20"/>
          <w:color w:val="auto"/>
        </w:rPr>
      </w:pPr>
    </w:p>
    <w:p>
      <w:pPr>
        <w:spacing w:after="0" w:line="332"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w w:val="91"/>
              </w:rPr>
              <w:t>Exhibit No.</w:t>
            </w:r>
          </w:p>
        </w:tc>
        <w:tc>
          <w:tcPr>
            <w:tcW w:w="2100" w:type="dxa"/>
            <w:vAlign w:val="bottom"/>
          </w:tcPr>
          <w:p>
            <w:pPr>
              <w:spacing w:after="0"/>
              <w:rPr>
                <w:sz w:val="17"/>
                <w:szCs w:val="17"/>
                <w:color w:val="auto"/>
              </w:rPr>
            </w:pPr>
          </w:p>
        </w:tc>
        <w:tc>
          <w:tcPr>
            <w:tcW w:w="276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r>
      <w:tr>
        <w:trPr>
          <w:trHeight w:val="250"/>
        </w:trPr>
        <w:tc>
          <w:tcPr>
            <w:tcW w:w="320" w:type="dxa"/>
            <w:vAlign w:val="bottom"/>
            <w:tcBorders>
              <w:bottom w:val="single" w:sz="8" w:color="0000FF"/>
            </w:tcBorders>
          </w:tcPr>
          <w:p>
            <w:pPr>
              <w:spacing w:after="0"/>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560" w:type="dxa"/>
            <w:vAlign w:val="bottom"/>
          </w:tcPr>
          <w:p>
            <w:pPr>
              <w:spacing w:after="0"/>
              <w:rPr>
                <w:sz w:val="21"/>
                <w:szCs w:val="21"/>
                <w:color w:val="auto"/>
              </w:rPr>
            </w:pPr>
          </w:p>
        </w:tc>
        <w:tc>
          <w:tcPr>
            <w:tcW w:w="2100" w:type="dxa"/>
            <w:vAlign w:val="bottom"/>
          </w:tcPr>
          <w:p>
            <w:pPr>
              <w:spacing w:after="0"/>
              <w:rPr>
                <w:sz w:val="21"/>
                <w:szCs w:val="21"/>
                <w:color w:val="auto"/>
              </w:rPr>
            </w:pPr>
          </w:p>
        </w:tc>
        <w:tc>
          <w:tcPr>
            <w:tcW w:w="2760" w:type="dxa"/>
            <w:vAlign w:val="bottom"/>
            <w:gridSpan w:val="2"/>
          </w:tcPr>
          <w:p>
            <w:pPr>
              <w:spacing w:after="0"/>
              <w:rPr>
                <w:sz w:val="20"/>
                <w:szCs w:val="20"/>
                <w:color w:val="auto"/>
              </w:rPr>
            </w:pPr>
            <w:r>
              <w:rPr>
                <w:rFonts w:ascii="Arial" w:cs="Arial" w:eastAsia="Arial" w:hAnsi="Arial"/>
                <w:sz w:val="18"/>
                <w:szCs w:val="18"/>
                <w:color w:val="auto"/>
                <w:w w:val="86"/>
              </w:rPr>
              <w:t>Press Release, dated October 30, 2019</w:t>
            </w:r>
          </w:p>
        </w:tc>
      </w:tr>
    </w:tbl>
    <w:p>
      <w:pPr>
        <w:sectPr>
          <w:pgSz w:w="11900" w:h="16838" w:orient="portrait"/>
          <w:cols w:equalWidth="0" w:num="1">
            <w:col w:w="11420"/>
          </w:cols>
          <w:pgMar w:left="240" w:top="585"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color w:val="auto"/>
        </w:rPr>
        <w:t>SIGNATURES</w:t>
      </w:r>
    </w:p>
    <w:p>
      <w:pPr>
        <w:spacing w:after="0" w:line="13"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40"/>
        <w:spacing w:after="0"/>
        <w:tabs>
          <w:tab w:leader="none" w:pos="5960" w:val="left"/>
        </w:tabs>
        <w:rPr>
          <w:sz w:val="20"/>
          <w:szCs w:val="20"/>
          <w:color w:val="auto"/>
        </w:rPr>
      </w:pPr>
      <w:r>
        <w:rPr>
          <w:rFonts w:ascii="Arial" w:cs="Arial" w:eastAsia="Arial" w:hAnsi="Arial"/>
          <w:sz w:val="18"/>
          <w:szCs w:val="18"/>
          <w:color w:val="auto"/>
        </w:rPr>
        <w:t>Date: October 30, 2019</w:t>
      </w:r>
      <w:r>
        <w:rPr>
          <w:sz w:val="20"/>
          <w:szCs w:val="20"/>
          <w:color w:val="auto"/>
        </w:rPr>
        <w:tab/>
      </w:r>
      <w:r>
        <w:rPr>
          <w:rFonts w:ascii="Arial" w:cs="Arial" w:eastAsia="Arial" w:hAnsi="Arial"/>
          <w:sz w:val="16"/>
          <w:szCs w:val="16"/>
          <w:b w:val="1"/>
          <w:bCs w:val="1"/>
          <w:color w:val="auto"/>
        </w:rPr>
        <w:t>World Fuel Services Corporation</w:t>
      </w:r>
    </w:p>
    <w:p>
      <w:pPr>
        <w:spacing w:after="0" w:line="337"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31750</wp:posOffset>
            </wp:positionV>
            <wp:extent cx="34734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Ira M. Birns</w:t>
      </w:r>
    </w:p>
    <w:p>
      <w:pPr>
        <w:spacing w:after="0" w:line="6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420"/>
          </w:cols>
          <w:pgMar w:left="240" w:top="901"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75"/>
        </w:trPr>
        <w:tc>
          <w:tcPr>
            <w:tcW w:w="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80" w:type="dxa"/>
            <w:vAlign w:val="bottom"/>
          </w:tcPr>
          <w:p>
            <w:pPr>
              <w:ind w:left="1580"/>
              <w:spacing w:after="0"/>
              <w:rPr>
                <w:sz w:val="20"/>
                <w:szCs w:val="20"/>
                <w:color w:val="auto"/>
              </w:rPr>
            </w:pPr>
            <w:r>
              <w:rPr>
                <w:rFonts w:ascii="Arial" w:cs="Arial" w:eastAsia="Arial" w:hAnsi="Arial"/>
                <w:sz w:val="22"/>
                <w:szCs w:val="22"/>
                <w:color w:val="auto"/>
              </w:rPr>
              <w:t>EXHIBIT INDEX</w:t>
            </w:r>
          </w:p>
        </w:tc>
      </w:tr>
      <w:tr>
        <w:trPr>
          <w:trHeight w:val="625"/>
        </w:trPr>
        <w:tc>
          <w:tcPr>
            <w:tcW w:w="40" w:type="dxa"/>
            <w:vAlign w:val="bottom"/>
          </w:tcPr>
          <w:p>
            <w:pPr>
              <w:spacing w:after="0"/>
              <w:rPr>
                <w:sz w:val="24"/>
                <w:szCs w:val="24"/>
                <w:color w:val="auto"/>
              </w:rPr>
            </w:pPr>
          </w:p>
        </w:tc>
        <w:tc>
          <w:tcPr>
            <w:tcW w:w="3300" w:type="dxa"/>
            <w:vAlign w:val="bottom"/>
            <w:gridSpan w:val="3"/>
          </w:tcPr>
          <w:p>
            <w:pPr>
              <w:spacing w:after="0"/>
              <w:rPr>
                <w:sz w:val="20"/>
                <w:szCs w:val="20"/>
                <w:color w:val="auto"/>
              </w:rPr>
            </w:pPr>
            <w:r>
              <w:rPr>
                <w:rFonts w:ascii="Arial" w:cs="Arial" w:eastAsia="Arial" w:hAnsi="Arial"/>
                <w:sz w:val="18"/>
                <w:szCs w:val="18"/>
                <w:color w:val="auto"/>
              </w:rPr>
              <w:t>Exhibit No.</w:t>
            </w:r>
          </w:p>
        </w:tc>
        <w:tc>
          <w:tcPr>
            <w:tcW w:w="8080" w:type="dxa"/>
            <w:vAlign w:val="bottom"/>
          </w:tcPr>
          <w:p>
            <w:pPr>
              <w:ind w:left="20"/>
              <w:spacing w:after="0"/>
              <w:rPr>
                <w:sz w:val="20"/>
                <w:szCs w:val="20"/>
                <w:color w:val="auto"/>
              </w:rPr>
            </w:pPr>
            <w:r>
              <w:rPr>
                <w:rFonts w:ascii="Arial" w:cs="Arial" w:eastAsia="Arial" w:hAnsi="Arial"/>
                <w:sz w:val="18"/>
                <w:szCs w:val="18"/>
                <w:color w:val="auto"/>
              </w:rPr>
              <w:t>Description</w:t>
            </w:r>
          </w:p>
        </w:tc>
      </w:tr>
      <w:tr>
        <w:trPr>
          <w:trHeight w:val="27"/>
        </w:trPr>
        <w:tc>
          <w:tcPr>
            <w:tcW w:w="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600" w:type="dxa"/>
            <w:vAlign w:val="bottom"/>
          </w:tcPr>
          <w:p>
            <w:pPr>
              <w:spacing w:after="0"/>
              <w:rPr>
                <w:sz w:val="2"/>
                <w:szCs w:val="2"/>
                <w:color w:val="auto"/>
              </w:rPr>
            </w:pPr>
          </w:p>
        </w:tc>
        <w:tc>
          <w:tcPr>
            <w:tcW w:w="8080" w:type="dxa"/>
            <w:vAlign w:val="bottom"/>
            <w:tcBorders>
              <w:bottom w:val="single" w:sz="8" w:color="auto"/>
            </w:tcBorders>
          </w:tcPr>
          <w:p>
            <w:pPr>
              <w:spacing w:after="0"/>
              <w:rPr>
                <w:sz w:val="2"/>
                <w:szCs w:val="2"/>
                <w:color w:val="auto"/>
              </w:rPr>
            </w:pPr>
          </w:p>
        </w:tc>
      </w:tr>
      <w:tr>
        <w:trPr>
          <w:trHeight w:val="196"/>
        </w:trPr>
        <w:tc>
          <w:tcPr>
            <w:tcW w:w="360" w:type="dxa"/>
            <w:vAlign w:val="bottom"/>
            <w:gridSpan w:val="2"/>
          </w:tcPr>
          <w:p>
            <w:pPr>
              <w:ind w:left="40"/>
              <w:spacing w:after="0" w:line="182" w:lineRule="exact"/>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23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080" w:type="dxa"/>
            <w:vAlign w:val="bottom"/>
          </w:tcPr>
          <w:p>
            <w:pPr>
              <w:ind w:left="20"/>
              <w:spacing w:after="0" w:line="182" w:lineRule="exact"/>
              <w:rPr>
                <w:sz w:val="20"/>
                <w:szCs w:val="20"/>
                <w:color w:val="auto"/>
              </w:rPr>
            </w:pPr>
            <w:r>
              <w:rPr>
                <w:rFonts w:ascii="Arial" w:cs="Arial" w:eastAsia="Arial" w:hAnsi="Arial"/>
                <w:sz w:val="18"/>
                <w:szCs w:val="18"/>
                <w:color w:val="auto"/>
              </w:rPr>
              <w:t>Press Release, dated October 30, 2019</w:t>
            </w:r>
          </w:p>
        </w:tc>
      </w:tr>
      <w:tr>
        <w:trPr>
          <w:trHeight w:val="20"/>
        </w:trPr>
        <w:tc>
          <w:tcPr>
            <w:tcW w:w="4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80" w:type="dxa"/>
            <w:vAlign w:val="bottom"/>
          </w:tcPr>
          <w:p>
            <w:pPr>
              <w:spacing w:after="0" w:line="20" w:lineRule="exact"/>
              <w:rPr>
                <w:sz w:val="1"/>
                <w:szCs w:val="1"/>
                <w:color w:val="auto"/>
              </w:rPr>
            </w:pPr>
          </w:p>
        </w:tc>
      </w:tr>
    </w:tbl>
    <w:p>
      <w:pPr>
        <w:sectPr>
          <w:pgSz w:w="11900" w:h="16838" w:orient="portrait"/>
          <w:cols w:equalWidth="0" w:num="1">
            <w:col w:w="11420"/>
          </w:cols>
          <w:pgMar w:left="240" w:top="591"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20"/>
          <w:szCs w:val="20"/>
          <w:b w:val="1"/>
          <w:bCs w:val="1"/>
          <w:color w:val="auto"/>
        </w:rPr>
        <w:t>Exhibit 99.1</w:t>
      </w:r>
    </w:p>
    <w:p>
      <w:pPr>
        <w:spacing w:after="0" w:line="200" w:lineRule="exact"/>
        <w:rPr>
          <w:sz w:val="20"/>
          <w:szCs w:val="20"/>
          <w:color w:val="auto"/>
        </w:rPr>
      </w:pPr>
    </w:p>
    <w:p>
      <w:pPr>
        <w:spacing w:after="0" w:line="332" w:lineRule="exact"/>
        <w:rPr>
          <w:sz w:val="20"/>
          <w:szCs w:val="20"/>
          <w:color w:val="auto"/>
        </w:rPr>
      </w:pPr>
    </w:p>
    <w:p>
      <w:pPr>
        <w:ind w:left="7660"/>
        <w:spacing w:after="0"/>
        <w:rPr>
          <w:sz w:val="20"/>
          <w:szCs w:val="20"/>
          <w:color w:val="auto"/>
        </w:rPr>
      </w:pPr>
      <w:r>
        <w:rPr>
          <w:rFonts w:ascii="Arial" w:cs="Arial" w:eastAsia="Arial" w:hAnsi="Arial"/>
          <w:sz w:val="20"/>
          <w:szCs w:val="20"/>
          <w:u w:val="single" w:color="auto"/>
          <w:color w:val="auto"/>
        </w:rPr>
        <w:t>Contact: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-117475</wp:posOffset>
            </wp:positionV>
            <wp:extent cx="2324100" cy="977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324100" cy="977900"/>
                    </a:xfrm>
                    <a:prstGeom prst="rect">
                      <a:avLst/>
                    </a:prstGeom>
                    <a:noFill/>
                  </pic:spPr>
                </pic:pic>
              </a:graphicData>
            </a:graphic>
          </wp:anchor>
        </w:drawing>
      </w:r>
    </w:p>
    <w:p>
      <w:pPr>
        <w:ind w:left="7660"/>
        <w:spacing w:after="0"/>
        <w:rPr>
          <w:sz w:val="20"/>
          <w:szCs w:val="20"/>
          <w:color w:val="auto"/>
        </w:rPr>
      </w:pPr>
      <w:r>
        <w:rPr>
          <w:rFonts w:ascii="Arial" w:cs="Arial" w:eastAsia="Arial" w:hAnsi="Arial"/>
          <w:sz w:val="20"/>
          <w:szCs w:val="20"/>
          <w:color w:val="auto"/>
        </w:rPr>
        <w:t>Ira M. Birns, Executive Vice President &amp;</w:t>
      </w:r>
    </w:p>
    <w:p>
      <w:pPr>
        <w:ind w:left="7660"/>
        <w:spacing w:after="0"/>
        <w:rPr>
          <w:sz w:val="20"/>
          <w:szCs w:val="20"/>
          <w:color w:val="auto"/>
        </w:rPr>
      </w:pPr>
      <w:r>
        <w:rPr>
          <w:rFonts w:ascii="Arial" w:cs="Arial" w:eastAsia="Arial" w:hAnsi="Arial"/>
          <w:sz w:val="20"/>
          <w:szCs w:val="20"/>
          <w:color w:val="auto"/>
        </w:rPr>
        <w:t>Chief Financial Officer</w:t>
      </w:r>
    </w:p>
    <w:p>
      <w:pPr>
        <w:spacing w:after="0" w:line="213" w:lineRule="exact"/>
        <w:rPr>
          <w:sz w:val="20"/>
          <w:szCs w:val="20"/>
          <w:color w:val="auto"/>
        </w:rPr>
      </w:pPr>
    </w:p>
    <w:p>
      <w:pPr>
        <w:ind w:left="7660"/>
        <w:spacing w:after="0"/>
        <w:rPr>
          <w:sz w:val="20"/>
          <w:szCs w:val="20"/>
          <w:color w:val="auto"/>
        </w:rPr>
      </w:pPr>
      <w:r>
        <w:rPr>
          <w:rFonts w:ascii="Arial" w:cs="Arial" w:eastAsia="Arial" w:hAnsi="Arial"/>
          <w:sz w:val="20"/>
          <w:szCs w:val="20"/>
          <w:color w:val="auto"/>
        </w:rPr>
        <w:t>Glenn Klevitz</w:t>
      </w:r>
    </w:p>
    <w:p>
      <w:pPr>
        <w:spacing w:after="0" w:line="16" w:lineRule="exact"/>
        <w:rPr>
          <w:sz w:val="20"/>
          <w:szCs w:val="20"/>
          <w:color w:val="auto"/>
        </w:rPr>
      </w:pPr>
    </w:p>
    <w:p>
      <w:pPr>
        <w:ind w:left="7660"/>
        <w:spacing w:after="0"/>
        <w:rPr>
          <w:sz w:val="20"/>
          <w:szCs w:val="20"/>
          <w:color w:val="auto"/>
        </w:rPr>
      </w:pPr>
      <w:r>
        <w:rPr>
          <w:rFonts w:ascii="Arial" w:cs="Arial" w:eastAsia="Arial" w:hAnsi="Arial"/>
          <w:sz w:val="18"/>
          <w:szCs w:val="18"/>
          <w:color w:val="auto"/>
        </w:rPr>
        <w:t>Vice President, Treasurer &amp; Investor Relations</w:t>
      </w:r>
    </w:p>
    <w:p>
      <w:pPr>
        <w:spacing w:after="0" w:line="23" w:lineRule="exact"/>
        <w:rPr>
          <w:sz w:val="20"/>
          <w:szCs w:val="20"/>
          <w:color w:val="auto"/>
        </w:rPr>
      </w:pPr>
    </w:p>
    <w:p>
      <w:pPr>
        <w:ind w:left="7660"/>
        <w:spacing w:after="0"/>
        <w:rPr>
          <w:sz w:val="20"/>
          <w:szCs w:val="20"/>
          <w:color w:val="auto"/>
        </w:rPr>
      </w:pPr>
      <w:r>
        <w:rPr>
          <w:rFonts w:ascii="Arial" w:cs="Arial" w:eastAsia="Arial" w:hAnsi="Arial"/>
          <w:sz w:val="20"/>
          <w:szCs w:val="20"/>
          <w:color w:val="auto"/>
        </w:rPr>
        <w:t>305-428-8000</w:t>
      </w:r>
    </w:p>
    <w:p>
      <w:pPr>
        <w:spacing w:after="0" w:line="234" w:lineRule="exact"/>
        <w:rPr>
          <w:sz w:val="20"/>
          <w:szCs w:val="20"/>
          <w:color w:val="auto"/>
        </w:rPr>
      </w:pPr>
    </w:p>
    <w:p>
      <w:pPr>
        <w:ind w:left="1940"/>
        <w:spacing w:after="0"/>
        <w:rPr>
          <w:sz w:val="20"/>
          <w:szCs w:val="20"/>
          <w:color w:val="auto"/>
        </w:rPr>
      </w:pPr>
      <w:r>
        <w:rPr>
          <w:rFonts w:ascii="Arial" w:cs="Arial" w:eastAsia="Arial" w:hAnsi="Arial"/>
          <w:sz w:val="25"/>
          <w:szCs w:val="25"/>
          <w:b w:val="1"/>
          <w:bCs w:val="1"/>
          <w:color w:val="auto"/>
        </w:rPr>
        <w:t>World Fuel Services Corporation Reports Third Quarter 2019 Results</w:t>
      </w:r>
    </w:p>
    <w:p>
      <w:pPr>
        <w:spacing w:after="0" w:line="32" w:lineRule="exact"/>
        <w:rPr>
          <w:sz w:val="20"/>
          <w:szCs w:val="20"/>
          <w:color w:val="auto"/>
        </w:rPr>
      </w:pPr>
    </w:p>
    <w:p>
      <w:pPr>
        <w:ind w:left="1300"/>
        <w:spacing w:after="0"/>
        <w:rPr>
          <w:sz w:val="20"/>
          <w:szCs w:val="20"/>
          <w:color w:val="auto"/>
        </w:rPr>
      </w:pPr>
      <w:r>
        <w:rPr>
          <w:rFonts w:ascii="Arial" w:cs="Arial" w:eastAsia="Arial" w:hAnsi="Arial"/>
          <w:sz w:val="20"/>
          <w:szCs w:val="20"/>
          <w:color w:val="auto"/>
        </w:rPr>
        <w:t>---Delivers Solid Year-Over-Year Improvement Across All Segments---</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MIAMI—October 30, 2019-- World Fuel Services Corporation (NYSE: INT)</w:t>
      </w:r>
    </w:p>
    <w:p>
      <w:pPr>
        <w:spacing w:after="0" w:line="1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Third-Quarter 2019 Highlights</w:t>
      </w:r>
    </w:p>
    <w:p>
      <w:pPr>
        <w:spacing w:after="0" w:line="235" w:lineRule="exact"/>
        <w:rPr>
          <w:sz w:val="20"/>
          <w:szCs w:val="20"/>
          <w:color w:val="auto"/>
        </w:rPr>
      </w:pPr>
    </w:p>
    <w:p>
      <w:pPr>
        <w:ind w:left="660" w:hanging="328"/>
        <w:spacing w:after="0"/>
        <w:tabs>
          <w:tab w:leader="none" w:pos="660" w:val="left"/>
        </w:tabs>
        <w:numPr>
          <w:ilvl w:val="0"/>
          <w:numId w:val="2"/>
        </w:numPr>
        <w:rPr>
          <w:rFonts w:ascii="Arial" w:cs="Arial" w:eastAsia="Arial" w:hAnsi="Arial"/>
          <w:sz w:val="20"/>
          <w:szCs w:val="20"/>
          <w:color w:val="auto"/>
        </w:rPr>
      </w:pPr>
      <w:r>
        <w:rPr>
          <w:rFonts w:ascii="Arial" w:cs="Arial" w:eastAsia="Arial" w:hAnsi="Arial"/>
          <w:sz w:val="20"/>
          <w:szCs w:val="20"/>
          <w:color w:val="auto"/>
        </w:rPr>
        <w:t>Total gross profit of $305.7 million, up 15% year-over-year</w:t>
      </w:r>
    </w:p>
    <w:p>
      <w:pPr>
        <w:spacing w:after="0" w:line="15" w:lineRule="exact"/>
        <w:rPr>
          <w:rFonts w:ascii="Arial" w:cs="Arial" w:eastAsia="Arial" w:hAnsi="Arial"/>
          <w:sz w:val="20"/>
          <w:szCs w:val="20"/>
          <w:color w:val="auto"/>
        </w:rPr>
      </w:pPr>
    </w:p>
    <w:p>
      <w:pPr>
        <w:ind w:left="660" w:hanging="328"/>
        <w:spacing w:after="0"/>
        <w:tabs>
          <w:tab w:leader="none" w:pos="660" w:val="left"/>
        </w:tabs>
        <w:numPr>
          <w:ilvl w:val="0"/>
          <w:numId w:val="2"/>
        </w:numPr>
        <w:rPr>
          <w:rFonts w:ascii="Arial" w:cs="Arial" w:eastAsia="Arial" w:hAnsi="Arial"/>
          <w:sz w:val="20"/>
          <w:szCs w:val="20"/>
          <w:color w:val="auto"/>
        </w:rPr>
      </w:pPr>
      <w:r>
        <w:rPr>
          <w:rFonts w:ascii="Arial" w:cs="Arial" w:eastAsia="Arial" w:hAnsi="Arial"/>
          <w:sz w:val="20"/>
          <w:szCs w:val="20"/>
          <w:color w:val="auto"/>
        </w:rPr>
        <w:t>GAAP net income of $48.2 million, or $0.73 per diluted share</w:t>
      </w:r>
    </w:p>
    <w:p>
      <w:pPr>
        <w:ind w:left="660" w:hanging="328"/>
        <w:spacing w:after="0"/>
        <w:tabs>
          <w:tab w:leader="none" w:pos="660" w:val="left"/>
        </w:tabs>
        <w:numPr>
          <w:ilvl w:val="0"/>
          <w:numId w:val="2"/>
        </w:numPr>
        <w:rPr>
          <w:rFonts w:ascii="Arial" w:cs="Arial" w:eastAsia="Arial" w:hAnsi="Arial"/>
          <w:sz w:val="20"/>
          <w:szCs w:val="20"/>
          <w:color w:val="auto"/>
        </w:rPr>
      </w:pPr>
      <w:r>
        <w:rPr>
          <w:rFonts w:ascii="Arial" w:cs="Arial" w:eastAsia="Arial" w:hAnsi="Arial"/>
          <w:sz w:val="20"/>
          <w:szCs w:val="20"/>
          <w:color w:val="auto"/>
        </w:rPr>
        <w:t>Adjusted net income of $50.7 million, or $0.77 per diluted share</w:t>
      </w:r>
    </w:p>
    <w:p>
      <w:pPr>
        <w:ind w:left="660" w:hanging="328"/>
        <w:spacing w:after="0"/>
        <w:tabs>
          <w:tab w:leader="none" w:pos="660" w:val="left"/>
        </w:tabs>
        <w:numPr>
          <w:ilvl w:val="0"/>
          <w:numId w:val="2"/>
        </w:numPr>
        <w:rPr>
          <w:rFonts w:ascii="Arial" w:cs="Arial" w:eastAsia="Arial" w:hAnsi="Arial"/>
          <w:sz w:val="20"/>
          <w:szCs w:val="20"/>
          <w:color w:val="auto"/>
        </w:rPr>
      </w:pPr>
      <w:r>
        <w:rPr>
          <w:rFonts w:ascii="Arial" w:cs="Arial" w:eastAsia="Arial" w:hAnsi="Arial"/>
          <w:sz w:val="20"/>
          <w:szCs w:val="20"/>
          <w:color w:val="auto"/>
        </w:rPr>
        <w:t>Adjusted EBITDA of $117.6 million, up 13% year-over-year</w:t>
      </w:r>
    </w:p>
    <w:p>
      <w:pPr>
        <w:spacing w:after="0" w:line="213" w:lineRule="exact"/>
        <w:rPr>
          <w:sz w:val="20"/>
          <w:szCs w:val="20"/>
          <w:color w:val="auto"/>
        </w:rPr>
      </w:pPr>
    </w:p>
    <w:p>
      <w:pPr>
        <w:ind w:right="160"/>
        <w:spacing w:after="0" w:line="263" w:lineRule="auto"/>
        <w:rPr>
          <w:sz w:val="20"/>
          <w:szCs w:val="20"/>
          <w:color w:val="auto"/>
        </w:rPr>
      </w:pPr>
      <w:r>
        <w:rPr>
          <w:rFonts w:ascii="Arial" w:cs="Arial" w:eastAsia="Arial" w:hAnsi="Arial"/>
          <w:sz w:val="19"/>
          <w:szCs w:val="19"/>
          <w:color w:val="auto"/>
        </w:rPr>
        <w:t>“We delivered very strong results in the third quarter, as we continue to drive organic growth while focusing on further improving operating efficiencies,” stated Michael J. Kasbar, chairman and chief executive officer of World Fuel Services Corporation. “Our marine segment delivered their strongest quarter in nearly five years contributing to our strong overall results, a reflection of solid execution on our strategy of continuous cost management and sharpening the portfolio to drive enhanced profitability and returns.”</w:t>
      </w:r>
    </w:p>
    <w:p>
      <w:pPr>
        <w:spacing w:after="0" w:line="190" w:lineRule="exact"/>
        <w:rPr>
          <w:sz w:val="20"/>
          <w:szCs w:val="20"/>
          <w:color w:val="auto"/>
        </w:rPr>
      </w:pPr>
    </w:p>
    <w:p>
      <w:pPr>
        <w:ind w:right="20"/>
        <w:spacing w:after="0" w:line="243" w:lineRule="auto"/>
        <w:rPr>
          <w:sz w:val="20"/>
          <w:szCs w:val="20"/>
          <w:color w:val="auto"/>
        </w:rPr>
      </w:pPr>
      <w:r>
        <w:rPr>
          <w:rFonts w:ascii="Arial" w:cs="Arial" w:eastAsia="Arial" w:hAnsi="Arial"/>
          <w:sz w:val="20"/>
          <w:szCs w:val="20"/>
          <w:color w:val="auto"/>
        </w:rPr>
        <w:t>Our aviation segment generated gross profit of $156.9 million in the third quarter, an increase of 12% year-over-year, principally driven by further growth in our government-related operations, as well as continued strength in our core commercial and business aviation activities. Our marine segment generated gross profit of $53.4 million, an increase of 24% year-over-year, due to improved profitability in our core resale operations, principally in Asia. Our land segment generated gross profit of $95.4 million, an increase of 15% year-over-year, primarily resulting from growth in our government-related operations, commercial and industrial activities, as well as our MultiService payment solutions business.</w:t>
      </w:r>
    </w:p>
    <w:p>
      <w:pPr>
        <w:spacing w:after="0" w:line="210" w:lineRule="exact"/>
        <w:rPr>
          <w:sz w:val="20"/>
          <w:szCs w:val="20"/>
          <w:color w:val="auto"/>
        </w:rPr>
      </w:pPr>
    </w:p>
    <w:p>
      <w:pPr>
        <w:ind w:right="220"/>
        <w:spacing w:after="0" w:line="269" w:lineRule="auto"/>
        <w:rPr>
          <w:sz w:val="20"/>
          <w:szCs w:val="20"/>
          <w:color w:val="auto"/>
        </w:rPr>
      </w:pPr>
      <w:r>
        <w:rPr>
          <w:rFonts w:ascii="Arial" w:cs="Arial" w:eastAsia="Arial" w:hAnsi="Arial"/>
          <w:sz w:val="19"/>
          <w:szCs w:val="19"/>
          <w:color w:val="auto"/>
        </w:rPr>
        <w:t>“Over the last twelve months, we generated more than $400 million of adjusted EBITDA, representing significant improvement over the past two years,” said Ira M. Birns, executive vice president and chief financial officer. “Earnings growth, combined with our continued focus on working capital management, has contributed to our highest level of return on invested capital since 2014.”</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Additional Financial Information</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color w:val="auto"/>
        </w:rPr>
        <w:t>Cash flow generated by operating activities was $33.0 million for the third quarter of 2019 compared to cash flow used from operations of</w:t>
      </w:r>
    </w:p>
    <w:p>
      <w:pPr>
        <w:spacing w:after="0" w:line="39" w:lineRule="exact"/>
        <w:rPr>
          <w:sz w:val="20"/>
          <w:szCs w:val="20"/>
          <w:color w:val="auto"/>
        </w:rPr>
      </w:pPr>
    </w:p>
    <w:p>
      <w:pPr>
        <w:ind w:right="160"/>
        <w:spacing w:after="0" w:line="244" w:lineRule="auto"/>
        <w:rPr>
          <w:sz w:val="20"/>
          <w:szCs w:val="20"/>
          <w:color w:val="auto"/>
        </w:rPr>
      </w:pPr>
      <w:r>
        <w:rPr>
          <w:rFonts w:ascii="Arial" w:cs="Arial" w:eastAsia="Arial" w:hAnsi="Arial"/>
          <w:sz w:val="20"/>
          <w:szCs w:val="20"/>
          <w:color w:val="auto"/>
        </w:rPr>
        <w:t>$87.4 million in the third quarter of 2018. The prior year was negatively impacted by approximately $115.6 million resulting from a statement of cash flows accounting standard adopted in 2018.</w:t>
      </w:r>
    </w:p>
    <w:p>
      <w:pPr>
        <w:spacing w:after="0" w:line="313" w:lineRule="exact"/>
        <w:rPr>
          <w:sz w:val="20"/>
          <w:szCs w:val="20"/>
          <w:color w:val="auto"/>
        </w:rPr>
      </w:pPr>
    </w:p>
    <w:p>
      <w:pPr>
        <w:ind w:right="320"/>
        <w:spacing w:after="0" w:line="260" w:lineRule="auto"/>
        <w:rPr>
          <w:sz w:val="20"/>
          <w:szCs w:val="20"/>
          <w:color w:val="auto"/>
        </w:rPr>
      </w:pPr>
      <w:r>
        <w:rPr>
          <w:rFonts w:ascii="Arial" w:cs="Arial" w:eastAsia="Arial" w:hAnsi="Arial"/>
          <w:sz w:val="20"/>
          <w:szCs w:val="20"/>
          <w:color w:val="auto"/>
        </w:rPr>
        <w:t>Our operating expense ratio improved from 68.7% to 68.4% year-over-year, reflecting our continued focus on improving operating leverage and we remain on track to meet our 2019 goal of a 250 basis-point improvement over 2018.</w:t>
      </w:r>
    </w:p>
    <w:p>
      <w:pPr>
        <w:sectPr>
          <w:pgSz w:w="11900" w:h="16838" w:orient="portrait"/>
          <w:cols w:equalWidth="0" w:num="1">
            <w:col w:w="11420"/>
          </w:cols>
          <w:pgMar w:left="240" w:top="576" w:right="239" w:bottom="1440" w:gutter="0" w:footer="0" w:header="0"/>
        </w:sectPr>
      </w:pPr>
    </w:p>
    <w:bookmarkStart w:id="5" w:name="page6"/>
    <w:bookmarkEnd w:id="5"/>
    <w:p>
      <w:pPr>
        <w:spacing w:after="0"/>
        <w:rPr>
          <w:sz w:val="20"/>
          <w:szCs w:val="20"/>
          <w:color w:val="auto"/>
        </w:rPr>
      </w:pPr>
      <w:r>
        <w:rPr>
          <w:rFonts w:ascii="Arial" w:cs="Arial" w:eastAsia="Arial" w:hAnsi="Arial"/>
          <w:sz w:val="14"/>
          <w:szCs w:val="14"/>
          <w:u w:val="single" w:color="auto"/>
          <w:color w:val="auto"/>
        </w:rPr>
        <w:t>Non-GAAP Financial Measures</w:t>
      </w:r>
    </w:p>
    <w:p>
      <w:pPr>
        <w:spacing w:after="0" w:line="21" w:lineRule="exact"/>
        <w:rPr>
          <w:sz w:val="20"/>
          <w:szCs w:val="20"/>
          <w:color w:val="auto"/>
        </w:rPr>
      </w:pPr>
    </w:p>
    <w:p>
      <w:pPr>
        <w:ind w:right="180"/>
        <w:spacing w:after="0" w:line="249" w:lineRule="auto"/>
        <w:rPr>
          <w:sz w:val="20"/>
          <w:szCs w:val="20"/>
          <w:color w:val="auto"/>
        </w:rPr>
      </w:pPr>
      <w:r>
        <w:rPr>
          <w:rFonts w:ascii="Arial" w:cs="Arial" w:eastAsia="Arial" w:hAnsi="Arial"/>
          <w:sz w:val="16"/>
          <w:szCs w:val="16"/>
          <w:color w:val="auto"/>
        </w:rPr>
        <w:t>This press release contains non-GAAP financial measures (collectively, the “Non-GAAP Measures”), including adjusted net income, adjusted diluted earnings per share, and adjusted earnings before interest, taxes, depreciation and amortization (“EBITDA”). The Non-GAAP Measures exclude acquisition-related charges and restructuring costs primarily because we do not believe they are reflective of our core operating results. In addition, beginning with the period ending September 30, 2019, as well as the 2018 comparative, the Non-GAAP Measures also exclude gains or losses on the extinguishment of debt to facilitate an evaluation of our current operating performance and comparisons to our past operating performance. We believe that the Non-GAAP Measures, when considered in conjunction with our financial information prepared in accordance with GAAP, are useful to investors to further aid in evaluating the ongoing financial performance of the Company and to provide greater transparency as supplemental information to our GAAP results.</w:t>
      </w:r>
    </w:p>
    <w:p>
      <w:pPr>
        <w:spacing w:after="0" w:line="98" w:lineRule="exact"/>
        <w:rPr>
          <w:sz w:val="20"/>
          <w:szCs w:val="20"/>
          <w:color w:val="auto"/>
        </w:rPr>
      </w:pPr>
    </w:p>
    <w:p>
      <w:pPr>
        <w:ind w:right="120"/>
        <w:spacing w:after="0" w:line="295" w:lineRule="auto"/>
        <w:rPr>
          <w:sz w:val="20"/>
          <w:szCs w:val="20"/>
          <w:color w:val="auto"/>
        </w:rPr>
      </w:pPr>
      <w:r>
        <w:rPr>
          <w:rFonts w:ascii="Arial" w:cs="Arial" w:eastAsia="Arial" w:hAnsi="Arial"/>
          <w:sz w:val="14"/>
          <w:szCs w:val="14"/>
          <w:color w:val="auto"/>
        </w:rPr>
        <w:t>Non-GAAP financial measures should not be considered in isolation from, or as a substitute for, financial information prepared in accordance with GAAP. In addition, our presentation of the Non-GAAP Measures may not be comparable to the presentation of such metrics by other companies. Non-GAAP diluted earnings per common share is computed by dividing non-GAAP net income attributable to World Fuel Services and available to common shareholders by the sum of the weighted average number of shares of common stock, stock units, restricted stock entitled to dividends not subject to forfeiture and vested restricted stock units outstanding during the period and the number of additional shares of common stock that would have been outstanding if our outstanding potentially dilutive securities had been issued. Investors are encouraged to review the reconciliation of these Non-GAAP Measures to their most directly comparable GAAP financial measures in this press release and on our website.</w:t>
      </w:r>
    </w:p>
    <w:p>
      <w:pPr>
        <w:spacing w:after="0" w:line="60"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Information Relating to Forward-Looking Statements</w:t>
      </w:r>
    </w:p>
    <w:p>
      <w:pPr>
        <w:spacing w:after="0" w:line="132" w:lineRule="exact"/>
        <w:rPr>
          <w:sz w:val="20"/>
          <w:szCs w:val="20"/>
          <w:color w:val="auto"/>
        </w:rPr>
      </w:pPr>
    </w:p>
    <w:p>
      <w:pPr>
        <w:spacing w:after="0" w:line="285" w:lineRule="auto"/>
        <w:rPr>
          <w:sz w:val="20"/>
          <w:szCs w:val="20"/>
          <w:color w:val="auto"/>
        </w:rPr>
      </w:pPr>
      <w:r>
        <w:rPr>
          <w:rFonts w:ascii="Arial" w:cs="Arial" w:eastAsia="Arial" w:hAnsi="Arial"/>
          <w:sz w:val="14"/>
          <w:szCs w:val="14"/>
          <w:color w:val="auto"/>
        </w:rPr>
        <w:t>This release includes forward-looking statements within the meaning of the Private Securities Litigation Reform Act of 1995, including statements regarding our beliefs and expectations with respect to our strategy of continuous cost management and sharpening the portfolio to drive enhanced profitability and returns, as well as our expectations about meeting our goal of a 250 basis-point improvement in our operating expense ratio.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effectively leverage technology and operating systems and realize the anticipated benefits, our ability to successfully execute and achieve efficiencies and other benefits related to our transformation initiatives, our ability to achieve the expected level of benefit from our restructuring activities and cost reduction initiatives, unanticipated tax liabilities or adverse results of tax audits, assessments, or disputes, the loss of or reduced sales to the North Atlantic Treaty Organization in Afghanistan under our supply contract, our ability to successfully implement our growth strategy, our ability to effectively integrate acquired businesses and recognize the anticipated benefits, risks related to the complexity of U.S. Tax Reform and our ability to accurately predict its impact on our returns and future earnings, our ability to capitalize on new market opportunities and changes in supply and other market dynamics in the regions where we operate, potential liabilities and the extent of any insurance coverage, the outcome of pending litigation and other proceedings, the impact of quarterly fluctuations in results, particularly as a result of seasonality, the creditworthiness of our customers and counterparties and our ability to collect accounts receivable, fluctuations in world oil prices or foreign currency, changes in political, economic, regulatory, or environmental conditions, adverse conditions in the markets or industries in which we or our customers and suppliers operate,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non-performance by counterparties or customers on derivatives contracts, uninsured losses, the impact of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113"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About World Fuel Services Corporation</w:t>
      </w:r>
    </w:p>
    <w:p>
      <w:pPr>
        <w:spacing w:after="0" w:line="132" w:lineRule="exact"/>
        <w:rPr>
          <w:sz w:val="20"/>
          <w:szCs w:val="20"/>
          <w:color w:val="auto"/>
        </w:rPr>
      </w:pPr>
    </w:p>
    <w:p>
      <w:pPr>
        <w:ind w:right="200"/>
        <w:spacing w:after="0" w:line="286" w:lineRule="auto"/>
        <w:rPr>
          <w:sz w:val="20"/>
          <w:szCs w:val="20"/>
          <w:color w:val="auto"/>
        </w:rPr>
      </w:pPr>
      <w:r>
        <w:rPr>
          <w:rFonts w:ascii="Arial" w:cs="Arial" w:eastAsia="Arial" w:hAnsi="Arial"/>
          <w:sz w:val="15"/>
          <w:szCs w:val="15"/>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7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For more information, call 305-428-8000 or visit </w:t>
      </w:r>
      <w:r>
        <w:rPr>
          <w:rFonts w:ascii="Arial" w:cs="Arial" w:eastAsia="Arial" w:hAnsi="Arial"/>
          <w:sz w:val="16"/>
          <w:szCs w:val="16"/>
          <w:u w:val="single" w:color="auto"/>
          <w:color w:val="auto"/>
        </w:rPr>
        <w:t>www.wfscorp.com</w:t>
      </w:r>
      <w:r>
        <w:rPr>
          <w:rFonts w:ascii="Arial" w:cs="Arial" w:eastAsia="Arial" w:hAnsi="Arial"/>
          <w:sz w:val="16"/>
          <w:szCs w:val="16"/>
          <w:color w:val="auto"/>
        </w:rPr>
        <w: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 Some amounts in this press release may not add due to rounding. All percentages have been calculated using unrounded amounts --</w:t>
      </w:r>
    </w:p>
    <w:p>
      <w:pPr>
        <w:sectPr>
          <w:pgSz w:w="11900" w:h="16838" w:orient="portrait"/>
          <w:cols w:equalWidth="0" w:num="1">
            <w:col w:w="11420"/>
          </w:cols>
          <w:pgMar w:left="240" w:top="580" w:right="239" w:bottom="1440" w:gutter="0" w:footer="0" w:header="0"/>
        </w:sectPr>
      </w:pPr>
    </w:p>
    <w:bookmarkStart w:id="6" w:name="page7"/>
    <w:bookmarkEnd w:id="6"/>
    <w:p>
      <w:pPr>
        <w:ind w:left="3940"/>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ind w:left="4040"/>
        <w:spacing w:after="0"/>
        <w:rPr>
          <w:sz w:val="20"/>
          <w:szCs w:val="20"/>
          <w:color w:val="auto"/>
        </w:rPr>
      </w:pPr>
      <w:r>
        <w:rPr>
          <w:rFonts w:ascii="Arial" w:cs="Arial" w:eastAsia="Arial" w:hAnsi="Arial"/>
          <w:sz w:val="18"/>
          <w:szCs w:val="18"/>
          <w:color w:val="auto"/>
        </w:rPr>
        <w:t>(Unaudited - In millions, except per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gridSpan w:val="3"/>
          </w:tcPr>
          <w:p>
            <w:pPr>
              <w:jc w:val="right"/>
              <w:ind w:right="108"/>
              <w:spacing w:after="0"/>
              <w:rPr>
                <w:sz w:val="20"/>
                <w:szCs w:val="20"/>
                <w:color w:val="auto"/>
              </w:rPr>
            </w:pPr>
            <w:r>
              <w:rPr>
                <w:rFonts w:ascii="Arial" w:cs="Arial" w:eastAsia="Arial" w:hAnsi="Arial"/>
                <w:sz w:val="14"/>
                <w:szCs w:val="14"/>
                <w:b w:val="1"/>
                <w:bCs w:val="1"/>
                <w:color w:val="auto"/>
                <w:w w:val="85"/>
              </w:rPr>
              <w:t>As of</w:t>
            </w:r>
          </w:p>
        </w:tc>
        <w:tc>
          <w:tcPr>
            <w:tcW w:w="1520" w:type="dxa"/>
            <w:vAlign w:val="bottom"/>
            <w:tcBorders>
              <w:bottom w:val="single" w:sz="8" w:color="auto"/>
            </w:tcBorders>
          </w:tcPr>
          <w:p>
            <w:pPr>
              <w:spacing w:after="0"/>
              <w:rPr>
                <w:sz w:val="16"/>
                <w:szCs w:val="16"/>
                <w:color w:val="auto"/>
              </w:rPr>
            </w:pPr>
          </w:p>
        </w:tc>
      </w:tr>
      <w:tr>
        <w:trPr>
          <w:trHeight w:val="258"/>
        </w:trPr>
        <w:tc>
          <w:tcPr>
            <w:tcW w:w="75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440" w:type="dxa"/>
            <w:vAlign w:val="bottom"/>
          </w:tcPr>
          <w:p>
            <w:pPr>
              <w:jc w:val="right"/>
              <w:ind w:right="308"/>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408"/>
              <w:spacing w:after="0"/>
              <w:rPr>
                <w:sz w:val="20"/>
                <w:szCs w:val="20"/>
                <w:color w:val="auto"/>
              </w:rPr>
            </w:pPr>
            <w:r>
              <w:rPr>
                <w:rFonts w:ascii="Arial" w:cs="Arial" w:eastAsia="Arial" w:hAnsi="Arial"/>
                <w:sz w:val="14"/>
                <w:szCs w:val="14"/>
                <w:b w:val="1"/>
                <w:bCs w:val="1"/>
                <w:color w:val="auto"/>
              </w:rPr>
              <w:t>December 31,</w:t>
            </w:r>
          </w:p>
        </w:tc>
      </w:tr>
      <w:tr>
        <w:trPr>
          <w:trHeight w:val="276"/>
        </w:trPr>
        <w:tc>
          <w:tcPr>
            <w:tcW w:w="75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ind w:right="60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jc w:val="right"/>
              <w:ind w:right="688"/>
              <w:spacing w:after="0"/>
              <w:rPr>
                <w:sz w:val="20"/>
                <w:szCs w:val="20"/>
                <w:color w:val="auto"/>
              </w:rPr>
            </w:pPr>
            <w:r>
              <w:rPr>
                <w:rFonts w:ascii="Arial" w:cs="Arial" w:eastAsia="Arial" w:hAnsi="Arial"/>
                <w:sz w:val="14"/>
                <w:szCs w:val="14"/>
                <w:b w:val="1"/>
                <w:bCs w:val="1"/>
                <w:color w:val="auto"/>
              </w:rPr>
              <w:t>2018</w:t>
            </w:r>
          </w:p>
        </w:tc>
      </w:tr>
      <w:tr>
        <w:trPr>
          <w:trHeight w:val="277"/>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Assets:</w:t>
            </w:r>
          </w:p>
        </w:tc>
        <w:tc>
          <w:tcPr>
            <w:tcW w:w="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9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Current assets:</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Cash and cash equivalents</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440" w:type="dxa"/>
            <w:vAlign w:val="bottom"/>
          </w:tcPr>
          <w:p>
            <w:pPr>
              <w:jc w:val="right"/>
              <w:spacing w:after="0"/>
              <w:rPr>
                <w:sz w:val="20"/>
                <w:szCs w:val="20"/>
                <w:color w:val="auto"/>
              </w:rPr>
            </w:pPr>
            <w:r>
              <w:rPr>
                <w:rFonts w:ascii="Arial" w:cs="Arial" w:eastAsia="Arial" w:hAnsi="Arial"/>
                <w:sz w:val="14"/>
                <w:szCs w:val="14"/>
                <w:color w:val="auto"/>
              </w:rPr>
              <w:t>218.5</w:t>
            </w:r>
          </w:p>
        </w:tc>
        <w:tc>
          <w:tcPr>
            <w:tcW w:w="500" w:type="dxa"/>
            <w:vAlign w:val="bottom"/>
            <w:gridSpan w:val="3"/>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211.7</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Accounts receivable, net</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2,688.8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2,739.6</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Inventories</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582.1</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523.1</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Prepaid expenses</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65.7</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Short-term derivative assets, net</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67.6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155.2</w:t>
            </w:r>
          </w:p>
        </w:tc>
      </w:tr>
      <w:tr>
        <w:trPr>
          <w:trHeight w:val="270"/>
        </w:trPr>
        <w:tc>
          <w:tcPr>
            <w:tcW w:w="75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Other current assets</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344.0</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279.5</w:t>
            </w:r>
          </w:p>
        </w:tc>
      </w:tr>
      <w:tr>
        <w:trPr>
          <w:trHeight w:val="250"/>
        </w:trPr>
        <w:tc>
          <w:tcPr>
            <w:tcW w:w="7660" w:type="dxa"/>
            <w:vAlign w:val="bottom"/>
            <w:gridSpan w:val="2"/>
          </w:tcPr>
          <w:p>
            <w:pPr>
              <w:ind w:left="280"/>
              <w:spacing w:after="0"/>
              <w:rPr>
                <w:sz w:val="20"/>
                <w:szCs w:val="20"/>
                <w:color w:val="auto"/>
              </w:rPr>
            </w:pPr>
            <w:r>
              <w:rPr>
                <w:rFonts w:ascii="Arial" w:cs="Arial" w:eastAsia="Arial" w:hAnsi="Arial"/>
                <w:sz w:val="14"/>
                <w:szCs w:val="14"/>
                <w:color w:val="auto"/>
              </w:rPr>
              <w:t>Total current assets</w:t>
            </w:r>
          </w:p>
        </w:tc>
        <w:tc>
          <w:tcPr>
            <w:tcW w:w="3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3,969.5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3,974.8</w:t>
            </w:r>
          </w:p>
        </w:tc>
      </w:tr>
      <w:tr>
        <w:trPr>
          <w:trHeight w:val="276"/>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Property and equipment, net</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366.5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350.3</w:t>
            </w:r>
          </w:p>
        </w:tc>
      </w:tr>
      <w:tr>
        <w:trPr>
          <w:trHeight w:val="264"/>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Goodwill</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846.9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852.7</w:t>
            </w:r>
          </w:p>
        </w:tc>
      </w:tr>
      <w:tr>
        <w:trPr>
          <w:trHeight w:val="270"/>
        </w:trPr>
        <w:tc>
          <w:tcPr>
            <w:tcW w:w="7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Identifiable intangible and other non-current assets</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614.6</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499.0</w:t>
            </w:r>
          </w:p>
        </w:tc>
      </w:tr>
      <w:tr>
        <w:trPr>
          <w:trHeight w:val="277"/>
        </w:trPr>
        <w:tc>
          <w:tcPr>
            <w:tcW w:w="754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5,797.5</w:t>
            </w: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w w:val="76"/>
              </w:rPr>
              <w:t>$</w:t>
            </w: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5,676.9</w:t>
            </w:r>
          </w:p>
        </w:tc>
      </w:tr>
      <w:tr>
        <w:trPr>
          <w:trHeight w:val="27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Liabilities:</w:t>
            </w:r>
          </w:p>
        </w:tc>
        <w:tc>
          <w:tcPr>
            <w:tcW w:w="300" w:type="dxa"/>
            <w:vAlign w:val="bottom"/>
            <w:shd w:val="clear" w:color="auto" w:fill="CCEEFF"/>
          </w:tcPr>
          <w:p>
            <w:pPr>
              <w:spacing w:after="0"/>
              <w:rPr>
                <w:sz w:val="23"/>
                <w:szCs w:val="23"/>
                <w:color w:val="auto"/>
              </w:rPr>
            </w:pPr>
          </w:p>
        </w:tc>
        <w:tc>
          <w:tcPr>
            <w:tcW w:w="14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520" w:type="dxa"/>
            <w:vAlign w:val="bottom"/>
            <w:shd w:val="clear" w:color="auto" w:fill="CCEEFF"/>
          </w:tcPr>
          <w:p>
            <w:pPr>
              <w:spacing w:after="0"/>
              <w:rPr>
                <w:sz w:val="23"/>
                <w:szCs w:val="23"/>
                <w:color w:val="auto"/>
              </w:rPr>
            </w:pPr>
          </w:p>
        </w:tc>
      </w:tr>
      <w:tr>
        <w:trPr>
          <w:trHeight w:val="278"/>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Current liabilities:</w:t>
            </w:r>
          </w:p>
        </w:tc>
        <w:tc>
          <w:tcPr>
            <w:tcW w:w="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Current maturities of long-term debt and finance leases</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500" w:type="dxa"/>
            <w:vAlign w:val="bottom"/>
            <w:gridSpan w:val="3"/>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41.1</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Accounts payable</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2,386.9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2,399.6</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Customer deposits</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118.2</w:t>
            </w:r>
          </w:p>
        </w:tc>
      </w:tr>
      <w:tr>
        <w:trPr>
          <w:trHeight w:val="264"/>
        </w:trPr>
        <w:tc>
          <w:tcPr>
            <w:tcW w:w="75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Accrued expenses and other current liabilities</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394.1</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377.0</w:t>
            </w:r>
          </w:p>
        </w:tc>
      </w:tr>
      <w:tr>
        <w:trPr>
          <w:trHeight w:val="256"/>
        </w:trPr>
        <w:tc>
          <w:tcPr>
            <w:tcW w:w="7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current liabilities</w:t>
            </w:r>
          </w:p>
        </w:tc>
        <w:tc>
          <w:tcPr>
            <w:tcW w:w="300" w:type="dxa"/>
            <w:vAlign w:val="bottom"/>
            <w:shd w:val="clear" w:color="auto" w:fill="CCEEFF"/>
          </w:tcPr>
          <w:p>
            <w:pPr>
              <w:spacing w:after="0"/>
              <w:rPr>
                <w:sz w:val="22"/>
                <w:szCs w:val="22"/>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2,910.5</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2,935.9</w:t>
            </w:r>
          </w:p>
        </w:tc>
      </w:tr>
      <w:tr>
        <w:trPr>
          <w:trHeight w:val="264"/>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Long-term debt</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671.0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659.9</w:t>
            </w:r>
          </w:p>
        </w:tc>
      </w:tr>
      <w:tr>
        <w:trPr>
          <w:trHeight w:val="276"/>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Non-current income tax liabilities, net</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205.4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194.6</w:t>
            </w:r>
          </w:p>
        </w:tc>
      </w:tr>
      <w:tr>
        <w:trPr>
          <w:trHeight w:val="264"/>
        </w:trPr>
        <w:tc>
          <w:tcPr>
            <w:tcW w:w="75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Other long-term liabilities</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152.0</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54.9</w:t>
            </w:r>
          </w:p>
        </w:tc>
      </w:tr>
      <w:tr>
        <w:trPr>
          <w:trHeight w:val="250"/>
        </w:trPr>
        <w:tc>
          <w:tcPr>
            <w:tcW w:w="754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Total liabilities</w:t>
            </w:r>
          </w:p>
        </w:tc>
        <w:tc>
          <w:tcPr>
            <w:tcW w:w="120" w:type="dxa"/>
            <w:vAlign w:val="bottom"/>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3,938.9</w:t>
            </w:r>
          </w:p>
        </w:tc>
        <w:tc>
          <w:tcPr>
            <w:tcW w:w="10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3,845.3</w:t>
            </w:r>
          </w:p>
        </w:tc>
      </w:tr>
      <w:tr>
        <w:trPr>
          <w:trHeight w:val="277"/>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Commitments and contingencies</w:t>
            </w:r>
          </w:p>
        </w:tc>
        <w:tc>
          <w:tcPr>
            <w:tcW w:w="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9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Equity:</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78"/>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World Fuel shareholders' equity:</w:t>
            </w:r>
          </w:p>
        </w:tc>
        <w:tc>
          <w:tcPr>
            <w:tcW w:w="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Preferred stock, $1.00 par value; 0.1 shares authorized, none issued</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157"/>
        </w:trPr>
        <w:tc>
          <w:tcPr>
            <w:tcW w:w="7660" w:type="dxa"/>
            <w:vAlign w:val="bottom"/>
            <w:gridSpan w:val="2"/>
          </w:tcPr>
          <w:p>
            <w:pPr>
              <w:ind w:left="180"/>
              <w:spacing w:after="0" w:line="157" w:lineRule="exact"/>
              <w:rPr>
                <w:sz w:val="20"/>
                <w:szCs w:val="20"/>
                <w:color w:val="auto"/>
              </w:rPr>
            </w:pPr>
            <w:r>
              <w:rPr>
                <w:rFonts w:ascii="Arial" w:cs="Arial" w:eastAsia="Arial" w:hAnsi="Arial"/>
                <w:sz w:val="14"/>
                <w:szCs w:val="14"/>
                <w:color w:val="auto"/>
                <w:w w:val="94"/>
              </w:rPr>
              <w:t>Common stock, $0.01 par value; 100.0 shares authorized, 65.2 and 67.0 issued and outstanding as of September 30, 2019 and</w:t>
            </w:r>
          </w:p>
        </w:tc>
        <w:tc>
          <w:tcPr>
            <w:tcW w:w="30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spacing w:after="0"/>
              <w:rPr>
                <w:sz w:val="13"/>
                <w:szCs w:val="13"/>
                <w:color w:val="auto"/>
              </w:rPr>
            </w:pPr>
          </w:p>
        </w:tc>
      </w:tr>
      <w:tr>
        <w:trPr>
          <w:trHeight w:val="188"/>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December 31, 2018, respectively</w:t>
            </w:r>
          </w:p>
        </w:tc>
        <w:tc>
          <w:tcPr>
            <w:tcW w:w="300" w:type="dxa"/>
            <w:vAlign w:val="bottom"/>
          </w:tcPr>
          <w:p>
            <w:pPr>
              <w:spacing w:after="0"/>
              <w:rPr>
                <w:sz w:val="16"/>
                <w:szCs w:val="16"/>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0.7</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0.7</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Capital in excess of par value</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284.5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340.4</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Retained earnings</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1,711.4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1,606.1</w:t>
            </w:r>
          </w:p>
        </w:tc>
      </w:tr>
      <w:tr>
        <w:trPr>
          <w:trHeight w:val="270"/>
        </w:trPr>
        <w:tc>
          <w:tcPr>
            <w:tcW w:w="75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Accumulated other comprehensive loss</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5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(154.3)</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(131.7)</w:t>
            </w:r>
          </w:p>
        </w:tc>
      </w:tr>
      <w:tr>
        <w:trPr>
          <w:trHeight w:val="250"/>
        </w:trPr>
        <w:tc>
          <w:tcPr>
            <w:tcW w:w="7660" w:type="dxa"/>
            <w:vAlign w:val="bottom"/>
            <w:gridSpan w:val="2"/>
          </w:tcPr>
          <w:p>
            <w:pPr>
              <w:ind w:left="280"/>
              <w:spacing w:after="0"/>
              <w:rPr>
                <w:sz w:val="20"/>
                <w:szCs w:val="20"/>
                <w:color w:val="auto"/>
              </w:rPr>
            </w:pPr>
            <w:r>
              <w:rPr>
                <w:rFonts w:ascii="Arial" w:cs="Arial" w:eastAsia="Arial" w:hAnsi="Arial"/>
                <w:sz w:val="14"/>
                <w:szCs w:val="14"/>
                <w:color w:val="auto"/>
              </w:rPr>
              <w:t>Total World Fuel shareholders' equity</w:t>
            </w:r>
          </w:p>
        </w:tc>
        <w:tc>
          <w:tcPr>
            <w:tcW w:w="3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1,842.1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1,815.4</w:t>
            </w:r>
          </w:p>
        </w:tc>
      </w:tr>
      <w:tr>
        <w:trPr>
          <w:trHeight w:val="270"/>
        </w:trPr>
        <w:tc>
          <w:tcPr>
            <w:tcW w:w="7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Noncontrolling interest</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16.5</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16.1</w:t>
            </w:r>
          </w:p>
        </w:tc>
      </w:tr>
      <w:tr>
        <w:trPr>
          <w:trHeight w:val="250"/>
        </w:trPr>
        <w:tc>
          <w:tcPr>
            <w:tcW w:w="754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equity</w:t>
            </w:r>
          </w:p>
        </w:tc>
        <w:tc>
          <w:tcPr>
            <w:tcW w:w="12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1,858.6</w:t>
            </w:r>
          </w:p>
        </w:tc>
        <w:tc>
          <w:tcPr>
            <w:tcW w:w="10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1,831.6</w:t>
            </w:r>
          </w:p>
        </w:tc>
      </w:tr>
      <w:tr>
        <w:trPr>
          <w:trHeight w:val="237"/>
        </w:trPr>
        <w:tc>
          <w:tcPr>
            <w:tcW w:w="7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liabilities and equity</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5,797.5</w:t>
            </w:r>
          </w:p>
        </w:tc>
        <w:tc>
          <w:tcPr>
            <w:tcW w:w="500" w:type="dxa"/>
            <w:vAlign w:val="bottom"/>
            <w:gridSpan w:val="3"/>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5,676.9</w:t>
            </w:r>
          </w:p>
        </w:tc>
      </w:tr>
      <w:tr>
        <w:trPr>
          <w:trHeight w:val="20"/>
        </w:trPr>
        <w:tc>
          <w:tcPr>
            <w:tcW w:w="7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796" w:right="239" w:bottom="1440" w:gutter="0" w:footer="0" w:header="0"/>
        </w:sectPr>
      </w:pPr>
    </w:p>
    <w:bookmarkStart w:id="7" w:name="page8"/>
    <w:bookmarkEnd w:id="7"/>
    <w:p>
      <w:pPr>
        <w:jc w:val="center"/>
        <w:spacing w:after="0" w:line="266" w:lineRule="auto"/>
        <w:rPr>
          <w:sz w:val="20"/>
          <w:szCs w:val="20"/>
          <w:color w:val="auto"/>
        </w:rPr>
      </w:pPr>
      <w:r>
        <w:rPr>
          <w:rFonts w:ascii="Arial" w:cs="Arial" w:eastAsia="Arial" w:hAnsi="Arial"/>
          <w:sz w:val="18"/>
          <w:szCs w:val="18"/>
          <w:b w:val="1"/>
          <w:bCs w:val="1"/>
          <w:color w:val="auto"/>
        </w:rPr>
        <w:t xml:space="preserve">WORLD FUEL SERVICES CORPORATION CONSOLIDATED STATEMENTS OF INCOME AND COMPREHENSIVE INCOME </w:t>
      </w:r>
      <w:r>
        <w:rPr>
          <w:rFonts w:ascii="Arial" w:cs="Arial" w:eastAsia="Arial" w:hAnsi="Arial"/>
          <w:sz w:val="18"/>
          <w:szCs w:val="18"/>
          <w:color w:val="auto"/>
        </w:rPr>
        <w:t>(Unaudited – In millions, except per share data)</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8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280" w:type="dxa"/>
            <w:vAlign w:val="bottom"/>
          </w:tcPr>
          <w:p>
            <w:pPr>
              <w:spacing w:after="0"/>
              <w:rPr>
                <w:sz w:val="16"/>
                <w:szCs w:val="16"/>
                <w:color w:val="auto"/>
              </w:rPr>
            </w:pPr>
          </w:p>
        </w:tc>
        <w:tc>
          <w:tcPr>
            <w:tcW w:w="232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Nine Months Ended</w:t>
            </w:r>
          </w:p>
        </w:tc>
      </w:tr>
      <w:tr>
        <w:trPr>
          <w:trHeight w:val="276"/>
        </w:trPr>
        <w:tc>
          <w:tcPr>
            <w:tcW w:w="5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24"/>
                <w:szCs w:val="24"/>
                <w:color w:val="auto"/>
              </w:rPr>
            </w:pPr>
          </w:p>
        </w:tc>
      </w:tr>
      <w:tr>
        <w:trPr>
          <w:trHeight w:val="264"/>
        </w:trPr>
        <w:tc>
          <w:tcPr>
            <w:tcW w:w="59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w w:val="96"/>
              </w:rPr>
              <w:t>2018</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9,322.7</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10,429.5</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27,460.9</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29,761.7</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Cost of revenue</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9,017.0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10,162.8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26,635.6</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29,005.4</w:t>
            </w:r>
          </w:p>
        </w:tc>
      </w:tr>
      <w:tr>
        <w:trPr>
          <w:trHeight w:val="250"/>
        </w:trPr>
        <w:tc>
          <w:tcPr>
            <w:tcW w:w="596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Gross profit</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305.7</w:t>
            </w:r>
          </w:p>
        </w:tc>
        <w:tc>
          <w:tcPr>
            <w:tcW w:w="120" w:type="dxa"/>
            <w:vAlign w:val="bottom"/>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266.7</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825.3</w:t>
            </w:r>
          </w:p>
        </w:tc>
        <w:tc>
          <w:tcPr>
            <w:tcW w:w="120" w:type="dxa"/>
            <w:vAlign w:val="bottom"/>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756.3</w:t>
            </w:r>
          </w:p>
        </w:tc>
      </w:tr>
      <w:tr>
        <w:trPr>
          <w:trHeight w:val="277"/>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Operating expenses: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Compensation and employee benefits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129.2</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117.9</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353.3</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342.0</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General and administrative</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82.8</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70.6</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232.9</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217.8</w:t>
            </w:r>
          </w:p>
        </w:tc>
      </w:tr>
      <w:tr>
        <w:trPr>
          <w:trHeight w:val="250"/>
        </w:trPr>
        <w:tc>
          <w:tcPr>
            <w:tcW w:w="5960" w:type="dxa"/>
            <w:vAlign w:val="bottom"/>
            <w:tcBorders>
              <w:top w:val="single" w:sz="8" w:color="auto"/>
              <w:bottom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212.0</w:t>
            </w:r>
          </w:p>
        </w:tc>
        <w:tc>
          <w:tcPr>
            <w:tcW w:w="120" w:type="dxa"/>
            <w:vAlign w:val="bottom"/>
            <w:tcBorders>
              <w:top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auto"/>
            </w:tcBorders>
            <w:shd w:val="clear" w:color="auto" w:fill="CCEEFF"/>
          </w:tcPr>
          <w:p>
            <w:pPr>
              <w:spacing w:after="0"/>
              <w:rPr>
                <w:sz w:val="21"/>
                <w:szCs w:val="21"/>
                <w:color w:val="auto"/>
              </w:rPr>
            </w:pPr>
          </w:p>
        </w:tc>
        <w:tc>
          <w:tcPr>
            <w:tcW w:w="8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188.5</w:t>
            </w:r>
          </w:p>
        </w:tc>
        <w:tc>
          <w:tcPr>
            <w:tcW w:w="10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spacing w:after="0"/>
              <w:rPr>
                <w:sz w:val="21"/>
                <w:szCs w:val="21"/>
                <w:color w:val="auto"/>
              </w:rPr>
            </w:pPr>
          </w:p>
        </w:tc>
        <w:tc>
          <w:tcPr>
            <w:tcW w:w="9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586.2</w:t>
            </w:r>
          </w:p>
        </w:tc>
        <w:tc>
          <w:tcPr>
            <w:tcW w:w="120" w:type="dxa"/>
            <w:vAlign w:val="bottom"/>
            <w:tcBorders>
              <w:top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auto"/>
            </w:tcBorders>
            <w:shd w:val="clear" w:color="auto" w:fill="CCEEFF"/>
          </w:tcPr>
          <w:p>
            <w:pPr>
              <w:spacing w:after="0"/>
              <w:rPr>
                <w:sz w:val="21"/>
                <w:szCs w:val="21"/>
                <w:color w:val="auto"/>
              </w:rPr>
            </w:pPr>
          </w:p>
        </w:tc>
        <w:tc>
          <w:tcPr>
            <w:tcW w:w="8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559.8</w:t>
            </w:r>
          </w:p>
        </w:tc>
      </w:tr>
      <w:tr>
        <w:trPr>
          <w:trHeight w:val="250"/>
        </w:trPr>
        <w:tc>
          <w:tcPr>
            <w:tcW w:w="59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Income from operations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93.6</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78.2</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239.2</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196.4</w:t>
            </w:r>
          </w:p>
        </w:tc>
      </w:tr>
      <w:tr>
        <w:trPr>
          <w:trHeight w:val="283"/>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Non-operating expenses, net: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Interest expense and other financing costs, net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(19.5)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(18.3)</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(59.1)</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(52.5)</w:t>
            </w:r>
          </w:p>
        </w:tc>
      </w:tr>
      <w:tr>
        <w:trPr>
          <w:trHeight w:val="270"/>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Other income (expense), net</w:t>
            </w:r>
          </w:p>
        </w:tc>
        <w:tc>
          <w:tcPr>
            <w:tcW w:w="26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(3.3)</w:t>
            </w: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r>
      <w:tr>
        <w:trPr>
          <w:trHeight w:val="250"/>
        </w:trPr>
        <w:tc>
          <w:tcPr>
            <w:tcW w:w="5960" w:type="dxa"/>
            <w:vAlign w:val="bottom"/>
            <w:tcBorders>
              <w:top w:val="single" w:sz="8" w:color="auto"/>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(22.8)</w:t>
            </w:r>
          </w:p>
        </w:tc>
        <w:tc>
          <w:tcPr>
            <w:tcW w:w="12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spacing w:after="0"/>
              <w:rPr>
                <w:sz w:val="21"/>
                <w:szCs w:val="21"/>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(16.4)</w:t>
            </w:r>
          </w:p>
        </w:tc>
        <w:tc>
          <w:tcPr>
            <w:tcW w:w="100" w:type="dxa"/>
            <w:vAlign w:val="bottom"/>
            <w:tcBorders>
              <w:bottom w:val="single" w:sz="8" w:color="CCEEFF"/>
            </w:tcBorders>
          </w:tcPr>
          <w:p>
            <w:pPr>
              <w:spacing w:after="0"/>
              <w:rPr>
                <w:sz w:val="21"/>
                <w:szCs w:val="21"/>
                <w:color w:val="auto"/>
              </w:rPr>
            </w:pPr>
          </w:p>
        </w:tc>
        <w:tc>
          <w:tcPr>
            <w:tcW w:w="280" w:type="dxa"/>
            <w:vAlign w:val="bottom"/>
            <w:tcBorders>
              <w:top w:val="single" w:sz="8" w:color="auto"/>
              <w:bottom w:val="single" w:sz="8" w:color="auto"/>
            </w:tcBorders>
          </w:tcPr>
          <w:p>
            <w:pPr>
              <w:spacing w:after="0"/>
              <w:rPr>
                <w:sz w:val="21"/>
                <w:szCs w:val="21"/>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(59.4)</w:t>
            </w:r>
          </w:p>
        </w:tc>
        <w:tc>
          <w:tcPr>
            <w:tcW w:w="120" w:type="dxa"/>
            <w:vAlign w:val="bottom"/>
            <w:tcBorders>
              <w:bottom w:val="single" w:sz="8" w:color="CCEEFF"/>
            </w:tcBorders>
          </w:tcPr>
          <w:p>
            <w:pPr>
              <w:spacing w:after="0"/>
              <w:rPr>
                <w:sz w:val="21"/>
                <w:szCs w:val="21"/>
                <w:color w:val="auto"/>
              </w:rPr>
            </w:pPr>
          </w:p>
        </w:tc>
        <w:tc>
          <w:tcPr>
            <w:tcW w:w="44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(54.5)</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Income before income taxes</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70.9</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61.8</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179.8</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142.0</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Provision for income taxes</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21.5</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23.0</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55.5</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42.7</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Net income including noncontrolling interest</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49.4</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38.7</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124.3</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99.2</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Net income attributable to noncontrolling interest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0.6</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Net income attributable to World Fuel</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48.2</w:t>
            </w:r>
          </w:p>
        </w:tc>
        <w:tc>
          <w:tcPr>
            <w:tcW w:w="120" w:type="dxa"/>
            <w:vAlign w:val="bottom"/>
            <w:shd w:val="clear" w:color="auto" w:fill="CCEEFF"/>
          </w:tcPr>
          <w:p>
            <w:pPr>
              <w:spacing w:after="0"/>
              <w:rPr>
                <w:sz w:val="20"/>
                <w:szCs w:val="20"/>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38.2</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122.4</w:t>
            </w:r>
          </w:p>
        </w:tc>
        <w:tc>
          <w:tcPr>
            <w:tcW w:w="120" w:type="dxa"/>
            <w:vAlign w:val="bottom"/>
            <w:shd w:val="clear" w:color="auto" w:fill="CCEEFF"/>
          </w:tcPr>
          <w:p>
            <w:pPr>
              <w:spacing w:after="0"/>
              <w:rPr>
                <w:sz w:val="20"/>
                <w:szCs w:val="20"/>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98.1</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Basic earnings per common share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0.74</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0.57</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1.84</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1.45</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Basic weighted average common shares</w:t>
            </w:r>
          </w:p>
        </w:tc>
        <w:tc>
          <w:tcPr>
            <w:tcW w:w="26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65.3</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67.5</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66.4</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67.5</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Diluted earnings per common share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0.73</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0.56</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1.84</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1.45</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22"/>
        </w:trPr>
        <w:tc>
          <w:tcPr>
            <w:tcW w:w="59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00" w:type="dxa"/>
            <w:vAlign w:val="bottom"/>
          </w:tcPr>
          <w:p>
            <w:pPr>
              <w:spacing w:after="0"/>
              <w:rPr>
                <w:sz w:val="10"/>
                <w:szCs w:val="10"/>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Diluted weighted average common shares</w:t>
            </w:r>
          </w:p>
        </w:tc>
        <w:tc>
          <w:tcPr>
            <w:tcW w:w="26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65.7</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67.7</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66.7</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67.8</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84"/>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Net income including noncontrolling interest</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49.4</w:t>
            </w:r>
          </w:p>
        </w:tc>
        <w:tc>
          <w:tcPr>
            <w:tcW w:w="120" w:type="dxa"/>
            <w:vAlign w:val="bottom"/>
          </w:tcPr>
          <w:p>
            <w:pPr>
              <w:spacing w:after="0"/>
              <w:rPr>
                <w:sz w:val="22"/>
                <w:szCs w:val="22"/>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38.7</w:t>
            </w:r>
          </w:p>
        </w:tc>
        <w:tc>
          <w:tcPr>
            <w:tcW w:w="100" w:type="dxa"/>
            <w:vAlign w:val="bottom"/>
          </w:tcPr>
          <w:p>
            <w:pPr>
              <w:spacing w:after="0"/>
              <w:rPr>
                <w:sz w:val="22"/>
                <w:szCs w:val="22"/>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124.3</w:t>
            </w:r>
          </w:p>
        </w:tc>
        <w:tc>
          <w:tcPr>
            <w:tcW w:w="120" w:type="dxa"/>
            <w:vAlign w:val="bottom"/>
          </w:tcPr>
          <w:p>
            <w:pPr>
              <w:spacing w:after="0"/>
              <w:rPr>
                <w:sz w:val="22"/>
                <w:szCs w:val="22"/>
                <w:color w:val="auto"/>
              </w:rPr>
            </w:pP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99.2</w:t>
            </w:r>
          </w:p>
        </w:tc>
      </w:tr>
      <w:tr>
        <w:trPr>
          <w:trHeight w:val="290"/>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Other comprehensive loss: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Foreign currency translation adjustments</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(11.5)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(4.7)</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(17.4)</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(23.0)</w:t>
            </w:r>
          </w:p>
        </w:tc>
      </w:tr>
      <w:tr>
        <w:trPr>
          <w:trHeight w:val="163"/>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w w:val="97"/>
              </w:rPr>
              <w:t>Cash flow hedges, net of income tax expense of $2.8 and income tax benefit of $3.5 for the three</w:t>
            </w:r>
          </w:p>
        </w:tc>
        <w:tc>
          <w:tcPr>
            <w:tcW w:w="2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r>
      <w:tr>
        <w:trPr>
          <w:trHeight w:val="149"/>
        </w:trPr>
        <w:tc>
          <w:tcPr>
            <w:tcW w:w="6080" w:type="dxa"/>
            <w:vAlign w:val="bottom"/>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w w:val="95"/>
              </w:rPr>
              <w:t>months ended September 30, 2019 and 2018 respectively and net of income tax benefit of $2.4 and</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r>
      <w:tr>
        <w:trPr>
          <w:trHeight w:val="188"/>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$5.2 for the nine months ended September 30, 2019 and 2018, respectively</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7.9</w:t>
            </w:r>
          </w:p>
        </w:tc>
        <w:tc>
          <w:tcPr>
            <w:tcW w:w="120" w:type="dxa"/>
            <w:vAlign w:val="bottom"/>
            <w:shd w:val="clear" w:color="auto" w:fill="CCEEFF"/>
          </w:tcPr>
          <w:p>
            <w:pPr>
              <w:spacing w:after="0"/>
              <w:rPr>
                <w:sz w:val="16"/>
                <w:szCs w:val="16"/>
                <w:color w:val="auto"/>
              </w:rPr>
            </w:pPr>
          </w:p>
        </w:tc>
        <w:tc>
          <w:tcPr>
            <w:tcW w:w="42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w:t>
            </w:r>
          </w:p>
        </w:tc>
        <w:tc>
          <w:tcPr>
            <w:tcW w:w="120" w:type="dxa"/>
            <w:vAlign w:val="bottom"/>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(8.4)</w:t>
            </w:r>
          </w:p>
        </w:tc>
      </w:tr>
      <w:tr>
        <w:trPr>
          <w:trHeight w:val="250"/>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 comprehensive loss: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(3.6)</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(10.3)</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(24.2)</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(31.4)</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 including noncontrolling interest</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45.8</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28.5</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100.1</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67.8</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Comprehensive income (loss) attributable to noncontrolling interest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(0.8)</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 attributable to World Fuel</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46.6</w:t>
            </w:r>
          </w:p>
        </w:tc>
        <w:tc>
          <w:tcPr>
            <w:tcW w:w="120" w:type="dxa"/>
            <w:vAlign w:val="bottom"/>
            <w:shd w:val="clear" w:color="auto" w:fill="CCEEFF"/>
          </w:tcPr>
          <w:p>
            <w:pPr>
              <w:spacing w:after="0"/>
              <w:rPr>
                <w:sz w:val="20"/>
                <w:szCs w:val="20"/>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28.4</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101.6</w:t>
            </w:r>
          </w:p>
        </w:tc>
        <w:tc>
          <w:tcPr>
            <w:tcW w:w="120" w:type="dxa"/>
            <w:vAlign w:val="bottom"/>
            <w:shd w:val="clear" w:color="auto" w:fill="CCEEFF"/>
          </w:tcPr>
          <w:p>
            <w:pPr>
              <w:spacing w:after="0"/>
              <w:rPr>
                <w:sz w:val="20"/>
                <w:szCs w:val="20"/>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69.1</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796"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8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280" w:type="dxa"/>
            <w:vAlign w:val="bottom"/>
          </w:tcPr>
          <w:p>
            <w:pPr>
              <w:spacing w:after="0"/>
              <w:rPr>
                <w:sz w:val="16"/>
                <w:szCs w:val="16"/>
                <w:color w:val="auto"/>
              </w:rPr>
            </w:pPr>
          </w:p>
        </w:tc>
        <w:tc>
          <w:tcPr>
            <w:tcW w:w="232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Nine Months Ended</w:t>
            </w:r>
          </w:p>
        </w:tc>
      </w:tr>
      <w:tr>
        <w:trPr>
          <w:trHeight w:val="276"/>
        </w:trPr>
        <w:tc>
          <w:tcPr>
            <w:tcW w:w="5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24"/>
                <w:szCs w:val="24"/>
                <w:color w:val="auto"/>
              </w:rPr>
            </w:pPr>
          </w:p>
        </w:tc>
      </w:tr>
      <w:tr>
        <w:trPr>
          <w:trHeight w:val="264"/>
        </w:trPr>
        <w:tc>
          <w:tcPr>
            <w:tcW w:w="59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w w:val="96"/>
              </w:rPr>
              <w:t>2018</w:t>
            </w:r>
          </w:p>
        </w:tc>
      </w:tr>
      <w:tr>
        <w:trPr>
          <w:trHeight w:val="283"/>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flows from operating activities: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Net income (loss) including noncontrolling interest</w:t>
            </w: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49.4</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38.7</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124.3</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99.2</w:t>
            </w:r>
          </w:p>
        </w:tc>
      </w:tr>
      <w:tr>
        <w:trPr>
          <w:trHeight w:val="143"/>
        </w:trPr>
        <w:tc>
          <w:tcPr>
            <w:tcW w:w="6080" w:type="dxa"/>
            <w:vAlign w:val="bottom"/>
            <w:gridSpan w:val="2"/>
            <w:shd w:val="clear" w:color="auto" w:fill="CCEEFF"/>
          </w:tcPr>
          <w:p>
            <w:pPr>
              <w:ind w:left="180"/>
              <w:spacing w:after="0" w:line="143" w:lineRule="exact"/>
              <w:rPr>
                <w:sz w:val="20"/>
                <w:szCs w:val="20"/>
                <w:color w:val="auto"/>
              </w:rPr>
            </w:pPr>
            <w:r>
              <w:rPr>
                <w:rFonts w:ascii="Arial" w:cs="Arial" w:eastAsia="Arial" w:hAnsi="Arial"/>
                <w:sz w:val="14"/>
                <w:szCs w:val="14"/>
                <w:color w:val="auto"/>
              </w:rPr>
              <w:t>Adjustments to reconcile net income including noncontrolling interest to net cash provided by</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r>
      <w:tr>
        <w:trPr>
          <w:trHeight w:val="194"/>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operating activities:</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Depreciation and amortization</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21.1</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20.6</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64.2</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59.0</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Provision for bad debt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13.8</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19.6</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Share-based payment award compensation costs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4.6</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1.6</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12.4</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8.0</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Deferred income tax expense (benefit)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(3.3)</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Foreign currency losses, net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(2.6)</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(0.5)</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4.9</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Other</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0.6</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(0.8)</w:t>
            </w:r>
          </w:p>
        </w:tc>
      </w:tr>
      <w:tr>
        <w:trPr>
          <w:trHeight w:val="278"/>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Changes in assets and liabilities, net of acquisitions: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163"/>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Accounts receivable, net (reduced by beneficial interests received in exchange for accounts</w:t>
            </w:r>
          </w:p>
        </w:tc>
        <w:tc>
          <w:tcPr>
            <w:tcW w:w="2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r>
      <w:tr>
        <w:trPr>
          <w:trHeight w:val="149"/>
        </w:trPr>
        <w:tc>
          <w:tcPr>
            <w:tcW w:w="6080" w:type="dxa"/>
            <w:vAlign w:val="bottom"/>
            <w:gridSpan w:val="2"/>
            <w:shd w:val="clear" w:color="auto" w:fill="CCEEFF"/>
          </w:tcPr>
          <w:p>
            <w:pPr>
              <w:ind w:left="380"/>
              <w:spacing w:after="0" w:line="149" w:lineRule="exact"/>
              <w:rPr>
                <w:sz w:val="20"/>
                <w:szCs w:val="20"/>
                <w:color w:val="auto"/>
              </w:rPr>
            </w:pPr>
            <w:r>
              <w:rPr>
                <w:rFonts w:ascii="Arial" w:cs="Arial" w:eastAsia="Arial" w:hAnsi="Arial"/>
                <w:sz w:val="14"/>
                <w:szCs w:val="14"/>
                <w:color w:val="auto"/>
                <w:w w:val="94"/>
              </w:rPr>
              <w:t>receivables sold of $115.6 and $357.5 for the three and nine months ended September 30, 2018,</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r>
      <w:tr>
        <w:trPr>
          <w:trHeight w:val="194"/>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respectively.)</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33.6</w:t>
            </w:r>
          </w:p>
        </w:tc>
        <w:tc>
          <w:tcPr>
            <w:tcW w:w="12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(275.8)</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21.1</w:t>
            </w:r>
          </w:p>
        </w:tc>
        <w:tc>
          <w:tcPr>
            <w:tcW w:w="1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(775.5)</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Inventories</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(13.0)</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(120.4)</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(53.4)</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(177.1)</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Prepaid expenses</w:t>
            </w:r>
          </w:p>
        </w:tc>
        <w:tc>
          <w:tcPr>
            <w:tcW w:w="26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Short-term derivative assets, net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(40.4)</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(13.7)</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127.2</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(35.7)</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current assets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(67.3)</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(58.4)</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(36.9)</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Cash collateral with financial counterparties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34.8</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(3.1)</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40.0</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non-current assets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(5.8)</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28.1</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(39.3)</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Accounts payable</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(33.4)</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253.1</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36.6</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554.0</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Customer deposits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(23.3)</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Accrued expenses and other current liabilities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84.1</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16.1</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(59.7)</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(6.4)</w:t>
            </w:r>
          </w:p>
        </w:tc>
      </w:tr>
      <w:tr>
        <w:trPr>
          <w:trHeight w:val="270"/>
        </w:trPr>
        <w:tc>
          <w:tcPr>
            <w:tcW w:w="5960" w:type="dxa"/>
            <w:vAlign w:val="bottom"/>
            <w:tcBorders>
              <w:bottom w:val="single" w:sz="8" w:color="auto"/>
            </w:tcBorders>
            <w:shd w:val="clear" w:color="auto" w:fill="CCEEFF"/>
          </w:tcPr>
          <w:p>
            <w:pPr>
              <w:ind w:left="380"/>
              <w:spacing w:after="0"/>
              <w:rPr>
                <w:sz w:val="20"/>
                <w:szCs w:val="20"/>
                <w:color w:val="auto"/>
              </w:rPr>
            </w:pPr>
            <w:r>
              <w:rPr>
                <w:rFonts w:ascii="Arial" w:cs="Arial" w:eastAsia="Arial" w:hAnsi="Arial"/>
                <w:sz w:val="14"/>
                <w:szCs w:val="14"/>
                <w:color w:val="auto"/>
              </w:rPr>
              <w:t>Non-current income tax, net and other long-term liabilities</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(19.8)</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4.5</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(80.2)</w:t>
            </w:r>
          </w:p>
        </w:tc>
        <w:tc>
          <w:tcPr>
            <w:tcW w:w="120" w:type="dxa"/>
            <w:vAlign w:val="bottom"/>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w:t>
            </w:r>
          </w:p>
        </w:tc>
      </w:tr>
      <w:tr>
        <w:trPr>
          <w:trHeight w:val="250"/>
        </w:trPr>
        <w:tc>
          <w:tcPr>
            <w:tcW w:w="59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adjustments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(16.4)</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(126.2)</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44.4</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(415.2)</w:t>
            </w:r>
          </w:p>
        </w:tc>
      </w:tr>
      <w:tr>
        <w:trPr>
          <w:trHeight w:val="250"/>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b w:val="1"/>
                <w:bCs w:val="1"/>
                <w:color w:val="auto"/>
              </w:rPr>
              <w:t>Net cash provided by (used in) operating activities</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33.0</w:t>
            </w:r>
          </w:p>
        </w:tc>
        <w:tc>
          <w:tcPr>
            <w:tcW w:w="120" w:type="dxa"/>
            <w:vAlign w:val="bottom"/>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(87.4)</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168.7</w:t>
            </w:r>
          </w:p>
        </w:tc>
        <w:tc>
          <w:tcPr>
            <w:tcW w:w="120" w:type="dxa"/>
            <w:vAlign w:val="bottom"/>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(316.0)</w:t>
            </w:r>
          </w:p>
        </w:tc>
      </w:tr>
      <w:tr>
        <w:trPr>
          <w:trHeight w:val="277"/>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Cash flows from investing activities: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Cash receipts of retained beneficial interests in receivable sales</w:t>
            </w:r>
          </w:p>
        </w:tc>
        <w:tc>
          <w:tcPr>
            <w:tcW w:w="26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115.6</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357.5</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Acquisition of businesses, net of cash acquired</w:t>
            </w:r>
          </w:p>
        </w:tc>
        <w:tc>
          <w:tcPr>
            <w:tcW w:w="260" w:type="dxa"/>
            <w:vAlign w:val="bottom"/>
          </w:tcPr>
          <w:p>
            <w:pPr>
              <w:spacing w:after="0"/>
              <w:rPr>
                <w:sz w:val="22"/>
                <w:szCs w:val="22"/>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2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(21.0)</w:t>
            </w: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Capital expenditures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(22.2)</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(59.5)</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(44.7)</w:t>
            </w:r>
          </w:p>
        </w:tc>
      </w:tr>
      <w:tr>
        <w:trPr>
          <w:trHeight w:val="264"/>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 investing activities, net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0.7</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4.5</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7.3</w:t>
            </w:r>
          </w:p>
        </w:tc>
      </w:tr>
      <w:tr>
        <w:trPr>
          <w:trHeight w:val="250"/>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b w:val="1"/>
                <w:bCs w:val="1"/>
                <w:color w:val="auto"/>
              </w:rPr>
              <w:t>Net cash (used in) provided by investing activities</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(21.5)</w:t>
            </w:r>
          </w:p>
        </w:tc>
        <w:tc>
          <w:tcPr>
            <w:tcW w:w="120" w:type="dxa"/>
            <w:vAlign w:val="bottom"/>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99.5</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(55.1)</w:t>
            </w:r>
          </w:p>
        </w:tc>
        <w:tc>
          <w:tcPr>
            <w:tcW w:w="120" w:type="dxa"/>
            <w:vAlign w:val="bottom"/>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299.0</w:t>
            </w:r>
          </w:p>
        </w:tc>
      </w:tr>
      <w:tr>
        <w:trPr>
          <w:trHeight w:val="277"/>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Cash flows from financing activities: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Borrowings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1,254.8</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1,788.5</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4,452.4</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4,663.5</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Repayments of debt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(1,249.8)</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(1,821.6)</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(4,468.4)</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(4,841.2)</w:t>
            </w: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Dividends paid on common stock</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(6.6)</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Repurchases of common stock</w:t>
            </w:r>
          </w:p>
        </w:tc>
        <w:tc>
          <w:tcPr>
            <w:tcW w:w="260" w:type="dxa"/>
            <w:vAlign w:val="bottom"/>
          </w:tcPr>
          <w:p>
            <w:pPr>
              <w:spacing w:after="0"/>
              <w:rPr>
                <w:sz w:val="22"/>
                <w:szCs w:val="22"/>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(20.0)</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(65.4)</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(20.0)</w:t>
            </w:r>
          </w:p>
        </w:tc>
      </w:tr>
      <w:tr>
        <w:trPr>
          <w:trHeight w:val="270"/>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Other financing activities, net</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120" w:type="dxa"/>
            <w:vAlign w:val="bottom"/>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r>
      <w:tr>
        <w:trPr>
          <w:trHeight w:val="250"/>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Net cash (used in) financing activities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(6.0)</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(57.3)</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(103.1)</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(212.0)</w:t>
            </w:r>
          </w:p>
        </w:tc>
      </w:tr>
      <w:tr>
        <w:trPr>
          <w:trHeight w:val="250"/>
        </w:trPr>
        <w:tc>
          <w:tcPr>
            <w:tcW w:w="59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Effect of exchange rate changes on cash and cash equivalents</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120" w:type="dxa"/>
            <w:vAlign w:val="bottom"/>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r>
      <w:tr>
        <w:trPr>
          <w:trHeight w:val="250"/>
        </w:trPr>
        <w:tc>
          <w:tcPr>
            <w:tcW w:w="6080" w:type="dxa"/>
            <w:vAlign w:val="bottom"/>
            <w:gridSpan w:val="2"/>
          </w:tcPr>
          <w:p>
            <w:pPr>
              <w:ind w:left="40"/>
              <w:spacing w:after="0"/>
              <w:rPr>
                <w:sz w:val="20"/>
                <w:szCs w:val="20"/>
                <w:color w:val="auto"/>
              </w:rPr>
            </w:pPr>
            <w:r>
              <w:rPr>
                <w:rFonts w:ascii="Arial" w:cs="Arial" w:eastAsia="Arial" w:hAnsi="Arial"/>
                <w:sz w:val="14"/>
                <w:szCs w:val="14"/>
                <w:b w:val="1"/>
                <w:bCs w:val="1"/>
                <w:color w:val="auto"/>
              </w:rPr>
              <w:t>Net (decrease) increase in cash and cash equivalents</w:t>
            </w:r>
          </w:p>
        </w:tc>
        <w:tc>
          <w:tcPr>
            <w:tcW w:w="260" w:type="dxa"/>
            <w:vAlign w:val="bottom"/>
          </w:tcPr>
          <w:p>
            <w:pPr>
              <w:spacing w:after="0"/>
              <w:rPr>
                <w:sz w:val="21"/>
                <w:szCs w:val="21"/>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0.4</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(45.5)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6.7</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(230.3)</w:t>
            </w:r>
          </w:p>
        </w:tc>
      </w:tr>
      <w:tr>
        <w:trPr>
          <w:trHeight w:val="270"/>
        </w:trPr>
        <w:tc>
          <w:tcPr>
            <w:tcW w:w="59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Cash and cash equivalents, as of the beginning of the period</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218.1</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187.6</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211.7</w:t>
            </w:r>
          </w:p>
        </w:tc>
        <w:tc>
          <w:tcPr>
            <w:tcW w:w="120" w:type="dxa"/>
            <w:vAlign w:val="bottom"/>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372.3</w:t>
            </w:r>
          </w:p>
        </w:tc>
      </w:tr>
      <w:tr>
        <w:trPr>
          <w:trHeight w:val="237"/>
        </w:trPr>
        <w:tc>
          <w:tcPr>
            <w:tcW w:w="6080" w:type="dxa"/>
            <w:vAlign w:val="bottom"/>
            <w:gridSpan w:val="2"/>
          </w:tcPr>
          <w:p>
            <w:pPr>
              <w:ind w:left="40"/>
              <w:spacing w:after="0"/>
              <w:rPr>
                <w:sz w:val="20"/>
                <w:szCs w:val="20"/>
                <w:color w:val="auto"/>
              </w:rPr>
            </w:pPr>
            <w:r>
              <w:rPr>
                <w:rFonts w:ascii="Arial" w:cs="Arial" w:eastAsia="Arial" w:hAnsi="Arial"/>
                <w:sz w:val="14"/>
                <w:szCs w:val="14"/>
                <w:b w:val="1"/>
                <w:bCs w:val="1"/>
                <w:color w:val="auto"/>
              </w:rPr>
              <w:t>Cash and cash equivalents, as of the end of the period</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218.5</w:t>
            </w:r>
          </w:p>
        </w:tc>
        <w:tc>
          <w:tcPr>
            <w:tcW w:w="120" w:type="dxa"/>
            <w:vAlign w:val="bottom"/>
          </w:tcPr>
          <w:p>
            <w:pPr>
              <w:spacing w:after="0"/>
              <w:rPr>
                <w:sz w:val="20"/>
                <w:szCs w:val="20"/>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142.1</w:t>
            </w:r>
          </w:p>
        </w:tc>
        <w:tc>
          <w:tcPr>
            <w:tcW w:w="100" w:type="dxa"/>
            <w:vAlign w:val="bottom"/>
          </w:tcPr>
          <w:p>
            <w:pPr>
              <w:spacing w:after="0"/>
              <w:rPr>
                <w:sz w:val="20"/>
                <w:szCs w:val="20"/>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218.5</w:t>
            </w:r>
          </w:p>
        </w:tc>
        <w:tc>
          <w:tcPr>
            <w:tcW w:w="120" w:type="dxa"/>
            <w:vAlign w:val="bottom"/>
          </w:tcPr>
          <w:p>
            <w:pPr>
              <w:spacing w:after="0"/>
              <w:rPr>
                <w:sz w:val="20"/>
                <w:szCs w:val="20"/>
                <w:color w:val="auto"/>
              </w:rPr>
            </w:pP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142.1</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ind w:right="60" w:firstLine="8"/>
        <w:spacing w:after="0" w:line="273" w:lineRule="auto"/>
        <w:tabs>
          <w:tab w:leader="none" w:pos="108" w:val="left"/>
        </w:tabs>
        <w:numPr>
          <w:ilvl w:val="0"/>
          <w:numId w:val="3"/>
        </w:numPr>
        <w:rPr>
          <w:rFonts w:ascii="Arial" w:cs="Arial" w:eastAsia="Arial" w:hAnsi="Arial"/>
          <w:sz w:val="14"/>
          <w:szCs w:val="14"/>
          <w:color w:val="auto"/>
        </w:rPr>
      </w:pPr>
      <w:r>
        <w:rPr>
          <w:rFonts w:ascii="Arial" w:cs="Arial" w:eastAsia="Arial" w:hAnsi="Arial"/>
          <w:sz w:val="14"/>
          <w:szCs w:val="14"/>
          <w:color w:val="auto"/>
        </w:rPr>
        <w:t>The adoption of ASU 2016-15 resulted in operating cash flow decreases and investing cash flow increases of $115.6 million and $357.5 million for the three and nine months ended September 30, 2018 respectively.</w:t>
      </w:r>
    </w:p>
    <w:p>
      <w:pPr>
        <w:sectPr>
          <w:pgSz w:w="11900" w:h="16838" w:orient="portrait"/>
          <w:cols w:equalWidth="0" w:num="1">
            <w:col w:w="11420"/>
          </w:cols>
          <w:pgMar w:left="240" w:top="918" w:right="239" w:bottom="1440" w:gutter="0" w:footer="0" w:header="0"/>
        </w:sectPr>
      </w:pPr>
    </w:p>
    <w:bookmarkStart w:id="9" w:name="page10"/>
    <w:bookmarkEnd w:id="9"/>
    <w:p>
      <w:pPr>
        <w:jc w:val="center"/>
        <w:spacing w:after="0" w:line="266" w:lineRule="auto"/>
        <w:rPr>
          <w:sz w:val="20"/>
          <w:szCs w:val="20"/>
          <w:color w:val="auto"/>
        </w:rPr>
      </w:pPr>
      <w:r>
        <w:rPr>
          <w:rFonts w:ascii="Arial" w:cs="Arial" w:eastAsia="Arial" w:hAnsi="Arial"/>
          <w:sz w:val="18"/>
          <w:szCs w:val="18"/>
          <w:b w:val="1"/>
          <w:bCs w:val="1"/>
          <w:color w:val="auto"/>
        </w:rPr>
        <w:t xml:space="preserve">WORLD FUEL SERVICES CORPORATION RECONCILIATION OF GAAP TO NON-GAAP FINANCIAL MEASURES </w:t>
      </w:r>
      <w:r>
        <w:rPr>
          <w:rFonts w:ascii="Arial" w:cs="Arial" w:eastAsia="Arial" w:hAnsi="Arial"/>
          <w:sz w:val="18"/>
          <w:szCs w:val="18"/>
          <w:color w:val="auto"/>
        </w:rPr>
        <w:t>(Unaudited - In millions, except per share data)</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5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20" w:type="dxa"/>
            <w:vAlign w:val="bottom"/>
            <w:gridSpan w:val="4"/>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32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Nine Months Ended</w:t>
            </w:r>
          </w:p>
        </w:tc>
      </w:tr>
      <w:tr>
        <w:trPr>
          <w:trHeight w:val="276"/>
        </w:trPr>
        <w:tc>
          <w:tcPr>
            <w:tcW w:w="59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ind w:right="388"/>
              <w:spacing w:after="0"/>
              <w:rPr>
                <w:sz w:val="20"/>
                <w:szCs w:val="20"/>
                <w:color w:val="auto"/>
              </w:rPr>
            </w:pPr>
            <w:r>
              <w:rPr>
                <w:rFonts w:ascii="Arial" w:cs="Arial" w:eastAsia="Arial" w:hAnsi="Arial"/>
                <w:sz w:val="14"/>
                <w:szCs w:val="14"/>
                <w:b w:val="1"/>
                <w:bCs w:val="1"/>
                <w:color w:val="auto"/>
                <w:w w:val="96"/>
              </w:rPr>
              <w:t>September 30,</w:t>
            </w:r>
          </w:p>
        </w:tc>
        <w:tc>
          <w:tcPr>
            <w:tcW w:w="4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24"/>
                <w:szCs w:val="24"/>
                <w:color w:val="auto"/>
              </w:rPr>
            </w:pPr>
          </w:p>
        </w:tc>
      </w:tr>
      <w:tr>
        <w:trPr>
          <w:trHeight w:val="264"/>
        </w:trPr>
        <w:tc>
          <w:tcPr>
            <w:tcW w:w="60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b w:val="1"/>
                <w:bCs w:val="1"/>
                <w:color w:val="auto"/>
              </w:rPr>
              <w:t>Non-GAAP financial measures and reconciliation:</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w w:val="96"/>
              </w:rPr>
              <w:t>2018</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Net income attributable to World Fuel</w:t>
            </w:r>
          </w:p>
        </w:tc>
        <w:tc>
          <w:tcPr>
            <w:tcW w:w="8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48.2</w:t>
            </w:r>
          </w:p>
        </w:tc>
        <w:tc>
          <w:tcPr>
            <w:tcW w:w="12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38.2</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122.4</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98.1</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Loss on extinguishment of debt</w:t>
            </w:r>
          </w:p>
        </w:tc>
        <w:tc>
          <w:tcPr>
            <w:tcW w:w="820" w:type="dxa"/>
            <w:vAlign w:val="bottom"/>
          </w:tcPr>
          <w:p>
            <w:pPr>
              <w:spacing w:after="0"/>
              <w:rPr>
                <w:sz w:val="22"/>
                <w:szCs w:val="22"/>
                <w:color w:val="auto"/>
              </w:rPr>
            </w:pPr>
          </w:p>
        </w:tc>
        <w:tc>
          <w:tcPr>
            <w:tcW w:w="460" w:type="dxa"/>
            <w:vAlign w:val="bottom"/>
          </w:tcPr>
          <w:p>
            <w:pPr>
              <w:jc w:val="right"/>
              <w:ind w:right="48"/>
              <w:spacing w:after="0"/>
              <w:rPr>
                <w:sz w:val="20"/>
                <w:szCs w:val="20"/>
                <w:color w:val="auto"/>
              </w:rPr>
            </w:pPr>
            <w:r>
              <w:rPr>
                <w:rFonts w:ascii="Arial" w:cs="Arial" w:eastAsia="Arial" w:hAnsi="Arial"/>
                <w:sz w:val="14"/>
                <w:szCs w:val="14"/>
                <w:color w:val="auto"/>
              </w:rPr>
              <w:t>0.5</w:t>
            </w:r>
          </w:p>
        </w:tc>
        <w:tc>
          <w:tcPr>
            <w:tcW w:w="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0.5</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0.5</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Acquisition related charges</w:t>
            </w:r>
          </w:p>
        </w:tc>
        <w:tc>
          <w:tcPr>
            <w:tcW w:w="820" w:type="dxa"/>
            <w:vAlign w:val="bottom"/>
            <w:shd w:val="clear" w:color="auto" w:fill="CCEEFF"/>
          </w:tcPr>
          <w:p>
            <w:pPr>
              <w:spacing w:after="0"/>
              <w:rPr>
                <w:sz w:val="24"/>
                <w:szCs w:val="24"/>
                <w:color w:val="auto"/>
              </w:rPr>
            </w:pPr>
          </w:p>
        </w:tc>
        <w:tc>
          <w:tcPr>
            <w:tcW w:w="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Restructuring-related costs</w:t>
            </w:r>
          </w:p>
        </w:tc>
        <w:tc>
          <w:tcPr>
            <w:tcW w:w="820" w:type="dxa"/>
            <w:vAlign w:val="bottom"/>
          </w:tcPr>
          <w:p>
            <w:pPr>
              <w:spacing w:after="0"/>
              <w:rPr>
                <w:sz w:val="22"/>
                <w:szCs w:val="22"/>
                <w:color w:val="auto"/>
              </w:rPr>
            </w:pPr>
          </w:p>
        </w:tc>
        <w:tc>
          <w:tcPr>
            <w:tcW w:w="460" w:type="dxa"/>
            <w:vAlign w:val="bottom"/>
          </w:tcPr>
          <w:p>
            <w:pPr>
              <w:jc w:val="right"/>
              <w:ind w:right="48"/>
              <w:spacing w:after="0"/>
              <w:rPr>
                <w:sz w:val="20"/>
                <w:szCs w:val="20"/>
                <w:color w:val="auto"/>
              </w:rPr>
            </w:pPr>
            <w:r>
              <w:rPr>
                <w:rFonts w:ascii="Arial" w:cs="Arial" w:eastAsia="Arial" w:hAnsi="Arial"/>
                <w:sz w:val="14"/>
                <w:szCs w:val="14"/>
                <w:color w:val="auto"/>
              </w:rPr>
              <w:t>2.6</w:t>
            </w:r>
          </w:p>
        </w:tc>
        <w:tc>
          <w:tcPr>
            <w:tcW w:w="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5.2</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6.3</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12.2</w:t>
            </w:r>
          </w:p>
        </w:tc>
      </w:tr>
      <w:tr>
        <w:trPr>
          <w:trHeight w:val="270"/>
        </w:trPr>
        <w:tc>
          <w:tcPr>
            <w:tcW w:w="596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Income tax impacts</w:t>
            </w:r>
          </w:p>
        </w:tc>
        <w:tc>
          <w:tcPr>
            <w:tcW w:w="120" w:type="dxa"/>
            <w:vAlign w:val="bottom"/>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spacing w:after="0"/>
              <w:rPr>
                <w:sz w:val="23"/>
                <w:szCs w:val="23"/>
                <w:color w:val="auto"/>
              </w:rPr>
            </w:pPr>
          </w:p>
        </w:tc>
        <w:tc>
          <w:tcPr>
            <w:tcW w:w="4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(0.8)</w:t>
            </w:r>
          </w:p>
        </w:tc>
        <w:tc>
          <w:tcPr>
            <w:tcW w:w="120" w:type="dxa"/>
            <w:vAlign w:val="bottom"/>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w:t>
            </w:r>
          </w:p>
        </w:tc>
      </w:tr>
      <w:tr>
        <w:trPr>
          <w:trHeight w:val="250"/>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Adjusted net income attributable to World Fuel</w:t>
            </w:r>
          </w:p>
        </w:tc>
        <w:tc>
          <w:tcPr>
            <w:tcW w:w="820" w:type="dxa"/>
            <w:vAlign w:val="bottom"/>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tcPr>
          <w:p>
            <w:pPr>
              <w:jc w:val="right"/>
              <w:ind w:right="48"/>
              <w:spacing w:after="0"/>
              <w:rPr>
                <w:sz w:val="20"/>
                <w:szCs w:val="20"/>
                <w:color w:val="auto"/>
              </w:rPr>
            </w:pPr>
            <w:r>
              <w:rPr>
                <w:rFonts w:ascii="Arial" w:cs="Arial" w:eastAsia="Arial" w:hAnsi="Arial"/>
                <w:sz w:val="14"/>
                <w:szCs w:val="14"/>
                <w:color w:val="auto"/>
              </w:rPr>
              <w:t>50.7</w:t>
            </w:r>
          </w:p>
        </w:tc>
        <w:tc>
          <w:tcPr>
            <w:tcW w:w="120" w:type="dxa"/>
            <w:vAlign w:val="bottom"/>
          </w:tcPr>
          <w:p>
            <w:pPr>
              <w:spacing w:after="0"/>
              <w:rPr>
                <w:sz w:val="21"/>
                <w:szCs w:val="21"/>
                <w:color w:val="auto"/>
              </w:rPr>
            </w:pPr>
          </w:p>
        </w:tc>
        <w:tc>
          <w:tcPr>
            <w:tcW w:w="820" w:type="dxa"/>
            <w:vAlign w:val="bottom"/>
          </w:tcPr>
          <w:p>
            <w:pPr>
              <w:jc w:val="right"/>
              <w:ind w:right="648"/>
              <w:spacing w:after="0"/>
              <w:rPr>
                <w:sz w:val="20"/>
                <w:szCs w:val="20"/>
                <w:color w:val="auto"/>
              </w:rPr>
            </w:pPr>
            <w:r>
              <w:rPr>
                <w:rFonts w:ascii="Arial" w:cs="Arial" w:eastAsia="Arial" w:hAnsi="Arial"/>
                <w:sz w:val="14"/>
                <w:szCs w:val="14"/>
                <w:color w:val="auto"/>
              </w:rPr>
              <w:t>$</w:t>
            </w: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42.5</w:t>
            </w:r>
          </w:p>
        </w:tc>
        <w:tc>
          <w:tcPr>
            <w:tcW w:w="100" w:type="dxa"/>
            <w:vAlign w:val="bottom"/>
          </w:tcPr>
          <w:p>
            <w:pPr>
              <w:spacing w:after="0"/>
              <w:rPr>
                <w:sz w:val="21"/>
                <w:szCs w:val="21"/>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128.4</w:t>
            </w:r>
          </w:p>
        </w:tc>
        <w:tc>
          <w:tcPr>
            <w:tcW w:w="120" w:type="dxa"/>
            <w:vAlign w:val="bottom"/>
          </w:tcPr>
          <w:p>
            <w:pPr>
              <w:spacing w:after="0"/>
              <w:rPr>
                <w:sz w:val="21"/>
                <w:szCs w:val="21"/>
                <w:color w:val="auto"/>
              </w:rPr>
            </w:pP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109.5</w:t>
            </w:r>
          </w:p>
        </w:tc>
      </w:tr>
      <w:tr>
        <w:trPr>
          <w:trHeight w:val="270"/>
        </w:trPr>
        <w:tc>
          <w:tcPr>
            <w:tcW w:w="59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4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4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80" w:type="dxa"/>
            <w:vAlign w:val="bottom"/>
            <w:tcBorders>
              <w:top w:val="single" w:sz="8" w:color="auto"/>
            </w:tcBorders>
            <w:shd w:val="clear" w:color="auto" w:fill="CCEEFF"/>
          </w:tcPr>
          <w:p>
            <w:pPr>
              <w:spacing w:after="0"/>
              <w:rPr>
                <w:sz w:val="23"/>
                <w:szCs w:val="23"/>
                <w:color w:val="auto"/>
              </w:rPr>
            </w:pPr>
          </w:p>
        </w:tc>
        <w:tc>
          <w:tcPr>
            <w:tcW w:w="9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440" w:type="dxa"/>
            <w:vAlign w:val="bottom"/>
            <w:tcBorders>
              <w:top w:val="single" w:sz="8" w:color="auto"/>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r>
      <w:tr>
        <w:trPr>
          <w:trHeight w:val="264"/>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Diluted earnings per common share</w:t>
            </w:r>
          </w:p>
        </w:tc>
        <w:tc>
          <w:tcPr>
            <w:tcW w:w="820" w:type="dxa"/>
            <w:vAlign w:val="bottom"/>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tcPr>
          <w:p>
            <w:pPr>
              <w:jc w:val="right"/>
              <w:ind w:right="48"/>
              <w:spacing w:after="0"/>
              <w:rPr>
                <w:sz w:val="20"/>
                <w:szCs w:val="20"/>
                <w:color w:val="auto"/>
              </w:rPr>
            </w:pPr>
            <w:r>
              <w:rPr>
                <w:rFonts w:ascii="Arial" w:cs="Arial" w:eastAsia="Arial" w:hAnsi="Arial"/>
                <w:sz w:val="14"/>
                <w:szCs w:val="14"/>
                <w:color w:val="auto"/>
              </w:rPr>
              <w:t>0.73</w:t>
            </w:r>
          </w:p>
        </w:tc>
        <w:tc>
          <w:tcPr>
            <w:tcW w:w="120" w:type="dxa"/>
            <w:vAlign w:val="bottom"/>
          </w:tcPr>
          <w:p>
            <w:pPr>
              <w:spacing w:after="0"/>
              <w:rPr>
                <w:sz w:val="22"/>
                <w:szCs w:val="22"/>
                <w:color w:val="auto"/>
              </w:rPr>
            </w:pPr>
          </w:p>
        </w:tc>
        <w:tc>
          <w:tcPr>
            <w:tcW w:w="820" w:type="dxa"/>
            <w:vAlign w:val="bottom"/>
          </w:tcPr>
          <w:p>
            <w:pPr>
              <w:jc w:val="right"/>
              <w:ind w:right="648"/>
              <w:spacing w:after="0"/>
              <w:rPr>
                <w:sz w:val="20"/>
                <w:szCs w:val="20"/>
                <w:color w:val="auto"/>
              </w:rPr>
            </w:pPr>
            <w:r>
              <w:rPr>
                <w:rFonts w:ascii="Arial" w:cs="Arial" w:eastAsia="Arial" w:hAnsi="Arial"/>
                <w:sz w:val="14"/>
                <w:szCs w:val="14"/>
                <w:color w:val="auto"/>
              </w:rPr>
              <w:t>$</w:t>
            </w: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0.56</w:t>
            </w:r>
          </w:p>
        </w:tc>
        <w:tc>
          <w:tcPr>
            <w:tcW w:w="100" w:type="dxa"/>
            <w:vAlign w:val="bottom"/>
          </w:tcPr>
          <w:p>
            <w:pPr>
              <w:spacing w:after="0"/>
              <w:rPr>
                <w:sz w:val="22"/>
                <w:szCs w:val="22"/>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1.84</w:t>
            </w:r>
          </w:p>
        </w:tc>
        <w:tc>
          <w:tcPr>
            <w:tcW w:w="120" w:type="dxa"/>
            <w:vAlign w:val="bottom"/>
          </w:tcPr>
          <w:p>
            <w:pPr>
              <w:spacing w:after="0"/>
              <w:rPr>
                <w:sz w:val="22"/>
                <w:szCs w:val="22"/>
                <w:color w:val="auto"/>
              </w:rPr>
            </w:pP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1.45</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Loss on extinguishment of debt</w:t>
            </w:r>
          </w:p>
        </w:tc>
        <w:tc>
          <w:tcPr>
            <w:tcW w:w="820" w:type="dxa"/>
            <w:vAlign w:val="bottom"/>
            <w:shd w:val="clear" w:color="auto" w:fill="CCEEFF"/>
          </w:tcPr>
          <w:p>
            <w:pPr>
              <w:spacing w:after="0"/>
              <w:rPr>
                <w:sz w:val="24"/>
                <w:szCs w:val="24"/>
                <w:color w:val="auto"/>
              </w:rPr>
            </w:pPr>
          </w:p>
        </w:tc>
        <w:tc>
          <w:tcPr>
            <w:tcW w:w="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0.01</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Acquisition related charges</w:t>
            </w:r>
          </w:p>
        </w:tc>
        <w:tc>
          <w:tcPr>
            <w:tcW w:w="820" w:type="dxa"/>
            <w:vAlign w:val="bottom"/>
          </w:tcPr>
          <w:p>
            <w:pPr>
              <w:spacing w:after="0"/>
              <w:rPr>
                <w:sz w:val="22"/>
                <w:szCs w:val="22"/>
                <w:color w:val="auto"/>
              </w:rPr>
            </w:pPr>
          </w:p>
        </w:tc>
        <w:tc>
          <w:tcPr>
            <w:tcW w:w="5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20" w:type="dxa"/>
            <w:vAlign w:val="bottom"/>
          </w:tcPr>
          <w:p>
            <w:pPr>
              <w:spacing w:after="0"/>
              <w:rPr>
                <w:sz w:val="22"/>
                <w:szCs w:val="22"/>
                <w:color w:val="auto"/>
              </w:rPr>
            </w:pP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0.01</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0.03</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Restructuring-related costs</w:t>
            </w:r>
          </w:p>
        </w:tc>
        <w:tc>
          <w:tcPr>
            <w:tcW w:w="820" w:type="dxa"/>
            <w:vAlign w:val="bottom"/>
            <w:shd w:val="clear" w:color="auto" w:fill="CCEEFF"/>
          </w:tcPr>
          <w:p>
            <w:pPr>
              <w:spacing w:after="0"/>
              <w:rPr>
                <w:sz w:val="24"/>
                <w:szCs w:val="24"/>
                <w:color w:val="auto"/>
              </w:rPr>
            </w:pPr>
          </w:p>
        </w:tc>
        <w:tc>
          <w:tcPr>
            <w:tcW w:w="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0.04</w:t>
            </w: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0.08</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0.09</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0.18</w:t>
            </w:r>
          </w:p>
        </w:tc>
      </w:tr>
      <w:tr>
        <w:trPr>
          <w:trHeight w:val="264"/>
        </w:trPr>
        <w:tc>
          <w:tcPr>
            <w:tcW w:w="59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Income tax impacts</w:t>
            </w:r>
          </w:p>
        </w:tc>
        <w:tc>
          <w:tcPr>
            <w:tcW w:w="12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98"/>
              </w:rPr>
              <w:t>(0.01)</w:t>
            </w:r>
          </w:p>
        </w:tc>
        <w:tc>
          <w:tcPr>
            <w:tcW w:w="12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2"/>
              </w:rPr>
              <w:t>(0.02)</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(0.04)</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Adjusted diluted earnings per common share</w:t>
            </w:r>
          </w:p>
        </w:tc>
        <w:tc>
          <w:tcPr>
            <w:tcW w:w="8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0.77</w:t>
            </w:r>
          </w:p>
        </w:tc>
        <w:tc>
          <w:tcPr>
            <w:tcW w:w="120" w:type="dxa"/>
            <w:vAlign w:val="bottom"/>
            <w:shd w:val="clear" w:color="auto" w:fill="CCEEFF"/>
          </w:tcPr>
          <w:p>
            <w:pPr>
              <w:spacing w:after="0"/>
              <w:rPr>
                <w:sz w:val="20"/>
                <w:szCs w:val="20"/>
                <w:color w:val="auto"/>
              </w:rPr>
            </w:pPr>
          </w:p>
        </w:tc>
        <w:tc>
          <w:tcPr>
            <w:tcW w:w="8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0.63</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1.92</w:t>
            </w:r>
          </w:p>
        </w:tc>
        <w:tc>
          <w:tcPr>
            <w:tcW w:w="120" w:type="dxa"/>
            <w:vAlign w:val="bottom"/>
            <w:shd w:val="clear" w:color="auto" w:fill="CCEEFF"/>
          </w:tcPr>
          <w:p>
            <w:pPr>
              <w:spacing w:after="0"/>
              <w:rPr>
                <w:sz w:val="20"/>
                <w:szCs w:val="20"/>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1.62</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96"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Non-GAAP financial measures and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-122555</wp:posOffset>
            </wp:positionV>
            <wp:extent cx="37731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spacing w:after="0" w:line="145"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from operations</w:t>
      </w:r>
    </w:p>
    <w:p>
      <w:pPr>
        <w:spacing w:after="0" w:line="6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Depreciation and amortization</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Acquisition related charges</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Restructuring-related costs</w:t>
      </w:r>
    </w:p>
    <w:p>
      <w:pPr>
        <w:spacing w:after="0" w:line="136"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Adjusted EBITDA(1)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37731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7"/>
        </w:trPr>
        <w:tc>
          <w:tcPr>
            <w:tcW w:w="260" w:type="dxa"/>
            <w:vAlign w:val="bottom"/>
          </w:tcPr>
          <w:p>
            <w:pPr>
              <w:spacing w:after="0"/>
              <w:rPr>
                <w:sz w:val="19"/>
                <w:szCs w:val="19"/>
                <w:color w:val="auto"/>
              </w:rPr>
            </w:pPr>
          </w:p>
        </w:tc>
        <w:tc>
          <w:tcPr>
            <w:tcW w:w="248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280" w:type="dxa"/>
            <w:vAlign w:val="bottom"/>
          </w:tcPr>
          <w:p>
            <w:pPr>
              <w:spacing w:after="0"/>
              <w:rPr>
                <w:sz w:val="19"/>
                <w:szCs w:val="19"/>
                <w:color w:val="auto"/>
              </w:rPr>
            </w:pPr>
          </w:p>
        </w:tc>
        <w:tc>
          <w:tcPr>
            <w:tcW w:w="232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Nine Months Ended</w:t>
            </w:r>
          </w:p>
        </w:tc>
      </w:tr>
      <w:tr>
        <w:trPr>
          <w:trHeight w:val="276"/>
        </w:trPr>
        <w:tc>
          <w:tcPr>
            <w:tcW w:w="26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24"/>
                <w:szCs w:val="24"/>
                <w:color w:val="auto"/>
              </w:rPr>
            </w:pPr>
          </w:p>
        </w:tc>
      </w:tr>
      <w:tr>
        <w:trPr>
          <w:trHeight w:val="264"/>
        </w:trPr>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w w:val="96"/>
              </w:rPr>
              <w:t>2018</w:t>
            </w:r>
          </w:p>
        </w:tc>
      </w:tr>
      <w:tr>
        <w:trPr>
          <w:trHeight w:val="244"/>
        </w:trPr>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93.6</w:t>
            </w:r>
          </w:p>
        </w:tc>
        <w:tc>
          <w:tcPr>
            <w:tcW w:w="120" w:type="dxa"/>
            <w:vAlign w:val="bottom"/>
          </w:tcPr>
          <w:p>
            <w:pPr>
              <w:spacing w:after="0"/>
              <w:rPr>
                <w:sz w:val="21"/>
                <w:szCs w:val="21"/>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78.2</w:t>
            </w:r>
          </w:p>
        </w:tc>
        <w:tc>
          <w:tcPr>
            <w:tcW w:w="100" w:type="dxa"/>
            <w:vAlign w:val="bottom"/>
          </w:tcPr>
          <w:p>
            <w:pPr>
              <w:spacing w:after="0"/>
              <w:rPr>
                <w:sz w:val="21"/>
                <w:szCs w:val="21"/>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239.2</w:t>
            </w:r>
          </w:p>
        </w:tc>
        <w:tc>
          <w:tcPr>
            <w:tcW w:w="120" w:type="dxa"/>
            <w:vAlign w:val="bottom"/>
          </w:tcPr>
          <w:p>
            <w:pPr>
              <w:spacing w:after="0"/>
              <w:rPr>
                <w:sz w:val="21"/>
                <w:szCs w:val="21"/>
                <w:color w:val="auto"/>
              </w:rPr>
            </w:pP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196.4</w:t>
            </w:r>
          </w:p>
        </w:tc>
      </w:tr>
      <w:tr>
        <w:trPr>
          <w:trHeight w:val="270"/>
        </w:trPr>
        <w:tc>
          <w:tcPr>
            <w:tcW w:w="260" w:type="dxa"/>
            <w:vAlign w:val="bottom"/>
          </w:tcPr>
          <w:p>
            <w:pPr>
              <w:spacing w:after="0"/>
              <w:rPr>
                <w:sz w:val="23"/>
                <w:szCs w:val="23"/>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21.1</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20.6</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64.2</w:t>
            </w:r>
          </w:p>
        </w:tc>
        <w:tc>
          <w:tcPr>
            <w:tcW w:w="1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59.0</w:t>
            </w:r>
          </w:p>
        </w:tc>
      </w:tr>
      <w:tr>
        <w:trPr>
          <w:trHeight w:val="270"/>
        </w:trPr>
        <w:tc>
          <w:tcPr>
            <w:tcW w:w="260" w:type="dxa"/>
            <w:vAlign w:val="bottom"/>
          </w:tcPr>
          <w:p>
            <w:pPr>
              <w:spacing w:after="0"/>
              <w:rPr>
                <w:sz w:val="23"/>
                <w:szCs w:val="23"/>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0.3</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1.7</w:t>
            </w:r>
          </w:p>
        </w:tc>
      </w:tr>
      <w:tr>
        <w:trPr>
          <w:trHeight w:val="276"/>
        </w:trPr>
        <w:tc>
          <w:tcPr>
            <w:tcW w:w="2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2.6</w:t>
            </w: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5.2</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6.3</w:t>
            </w:r>
          </w:p>
        </w:tc>
        <w:tc>
          <w:tcPr>
            <w:tcW w:w="12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12.2</w:t>
            </w:r>
          </w:p>
        </w:tc>
      </w:tr>
      <w:tr>
        <w:trPr>
          <w:trHeight w:val="237"/>
        </w:trPr>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117.6</w:t>
            </w:r>
          </w:p>
        </w:tc>
        <w:tc>
          <w:tcPr>
            <w:tcW w:w="120" w:type="dxa"/>
            <w:vAlign w:val="bottom"/>
          </w:tcPr>
          <w:p>
            <w:pPr>
              <w:spacing w:after="0"/>
              <w:rPr>
                <w:sz w:val="20"/>
                <w:szCs w:val="20"/>
                <w:color w:val="auto"/>
              </w:rPr>
            </w:pPr>
          </w:p>
        </w:tc>
        <w:tc>
          <w:tcPr>
            <w:tcW w:w="4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104.3</w:t>
            </w:r>
          </w:p>
        </w:tc>
        <w:tc>
          <w:tcPr>
            <w:tcW w:w="100" w:type="dxa"/>
            <w:vAlign w:val="bottom"/>
          </w:tcPr>
          <w:p>
            <w:pPr>
              <w:spacing w:after="0"/>
              <w:rPr>
                <w:sz w:val="20"/>
                <w:szCs w:val="20"/>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310.7</w:t>
            </w:r>
          </w:p>
        </w:tc>
        <w:tc>
          <w:tcPr>
            <w:tcW w:w="120" w:type="dxa"/>
            <w:vAlign w:val="bottom"/>
          </w:tcPr>
          <w:p>
            <w:pPr>
              <w:spacing w:after="0"/>
              <w:rPr>
                <w:sz w:val="20"/>
                <w:szCs w:val="20"/>
                <w:color w:val="auto"/>
              </w:rPr>
            </w:pPr>
          </w:p>
        </w:tc>
        <w:tc>
          <w:tcPr>
            <w:tcW w:w="4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269.4</w:t>
            </w:r>
          </w:p>
        </w:tc>
      </w:tr>
      <w:tr>
        <w:trPr>
          <w:trHeight w:val="20"/>
        </w:trPr>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-3855085</wp:posOffset>
            </wp:positionH>
            <wp:positionV relativeFrom="paragraph">
              <wp:posOffset>-874395</wp:posOffset>
            </wp:positionV>
            <wp:extent cx="724662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-530860</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-187960</wp:posOffset>
            </wp:positionV>
            <wp:extent cx="7246620"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197" w:lineRule="exact"/>
        <w:rPr>
          <w:sz w:val="20"/>
          <w:szCs w:val="20"/>
          <w:color w:val="auto"/>
        </w:rPr>
      </w:pPr>
    </w:p>
    <w:p>
      <w:pPr>
        <w:sectPr>
          <w:pgSz w:w="11900" w:h="16838" w:orient="portrait"/>
          <w:cols w:equalWidth="0" w:num="2">
            <w:col w:w="5360" w:space="720"/>
            <w:col w:w="5340"/>
          </w:cols>
          <w:pgMar w:left="240" w:top="796" w:right="239" w:bottom="1440" w:gutter="0" w:footer="0" w:header="0"/>
          <w:type w:val="continuous"/>
        </w:sectPr>
      </w:pPr>
    </w:p>
    <w:p>
      <w:pPr>
        <w:ind w:left="660" w:right="180" w:hanging="328"/>
        <w:spacing w:after="0" w:line="273" w:lineRule="auto"/>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Company defines adjusted EBITDA as income from operations, excluding the impact of depreciation and amortization, and items that are considered to be non-operational and are not representative of our core business, including those associated with acquisition related charges and restructuring costs.</w:t>
      </w:r>
    </w:p>
    <w:p>
      <w:pPr>
        <w:sectPr>
          <w:pgSz w:w="11900" w:h="16838" w:orient="portrait"/>
          <w:cols w:equalWidth="0" w:num="1">
            <w:col w:w="11420"/>
          </w:cols>
          <w:pgMar w:left="240" w:top="796" w:right="239" w:bottom="1440" w:gutter="0" w:footer="0" w:header="0"/>
          <w:type w:val="continuous"/>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BUSINESS SEGMENTS INFORMATION</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340" w:type="dxa"/>
            <w:vAlign w:val="bottom"/>
            <w:gridSpan w:val="5"/>
          </w:tcPr>
          <w:p>
            <w:pPr>
              <w:ind w:left="120"/>
              <w:spacing w:after="0"/>
              <w:rPr>
                <w:sz w:val="20"/>
                <w:szCs w:val="20"/>
                <w:color w:val="auto"/>
              </w:rPr>
            </w:pPr>
            <w:r>
              <w:rPr>
                <w:rFonts w:ascii="Arial" w:cs="Arial" w:eastAsia="Arial" w:hAnsi="Arial"/>
                <w:sz w:val="14"/>
                <w:szCs w:val="14"/>
                <w:b w:val="1"/>
                <w:bCs w:val="1"/>
                <w:color w:val="auto"/>
              </w:rPr>
              <w:t>For the Three Months Ended</w:t>
            </w:r>
          </w:p>
        </w:tc>
        <w:tc>
          <w:tcPr>
            <w:tcW w:w="200" w:type="dxa"/>
            <w:vAlign w:val="bottom"/>
          </w:tcPr>
          <w:p>
            <w:pPr>
              <w:spacing w:after="0"/>
              <w:rPr>
                <w:sz w:val="16"/>
                <w:szCs w:val="16"/>
                <w:color w:val="auto"/>
              </w:rPr>
            </w:pPr>
          </w:p>
        </w:tc>
        <w:tc>
          <w:tcPr>
            <w:tcW w:w="2140" w:type="dxa"/>
            <w:vAlign w:val="bottom"/>
            <w:gridSpan w:val="4"/>
          </w:tcPr>
          <w:p>
            <w:pPr>
              <w:jc w:val="right"/>
              <w:ind w:right="228"/>
              <w:spacing w:after="0"/>
              <w:rPr>
                <w:sz w:val="20"/>
                <w:szCs w:val="20"/>
                <w:color w:val="auto"/>
              </w:rPr>
            </w:pPr>
            <w:r>
              <w:rPr>
                <w:rFonts w:ascii="Arial" w:cs="Arial" w:eastAsia="Arial" w:hAnsi="Arial"/>
                <w:sz w:val="14"/>
                <w:szCs w:val="14"/>
                <w:b w:val="1"/>
                <w:bCs w:val="1"/>
                <w:color w:val="auto"/>
                <w:w w:val="99"/>
              </w:rPr>
              <w:t>For the Nine Months Ended</w:t>
            </w:r>
          </w:p>
        </w:tc>
      </w:tr>
      <w:tr>
        <w:trPr>
          <w:trHeight w:val="276"/>
        </w:trPr>
        <w:tc>
          <w:tcPr>
            <w:tcW w:w="6400" w:type="dxa"/>
            <w:vAlign w:val="bottom"/>
            <w:tcBorders>
              <w:bottom w:val="single" w:sz="8" w:color="auto"/>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4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20" w:type="dxa"/>
            <w:vAlign w:val="bottom"/>
            <w:tcBorders>
              <w:bottom w:val="single" w:sz="8" w:color="auto"/>
            </w:tcBorders>
          </w:tcPr>
          <w:p>
            <w:pPr>
              <w:spacing w:after="0"/>
              <w:rPr>
                <w:sz w:val="24"/>
                <w:szCs w:val="24"/>
                <w:color w:val="auto"/>
              </w:rPr>
            </w:pPr>
          </w:p>
        </w:tc>
      </w:tr>
      <w:tr>
        <w:trPr>
          <w:trHeight w:val="264"/>
        </w:trPr>
        <w:tc>
          <w:tcPr>
            <w:tcW w:w="65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200" w:type="dxa"/>
            <w:vAlign w:val="bottom"/>
            <w:tcBorders>
              <w:bottom w:val="single" w:sz="8" w:color="auto"/>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368"/>
              <w:spacing w:after="0"/>
              <w:rPr>
                <w:sz w:val="20"/>
                <w:szCs w:val="20"/>
                <w:color w:val="auto"/>
              </w:rPr>
            </w:pPr>
            <w:r>
              <w:rPr>
                <w:rFonts w:ascii="Arial" w:cs="Arial" w:eastAsia="Arial" w:hAnsi="Arial"/>
                <w:sz w:val="14"/>
                <w:szCs w:val="14"/>
                <w:b w:val="1"/>
                <w:bCs w:val="1"/>
                <w:color w:val="auto"/>
              </w:rPr>
              <w:t>2019</w:t>
            </w:r>
          </w:p>
        </w:tc>
        <w:tc>
          <w:tcPr>
            <w:tcW w:w="120" w:type="dxa"/>
            <w:vAlign w:val="bottom"/>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w w:val="96"/>
              </w:rPr>
              <w:t>2018</w:t>
            </w:r>
          </w:p>
        </w:tc>
        <w:tc>
          <w:tcPr>
            <w:tcW w:w="12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100" w:type="dxa"/>
            <w:vAlign w:val="bottom"/>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w w:val="89"/>
              </w:rPr>
              <w:t>2018</w:t>
            </w:r>
          </w:p>
        </w:tc>
      </w:tr>
      <w:tr>
        <w:trPr>
          <w:trHeight w:val="250"/>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4,743.0</w:t>
            </w:r>
          </w:p>
        </w:tc>
        <w:tc>
          <w:tcPr>
            <w:tcW w:w="120" w:type="dxa"/>
            <w:vAlign w:val="bottom"/>
          </w:tcPr>
          <w:p>
            <w:pPr>
              <w:spacing w:after="0"/>
              <w:rPr>
                <w:sz w:val="21"/>
                <w:szCs w:val="21"/>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5,025.3</w:t>
            </w:r>
          </w:p>
        </w:tc>
        <w:tc>
          <w:tcPr>
            <w:tcW w:w="120" w:type="dxa"/>
            <w:vAlign w:val="bottom"/>
          </w:tcPr>
          <w:p>
            <w:pPr>
              <w:spacing w:after="0"/>
              <w:rPr>
                <w:sz w:val="21"/>
                <w:szCs w:val="21"/>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13,780.8</w:t>
            </w:r>
          </w:p>
        </w:tc>
        <w:tc>
          <w:tcPr>
            <w:tcW w:w="100" w:type="dxa"/>
            <w:vAlign w:val="bottom"/>
          </w:tcPr>
          <w:p>
            <w:pPr>
              <w:spacing w:after="0"/>
              <w:rPr>
                <w:sz w:val="21"/>
                <w:szCs w:val="21"/>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14,218.9</w:t>
            </w: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2,555.8</w:t>
            </w: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2,854.4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7,712.4</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8,675.3</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2,023.9</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2,549.8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5,967.7</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6,867.5</w:t>
            </w:r>
          </w:p>
        </w:tc>
      </w:tr>
      <w:tr>
        <w:trPr>
          <w:trHeight w:val="237"/>
        </w:trPr>
        <w:tc>
          <w:tcPr>
            <w:tcW w:w="6400" w:type="dxa"/>
            <w:vAlign w:val="bottom"/>
            <w:tcBorders>
              <w:top w:val="single" w:sz="8" w:color="auto"/>
              <w:bottom w:val="single" w:sz="8" w:color="auto"/>
            </w:tcBorders>
            <w:shd w:val="clear" w:color="auto" w:fill="CCEEFF"/>
          </w:tcPr>
          <w:p>
            <w:pPr>
              <w:spacing w:after="0"/>
              <w:rPr>
                <w:sz w:val="20"/>
                <w:szCs w:val="20"/>
                <w:color w:val="auto"/>
              </w:rPr>
            </w:pP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9,322.7</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10,429.5</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27,460.9</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29,761.7</w:t>
            </w:r>
          </w:p>
        </w:tc>
      </w:tr>
      <w:tr>
        <w:trPr>
          <w:trHeight w:val="20"/>
        </w:trPr>
        <w:tc>
          <w:tcPr>
            <w:tcW w:w="6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64"/>
        </w:trPr>
        <w:tc>
          <w:tcPr>
            <w:tcW w:w="6540" w:type="dxa"/>
            <w:vAlign w:val="bottom"/>
            <w:gridSpan w:val="2"/>
          </w:tcPr>
          <w:p>
            <w:pPr>
              <w:ind w:left="40"/>
              <w:spacing w:after="0"/>
              <w:rPr>
                <w:sz w:val="20"/>
                <w:szCs w:val="20"/>
                <w:color w:val="auto"/>
              </w:rPr>
            </w:pPr>
            <w:r>
              <w:rPr>
                <w:rFonts w:ascii="Arial" w:cs="Arial" w:eastAsia="Arial" w:hAnsi="Arial"/>
                <w:sz w:val="14"/>
                <w:szCs w:val="14"/>
                <w:color w:val="auto"/>
              </w:rPr>
              <w:t>Gross profit:</w:t>
            </w:r>
          </w:p>
        </w:tc>
        <w:tc>
          <w:tcPr>
            <w:tcW w:w="2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156.9</w:t>
            </w: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140.7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411.7</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378.0</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95.4</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83.0</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288.6</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273.8</w:t>
            </w:r>
          </w:p>
        </w:tc>
      </w:tr>
      <w:tr>
        <w:trPr>
          <w:trHeight w:val="270"/>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53.4</w:t>
            </w:r>
          </w:p>
        </w:tc>
        <w:tc>
          <w:tcPr>
            <w:tcW w:w="12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43.0</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125.0</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104.5</w:t>
            </w:r>
          </w:p>
        </w:tc>
      </w:tr>
      <w:tr>
        <w:trPr>
          <w:trHeight w:val="277"/>
        </w:trPr>
        <w:tc>
          <w:tcPr>
            <w:tcW w:w="640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305.7</w:t>
            </w:r>
          </w:p>
        </w:tc>
        <w:tc>
          <w:tcPr>
            <w:tcW w:w="12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266.7</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825.3</w:t>
            </w:r>
          </w:p>
        </w:tc>
        <w:tc>
          <w:tcPr>
            <w:tcW w:w="10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756.3</w:t>
            </w:r>
          </w:p>
        </w:tc>
      </w:tr>
      <w:tr>
        <w:trPr>
          <w:trHeight w:val="270"/>
        </w:trPr>
        <w:tc>
          <w:tcPr>
            <w:tcW w:w="65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Income from operations:</w:t>
            </w:r>
          </w:p>
        </w:tc>
        <w:tc>
          <w:tcPr>
            <w:tcW w:w="2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86.3</w:t>
            </w:r>
          </w:p>
        </w:tc>
        <w:tc>
          <w:tcPr>
            <w:tcW w:w="120" w:type="dxa"/>
            <w:vAlign w:val="bottom"/>
          </w:tcPr>
          <w:p>
            <w:pPr>
              <w:spacing w:after="0"/>
              <w:rPr>
                <w:sz w:val="22"/>
                <w:szCs w:val="22"/>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76.4</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215.4</w:t>
            </w:r>
          </w:p>
        </w:tc>
        <w:tc>
          <w:tcPr>
            <w:tcW w:w="100" w:type="dxa"/>
            <w:vAlign w:val="bottom"/>
          </w:tcPr>
          <w:p>
            <w:pPr>
              <w:spacing w:after="0"/>
              <w:rPr>
                <w:sz w:val="22"/>
                <w:szCs w:val="22"/>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188.3</w:t>
            </w: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13.4</w:t>
            </w: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46.2</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37.7</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20.6</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14.4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44.2</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30.9</w:t>
            </w:r>
          </w:p>
        </w:tc>
      </w:tr>
      <w:tr>
        <w:trPr>
          <w:trHeight w:val="256"/>
        </w:trPr>
        <w:tc>
          <w:tcPr>
            <w:tcW w:w="640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120.3</w:t>
            </w:r>
          </w:p>
        </w:tc>
        <w:tc>
          <w:tcPr>
            <w:tcW w:w="12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spacing w:after="0"/>
              <w:rPr>
                <w:sz w:val="22"/>
                <w:szCs w:val="22"/>
                <w:color w:val="auto"/>
              </w:rPr>
            </w:pPr>
          </w:p>
        </w:tc>
        <w:tc>
          <w:tcPr>
            <w:tcW w:w="7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98.6</w:t>
            </w:r>
          </w:p>
        </w:tc>
        <w:tc>
          <w:tcPr>
            <w:tcW w:w="12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305.9</w:t>
            </w:r>
          </w:p>
        </w:tc>
        <w:tc>
          <w:tcPr>
            <w:tcW w:w="10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spacing w:after="0"/>
              <w:rPr>
                <w:sz w:val="22"/>
                <w:szCs w:val="22"/>
                <w:color w:val="auto"/>
              </w:rPr>
            </w:pPr>
          </w:p>
        </w:tc>
        <w:tc>
          <w:tcPr>
            <w:tcW w:w="7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256.9</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Corporate overhead - unallocated</w:t>
            </w:r>
          </w:p>
        </w:tc>
        <w:tc>
          <w:tcPr>
            <w:tcW w:w="200" w:type="dxa"/>
            <w:vAlign w:val="bottom"/>
          </w:tcPr>
          <w:p>
            <w:pPr>
              <w:spacing w:after="0"/>
              <w:rPr>
                <w:sz w:val="22"/>
                <w:szCs w:val="22"/>
                <w:color w:val="auto"/>
              </w:rPr>
            </w:pPr>
          </w:p>
        </w:tc>
        <w:tc>
          <w:tcPr>
            <w:tcW w:w="960" w:type="dxa"/>
            <w:vAlign w:val="bottom"/>
          </w:tcPr>
          <w:p>
            <w:pPr>
              <w:jc w:val="right"/>
              <w:ind w:right="8"/>
              <w:spacing w:after="0"/>
              <w:rPr>
                <w:sz w:val="20"/>
                <w:szCs w:val="20"/>
                <w:color w:val="auto"/>
              </w:rPr>
            </w:pPr>
            <w:r>
              <w:rPr>
                <w:rFonts w:ascii="Arial" w:cs="Arial" w:eastAsia="Arial" w:hAnsi="Arial"/>
                <w:sz w:val="14"/>
                <w:szCs w:val="14"/>
                <w:color w:val="auto"/>
              </w:rPr>
              <w:t>(26.7)</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(20.5)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(66.7)</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(60.4)</w:t>
            </w:r>
          </w:p>
        </w:tc>
      </w:tr>
      <w:tr>
        <w:trPr>
          <w:trHeight w:val="237"/>
        </w:trPr>
        <w:tc>
          <w:tcPr>
            <w:tcW w:w="6400" w:type="dxa"/>
            <w:vAlign w:val="bottom"/>
            <w:tcBorders>
              <w:top w:val="single" w:sz="8" w:color="auto"/>
              <w:bottom w:val="single" w:sz="8" w:color="auto"/>
            </w:tcBorders>
            <w:shd w:val="clear" w:color="auto" w:fill="CCEEFF"/>
          </w:tcPr>
          <w:p>
            <w:pPr>
              <w:spacing w:after="0"/>
              <w:rPr>
                <w:sz w:val="20"/>
                <w:szCs w:val="20"/>
                <w:color w:val="auto"/>
              </w:rPr>
            </w:pP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93.6</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78.2</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239.2</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196.4</w:t>
            </w:r>
          </w:p>
        </w:tc>
      </w:tr>
      <w:tr>
        <w:trPr>
          <w:trHeight w:val="20"/>
        </w:trPr>
        <w:tc>
          <w:tcPr>
            <w:tcW w:w="6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SALES VOLUME SUPPLEMENTAL INFORMATION</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500" w:type="dxa"/>
            <w:vAlign w:val="bottom"/>
            <w:gridSpan w:val="5"/>
          </w:tcPr>
          <w:p>
            <w:pPr>
              <w:jc w:val="center"/>
              <w:ind w:right="100"/>
              <w:spacing w:after="0"/>
              <w:rPr>
                <w:sz w:val="20"/>
                <w:szCs w:val="20"/>
                <w:color w:val="auto"/>
              </w:rPr>
            </w:pPr>
            <w:r>
              <w:rPr>
                <w:rFonts w:ascii="Arial" w:cs="Arial" w:eastAsia="Arial" w:hAnsi="Arial"/>
                <w:sz w:val="14"/>
                <w:szCs w:val="14"/>
                <w:b w:val="1"/>
                <w:bCs w:val="1"/>
                <w:color w:val="auto"/>
                <w:w w:val="94"/>
              </w:rPr>
              <w:t>For the Three Months Ended</w:t>
            </w:r>
          </w:p>
        </w:tc>
        <w:tc>
          <w:tcPr>
            <w:tcW w:w="2380" w:type="dxa"/>
            <w:vAlign w:val="bottom"/>
            <w:gridSpan w:val="4"/>
          </w:tcPr>
          <w:p>
            <w:pPr>
              <w:jc w:val="center"/>
              <w:spacing w:after="0"/>
              <w:rPr>
                <w:sz w:val="20"/>
                <w:szCs w:val="20"/>
                <w:color w:val="auto"/>
              </w:rPr>
            </w:pPr>
            <w:r>
              <w:rPr>
                <w:rFonts w:ascii="Arial" w:cs="Arial" w:eastAsia="Arial" w:hAnsi="Arial"/>
                <w:sz w:val="14"/>
                <w:szCs w:val="14"/>
                <w:b w:val="1"/>
                <w:bCs w:val="1"/>
                <w:color w:val="auto"/>
                <w:w w:val="94"/>
              </w:rPr>
              <w:t>For the Nine Months Ended</w:t>
            </w:r>
          </w:p>
        </w:tc>
      </w:tr>
      <w:tr>
        <w:trPr>
          <w:trHeight w:val="276"/>
        </w:trPr>
        <w:tc>
          <w:tcPr>
            <w:tcW w:w="640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660" w:type="dxa"/>
            <w:vAlign w:val="bottom"/>
            <w:tcBorders>
              <w:bottom w:val="single" w:sz="8" w:color="auto"/>
            </w:tcBorders>
            <w:gridSpan w:val="3"/>
          </w:tcPr>
          <w:p>
            <w:pPr>
              <w:jc w:val="center"/>
              <w:ind w:left="668"/>
              <w:spacing w:after="0"/>
              <w:rPr>
                <w:sz w:val="20"/>
                <w:szCs w:val="20"/>
                <w:color w:val="auto"/>
              </w:rPr>
            </w:pPr>
            <w:r>
              <w:rPr>
                <w:rFonts w:ascii="Arial" w:cs="Arial" w:eastAsia="Arial" w:hAnsi="Arial"/>
                <w:sz w:val="14"/>
                <w:szCs w:val="14"/>
                <w:b w:val="1"/>
                <w:bCs w:val="1"/>
                <w:color w:val="auto"/>
                <w:w w:val="91"/>
              </w:rPr>
              <w:t>September 30,</w:t>
            </w:r>
          </w:p>
        </w:tc>
        <w:tc>
          <w:tcPr>
            <w:tcW w:w="7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Borders>
              <w:bottom w:val="single" w:sz="8" w:color="auto"/>
            </w:tcBorders>
            <w:gridSpan w:val="3"/>
          </w:tcPr>
          <w:p>
            <w:pPr>
              <w:jc w:val="center"/>
              <w:ind w:left="668"/>
              <w:spacing w:after="0"/>
              <w:rPr>
                <w:sz w:val="20"/>
                <w:szCs w:val="20"/>
                <w:color w:val="auto"/>
              </w:rPr>
            </w:pPr>
            <w:r>
              <w:rPr>
                <w:rFonts w:ascii="Arial" w:cs="Arial" w:eastAsia="Arial" w:hAnsi="Arial"/>
                <w:sz w:val="14"/>
                <w:szCs w:val="14"/>
                <w:b w:val="1"/>
                <w:bCs w:val="1"/>
                <w:color w:val="auto"/>
                <w:w w:val="91"/>
              </w:rPr>
              <w:t>September 30,</w:t>
            </w:r>
          </w:p>
        </w:tc>
        <w:tc>
          <w:tcPr>
            <w:tcW w:w="720" w:type="dxa"/>
            <w:vAlign w:val="bottom"/>
            <w:tcBorders>
              <w:bottom w:val="single" w:sz="8" w:color="auto"/>
            </w:tcBorders>
          </w:tcPr>
          <w:p>
            <w:pPr>
              <w:spacing w:after="0"/>
              <w:rPr>
                <w:sz w:val="24"/>
                <w:szCs w:val="24"/>
                <w:color w:val="auto"/>
              </w:rPr>
            </w:pPr>
          </w:p>
        </w:tc>
      </w:tr>
      <w:tr>
        <w:trPr>
          <w:trHeight w:val="264"/>
        </w:trPr>
        <w:tc>
          <w:tcPr>
            <w:tcW w:w="654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Volume (Gallons):</w:t>
            </w:r>
          </w:p>
        </w:tc>
        <w:tc>
          <w:tcPr>
            <w:tcW w:w="116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CCEEFF"/>
            </w:tcBorders>
          </w:tcPr>
          <w:p>
            <w:pPr>
              <w:spacing w:after="0"/>
              <w:rPr>
                <w:sz w:val="22"/>
                <w:szCs w:val="22"/>
                <w:color w:val="auto"/>
              </w:rPr>
            </w:pPr>
          </w:p>
        </w:tc>
        <w:tc>
          <w:tcPr>
            <w:tcW w:w="11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w w:val="89"/>
              </w:rPr>
              <w:t>2018</w:t>
            </w:r>
          </w:p>
        </w:tc>
      </w:tr>
      <w:tr>
        <w:trPr>
          <w:trHeight w:val="256"/>
        </w:trPr>
        <w:tc>
          <w:tcPr>
            <w:tcW w:w="654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Aviation Segment</w:t>
            </w: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2,174.6</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2,089.5</w:t>
            </w: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6,289.1</w:t>
            </w: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6,146.8</w:t>
            </w:r>
          </w:p>
        </w:tc>
      </w:tr>
      <w:tr>
        <w:trPr>
          <w:trHeight w:val="264"/>
        </w:trPr>
        <w:tc>
          <w:tcPr>
            <w:tcW w:w="6540" w:type="dxa"/>
            <w:vAlign w:val="bottom"/>
            <w:gridSpan w:val="2"/>
          </w:tcPr>
          <w:p>
            <w:pPr>
              <w:ind w:left="280"/>
              <w:spacing w:after="0"/>
              <w:rPr>
                <w:sz w:val="20"/>
                <w:szCs w:val="20"/>
                <w:color w:val="auto"/>
              </w:rPr>
            </w:pPr>
            <w:r>
              <w:rPr>
                <w:rFonts w:ascii="Arial" w:cs="Arial" w:eastAsia="Arial" w:hAnsi="Arial"/>
                <w:sz w:val="14"/>
                <w:szCs w:val="14"/>
                <w:color w:val="auto"/>
              </w:rPr>
              <w:t xml:space="preserve">Land Segment </w:t>
            </w:r>
            <w:r>
              <w:rPr>
                <w:rFonts w:ascii="Arial" w:cs="Arial" w:eastAsia="Arial" w:hAnsi="Arial"/>
                <w:sz w:val="8"/>
                <w:szCs w:val="8"/>
                <w:color w:val="auto"/>
              </w:rPr>
              <w:t>(1)</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1,350.7</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1,344.6</w:t>
            </w:r>
          </w:p>
        </w:tc>
        <w:tc>
          <w:tcPr>
            <w:tcW w:w="10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4,025.9</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4,235.3</w:t>
            </w:r>
          </w:p>
        </w:tc>
      </w:tr>
      <w:tr>
        <w:trPr>
          <w:trHeight w:val="270"/>
        </w:trPr>
        <w:tc>
          <w:tcPr>
            <w:tcW w:w="640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 xml:space="preserve">Marine Segment </w:t>
            </w:r>
            <w:r>
              <w:rPr>
                <w:rFonts w:ascii="Arial" w:cs="Arial" w:eastAsia="Arial" w:hAnsi="Arial"/>
                <w:sz w:val="8"/>
                <w:szCs w:val="8"/>
                <w:color w:val="auto"/>
              </w:rPr>
              <w:t>(2)</w:t>
            </w:r>
          </w:p>
        </w:tc>
        <w:tc>
          <w:tcPr>
            <w:tcW w:w="140" w:type="dxa"/>
            <w:vAlign w:val="bottom"/>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1,457.2</w:t>
            </w:r>
          </w:p>
        </w:tc>
        <w:tc>
          <w:tcPr>
            <w:tcW w:w="10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1,575.0</w:t>
            </w: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4,178.8</w:t>
            </w:r>
          </w:p>
        </w:tc>
        <w:tc>
          <w:tcPr>
            <w:tcW w:w="10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4,653.9</w:t>
            </w:r>
          </w:p>
        </w:tc>
      </w:tr>
      <w:tr>
        <w:trPr>
          <w:trHeight w:val="237"/>
        </w:trPr>
        <w:tc>
          <w:tcPr>
            <w:tcW w:w="6540" w:type="dxa"/>
            <w:vAlign w:val="bottom"/>
            <w:gridSpan w:val="2"/>
          </w:tcPr>
          <w:p>
            <w:pPr>
              <w:ind w:left="280"/>
              <w:spacing w:after="0"/>
              <w:rPr>
                <w:sz w:val="20"/>
                <w:szCs w:val="20"/>
                <w:color w:val="auto"/>
              </w:rPr>
            </w:pPr>
            <w:r>
              <w:rPr>
                <w:rFonts w:ascii="Arial" w:cs="Arial" w:eastAsia="Arial" w:hAnsi="Arial"/>
                <w:sz w:val="14"/>
                <w:szCs w:val="14"/>
                <w:color w:val="auto"/>
              </w:rPr>
              <w:t>Consolidated Total</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4,982.5</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5,009.1</w:t>
            </w:r>
          </w:p>
        </w:tc>
        <w:tc>
          <w:tcPr>
            <w:tcW w:w="100" w:type="dxa"/>
            <w:vAlign w:val="bottom"/>
          </w:tcPr>
          <w:p>
            <w:pPr>
              <w:spacing w:after="0"/>
              <w:rPr>
                <w:sz w:val="20"/>
                <w:szCs w:val="20"/>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14,493.9</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15,036.1</w:t>
            </w:r>
          </w:p>
        </w:tc>
      </w:tr>
      <w:tr>
        <w:trPr>
          <w:trHeight w:val="20"/>
        </w:trPr>
        <w:tc>
          <w:tcPr>
            <w:tcW w:w="6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gallons and gallon equivalents of British Thermal Units (BTU) for our natural gas sales and Kilowatt Hours (kWh) for our Kinect power business.</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5"/>
        </w:numPr>
        <w:rPr>
          <w:rFonts w:ascii="Arial" w:cs="Arial" w:eastAsia="Arial" w:hAnsi="Arial"/>
          <w:sz w:val="13"/>
          <w:szCs w:val="13"/>
          <w:color w:val="auto"/>
        </w:rPr>
      </w:pPr>
      <w:r>
        <w:rPr>
          <w:rFonts w:ascii="Arial" w:cs="Arial" w:eastAsia="Arial" w:hAnsi="Arial"/>
          <w:sz w:val="13"/>
          <w:szCs w:val="13"/>
          <w:color w:val="auto"/>
        </w:rPr>
        <w:t>Converted from metric tons to gallons at a rate of 264 gallons per metric ton. Marine segment metric tons were 5.5 and 15.8 for the three and nine months ended September 30, 2019.</w: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color w:val="auto"/>
        </w:rPr>
        <w:t>CONTACT: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World Fuel Services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Ira M Birns, 305-428-8000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&amp; Chief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Glenn Klevitz, 305-428-8000</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Treasurer &amp; Investor Relations</w:t>
      </w:r>
    </w:p>
    <w:sectPr>
      <w:pgSz w:w="11900" w:h="16838" w:orient="portrait"/>
      <w:cols w:equalWidth="0" w:num="1">
        <w:col w:w="11420"/>
      </w:cols>
      <w:pgMar w:left="240" w:top="79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2019-12-28T04:22:35Z</dcterms:created>
  <dcterms:modified xsi:type="dcterms:W3CDTF">2019-12-28T04:22:35Z</dcterms:modified>
</cp:coreProperties>
</file>