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7"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9"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April 20, 2020</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WORLD FUEL SERVICES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215" w:right="339" w:bottom="1440" w:gutter="0" w:footer="0" w:header="0"/>
        </w:sectPr>
      </w:pPr>
    </w:p>
    <w:p>
      <w:pPr>
        <w:spacing w:after="0" w:line="232" w:lineRule="exact"/>
        <w:rPr>
          <w:sz w:val="24"/>
          <w:szCs w:val="24"/>
          <w:color w:val="auto"/>
        </w:rPr>
      </w:pPr>
    </w:p>
    <w:p>
      <w:pPr>
        <w:jc w:val="center"/>
        <w:ind w:right="200"/>
        <w:spacing w:after="0"/>
        <w:rPr>
          <w:sz w:val="20"/>
          <w:szCs w:val="20"/>
          <w:color w:val="auto"/>
        </w:rPr>
      </w:pPr>
      <w:r>
        <w:rPr>
          <w:rFonts w:ascii="Arial" w:cs="Arial" w:eastAsia="Arial" w:hAnsi="Arial"/>
          <w:sz w:val="18"/>
          <w:szCs w:val="18"/>
          <w:b w:val="1"/>
          <w:bCs w:val="1"/>
          <w:color w:val="auto"/>
        </w:rPr>
        <w:t>Florida</w:t>
      </w:r>
    </w:p>
    <w:p>
      <w:pPr>
        <w:spacing w:after="0" w:line="27" w:lineRule="exact"/>
        <w:rPr>
          <w:sz w:val="24"/>
          <w:szCs w:val="24"/>
          <w:color w:val="auto"/>
        </w:rPr>
      </w:pPr>
    </w:p>
    <w:p>
      <w:pPr>
        <w:jc w:val="center"/>
        <w:ind w:right="2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740"/>
        <w:spacing w:after="0"/>
        <w:rPr>
          <w:sz w:val="20"/>
          <w:szCs w:val="20"/>
          <w:color w:val="auto"/>
        </w:rPr>
      </w:pPr>
      <w:r>
        <w:rPr>
          <w:rFonts w:ascii="Arial" w:cs="Arial" w:eastAsia="Arial" w:hAnsi="Arial"/>
          <w:sz w:val="18"/>
          <w:szCs w:val="18"/>
          <w:b w:val="1"/>
          <w:bCs w:val="1"/>
          <w:color w:val="auto"/>
        </w:rPr>
        <w:t>001-09533</w:t>
      </w:r>
    </w:p>
    <w:p>
      <w:pPr>
        <w:spacing w:after="0" w:line="27" w:lineRule="exact"/>
        <w:rPr>
          <w:sz w:val="24"/>
          <w:szCs w:val="24"/>
          <w:color w:val="auto"/>
        </w:rPr>
      </w:pPr>
    </w:p>
    <w:p>
      <w:pPr>
        <w:jc w:val="center"/>
        <w:ind w:right="7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540"/>
        <w:spacing w:after="0"/>
        <w:rPr>
          <w:sz w:val="20"/>
          <w:szCs w:val="20"/>
          <w:color w:val="auto"/>
        </w:rPr>
      </w:pPr>
      <w:r>
        <w:rPr>
          <w:rFonts w:ascii="Arial" w:cs="Arial" w:eastAsia="Arial" w:hAnsi="Arial"/>
          <w:sz w:val="18"/>
          <w:szCs w:val="18"/>
          <w:b w:val="1"/>
          <w:bCs w:val="1"/>
          <w:color w:val="auto"/>
        </w:rPr>
        <w:t>59-2459427</w:t>
      </w:r>
    </w:p>
    <w:p>
      <w:pPr>
        <w:spacing w:after="0" w:line="27" w:lineRule="exact"/>
        <w:rPr>
          <w:sz w:val="24"/>
          <w:szCs w:val="24"/>
          <w:color w:val="auto"/>
        </w:rPr>
      </w:pPr>
    </w:p>
    <w:p>
      <w:pPr>
        <w:jc w:val="center"/>
        <w:ind w:right="540"/>
        <w:spacing w:after="0"/>
        <w:rPr>
          <w:sz w:val="20"/>
          <w:szCs w:val="20"/>
          <w:color w:val="auto"/>
        </w:rPr>
      </w:pPr>
      <w:r>
        <w:rPr>
          <w:rFonts w:ascii="Arial" w:cs="Arial" w:eastAsia="Arial" w:hAnsi="Arial"/>
          <w:sz w:val="17"/>
          <w:szCs w:val="17"/>
          <w:color w:val="auto"/>
        </w:rPr>
        <w:t>(I.R.S. Employer Identification No.)</w:t>
      </w:r>
    </w:p>
    <w:p>
      <w:pPr>
        <w:spacing w:after="0" w:line="200" w:lineRule="exact"/>
        <w:rPr>
          <w:sz w:val="24"/>
          <w:szCs w:val="24"/>
          <w:color w:val="auto"/>
        </w:rPr>
      </w:pPr>
    </w:p>
    <w:p>
      <w:pPr>
        <w:sectPr>
          <w:pgSz w:w="11900" w:h="16838" w:orient="portrait"/>
          <w:cols w:equalWidth="0" w:num="3">
            <w:col w:w="3920" w:space="720"/>
            <w:col w:w="2720" w:space="720"/>
            <w:col w:w="3160"/>
          </w:cols>
          <w:pgMar w:left="320" w:top="215" w:right="339" w:bottom="1440" w:gutter="0" w:footer="0" w:header="0"/>
          <w:type w:val="continuous"/>
        </w:sectPr>
      </w:pPr>
    </w:p>
    <w:p>
      <w:pPr>
        <w:spacing w:after="0" w:line="45"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9800 N.W. 41st Street</w:t>
      </w:r>
    </w:p>
    <w:p>
      <w:pPr>
        <w:spacing w:after="0" w:line="27"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Miami, Florida</w:t>
      </w:r>
    </w:p>
    <w:p>
      <w:pPr>
        <w:spacing w:after="0" w:line="9" w:lineRule="exact"/>
        <w:rPr>
          <w:sz w:val="24"/>
          <w:szCs w:val="24"/>
          <w:color w:val="auto"/>
        </w:rPr>
      </w:pPr>
    </w:p>
    <w:p>
      <w:pPr>
        <w:jc w:val="center"/>
        <w:ind w:right="17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5"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33178</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415" w:lineRule="exact"/>
        <w:rPr>
          <w:sz w:val="24"/>
          <w:szCs w:val="24"/>
          <w:color w:val="auto"/>
        </w:rPr>
      </w:pPr>
    </w:p>
    <w:p>
      <w:pPr>
        <w:sectPr>
          <w:pgSz w:w="11900" w:h="16838" w:orient="portrait"/>
          <w:cols w:equalWidth="0" w:num="2">
            <w:col w:w="7320" w:space="720"/>
            <w:col w:w="3200"/>
          </w:cols>
          <w:pgMar w:left="320" w:top="215" w:right="339" w:bottom="1440" w:gutter="0" w:footer="0" w:header="0"/>
          <w:type w:val="continuous"/>
        </w:sectPr>
      </w:pPr>
    </w:p>
    <w:p>
      <w:pPr>
        <w:spacing w:after="0" w:line="30" w:lineRule="exact"/>
        <w:rPr>
          <w:sz w:val="24"/>
          <w:szCs w:val="24"/>
          <w:color w:val="auto"/>
        </w:rPr>
      </w:pPr>
    </w:p>
    <w:p>
      <w:pPr>
        <w:jc w:val="center"/>
        <w:ind w:right="-3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56"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8"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Written communications pursuant to Rule 425 under the Securities Act (17 CFR 230.425)</w:t>
      </w:r>
    </w:p>
    <w:p>
      <w:pPr>
        <w:spacing w:after="0" w:line="37" w:lineRule="exact"/>
        <w:rPr>
          <w:rFonts w:ascii="MS PGothic" w:cs="MS PGothic" w:eastAsia="MS PGothic" w:hAnsi="MS PGothic"/>
          <w:sz w:val="22"/>
          <w:szCs w:val="22"/>
          <w:color w:val="auto"/>
        </w:rPr>
      </w:pPr>
    </w:p>
    <w:p>
      <w:pPr>
        <w:ind w:left="300" w:hanging="292"/>
        <w:spacing w:after="0" w:line="235" w:lineRule="auto"/>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13e-4(c) under the Exchange Act (17 CFR 240.13e-4(c))</w:t>
      </w:r>
    </w:p>
    <w:p>
      <w:pPr>
        <w:spacing w:after="0" w:line="19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40" w:type="dxa"/>
            <w:vAlign w:val="bottom"/>
            <w:gridSpan w:val="2"/>
          </w:tcPr>
          <w:p>
            <w:pPr>
              <w:spacing w:after="0"/>
              <w:rPr>
                <w:sz w:val="20"/>
                <w:szCs w:val="20"/>
                <w:color w:val="auto"/>
              </w:rPr>
            </w:pPr>
            <w:r>
              <w:rPr>
                <w:rFonts w:ascii="Arial" w:cs="Arial" w:eastAsia="Arial" w:hAnsi="Arial"/>
                <w:sz w:val="18"/>
                <w:szCs w:val="18"/>
                <w:color w:val="auto"/>
                <w:w w:val="98"/>
              </w:rPr>
              <w:t>Securities registered pursuant to Section 12(b) of the Act:</w:t>
            </w:r>
          </w:p>
        </w:tc>
        <w:tc>
          <w:tcPr>
            <w:tcW w:w="3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360" w:type="dxa"/>
            <w:vAlign w:val="bottom"/>
          </w:tcPr>
          <w:p>
            <w:pPr>
              <w:spacing w:after="0"/>
              <w:rPr>
                <w:sz w:val="20"/>
                <w:szCs w:val="20"/>
                <w:color w:val="auto"/>
              </w:rPr>
            </w:pPr>
            <w:r>
              <w:rPr>
                <w:rFonts w:ascii="Arial" w:cs="Arial" w:eastAsia="Arial" w:hAnsi="Arial"/>
                <w:sz w:val="18"/>
                <w:szCs w:val="18"/>
                <w:b w:val="1"/>
                <w:bCs w:val="1"/>
                <w:color w:val="auto"/>
                <w:w w:val="86"/>
              </w:rPr>
              <w:t>Title of each class</w:t>
            </w:r>
          </w:p>
        </w:tc>
        <w:tc>
          <w:tcPr>
            <w:tcW w:w="3180" w:type="dxa"/>
            <w:vAlign w:val="bottom"/>
          </w:tcPr>
          <w:p>
            <w:pPr>
              <w:spacing w:after="0"/>
              <w:rPr>
                <w:sz w:val="24"/>
                <w:szCs w:val="24"/>
                <w:color w:val="auto"/>
              </w:rPr>
            </w:pPr>
          </w:p>
        </w:tc>
        <w:tc>
          <w:tcPr>
            <w:tcW w:w="2780" w:type="dxa"/>
            <w:vAlign w:val="bottom"/>
            <w:gridSpan w:val="3"/>
          </w:tcPr>
          <w:p>
            <w:pPr>
              <w:jc w:val="center"/>
              <w:ind w:right="600"/>
              <w:spacing w:after="0"/>
              <w:rPr>
                <w:sz w:val="20"/>
                <w:szCs w:val="20"/>
                <w:color w:val="auto"/>
              </w:rPr>
            </w:pPr>
            <w:r>
              <w:rPr>
                <w:rFonts w:ascii="Arial" w:cs="Arial" w:eastAsia="Arial" w:hAnsi="Arial"/>
                <w:sz w:val="18"/>
                <w:szCs w:val="18"/>
                <w:b w:val="1"/>
                <w:bCs w:val="1"/>
                <w:color w:val="auto"/>
                <w:w w:val="89"/>
              </w:rPr>
              <w:t>Trading Symbol(s)</w:t>
            </w:r>
          </w:p>
        </w:tc>
        <w:tc>
          <w:tcPr>
            <w:tcW w:w="334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40" w:type="dxa"/>
            <w:vAlign w:val="bottom"/>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380" w:type="dxa"/>
            <w:vAlign w:val="bottom"/>
          </w:tcPr>
          <w:p>
            <w:pPr>
              <w:spacing w:after="0"/>
              <w:rPr>
                <w:sz w:val="24"/>
                <w:szCs w:val="24"/>
                <w:color w:val="auto"/>
              </w:rPr>
            </w:pPr>
          </w:p>
        </w:tc>
        <w:tc>
          <w:tcPr>
            <w:tcW w:w="2400" w:type="dxa"/>
            <w:vAlign w:val="bottom"/>
            <w:gridSpan w:val="2"/>
          </w:tcPr>
          <w:p>
            <w:pPr>
              <w:jc w:val="center"/>
              <w:ind w:right="980"/>
              <w:spacing w:after="0"/>
              <w:rPr>
                <w:sz w:val="20"/>
                <w:szCs w:val="20"/>
                <w:color w:val="auto"/>
              </w:rPr>
            </w:pPr>
            <w:r>
              <w:rPr>
                <w:rFonts w:ascii="Arial" w:cs="Arial" w:eastAsia="Arial" w:hAnsi="Arial"/>
                <w:sz w:val="18"/>
                <w:szCs w:val="18"/>
                <w:color w:val="auto"/>
              </w:rPr>
              <w:t>INT</w:t>
            </w:r>
          </w:p>
        </w:tc>
        <w:tc>
          <w:tcPr>
            <w:tcW w:w="334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85"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15" w:right="339" w:bottom="1440" w:gutter="0" w:footer="0" w:header="0"/>
          <w:type w:val="continuous"/>
        </w:sectPr>
      </w:pPr>
    </w:p>
    <w:bookmarkStart w:id="1" w:name="page2"/>
    <w:bookmarkEnd w:id="1"/>
    <w:p>
      <w:pPr>
        <w:spacing w:after="0"/>
        <w:tabs>
          <w:tab w:leader="none" w:pos="106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On April 20, 2020, World Fuel Services Corporation (the “Company”) issued a press release announcing that a conference call has been scheduled on Thursday, April 30, 2020 at 5:00PM Eastern Time to discuss the Company’s first quarter results, as well as certain forward-looking information. The Company plans to release its first quarter results after the market closes on the same date. A copy of the press release is attached hereto as Exhibit 99.1.</w:t>
      </w:r>
    </w:p>
    <w:p>
      <w:pPr>
        <w:spacing w:after="0" w:line="14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396"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Exhibits</w:t>
      </w:r>
    </w:p>
    <w:p>
      <w:pPr>
        <w:ind w:left="800"/>
        <w:spacing w:after="0" w:line="202" w:lineRule="auto"/>
        <w:tabs>
          <w:tab w:leader="none" w:pos="1900" w:val="left"/>
        </w:tabs>
        <w:rPr>
          <w:sz w:val="20"/>
          <w:szCs w:val="20"/>
          <w:color w:val="auto"/>
        </w:rPr>
      </w:pPr>
      <w:r>
        <w:rPr>
          <w:rFonts w:ascii="Arial" w:cs="Arial" w:eastAsia="Arial" w:hAnsi="Arial"/>
          <w:sz w:val="36"/>
          <w:szCs w:val="36"/>
          <w:u w:val="single" w:color="auto"/>
          <w:color w:val="auto"/>
          <w:vertAlign w:val="superscript"/>
        </w:rPr>
        <w:t>Exhibit</w:t>
      </w:r>
      <w:r>
        <w:rPr>
          <w:sz w:val="20"/>
          <w:szCs w:val="20"/>
          <w:color w:val="auto"/>
        </w:rPr>
        <w:tab/>
      </w:r>
      <w:r>
        <w:rPr>
          <w:rFonts w:ascii="Arial" w:cs="Arial" w:eastAsia="Arial" w:hAnsi="Arial"/>
          <w:sz w:val="18"/>
          <w:szCs w:val="18"/>
          <w:u w:val="single" w:color="auto"/>
          <w:color w:val="auto"/>
        </w:rPr>
        <w:t>Description</w:t>
      </w:r>
    </w:p>
    <w:p>
      <w:pPr>
        <w:spacing w:after="0" w:line="109" w:lineRule="exact"/>
        <w:rPr>
          <w:sz w:val="20"/>
          <w:szCs w:val="20"/>
          <w:color w:val="auto"/>
        </w:rPr>
      </w:pPr>
    </w:p>
    <w:p>
      <w:pPr>
        <w:ind w:left="800"/>
        <w:spacing w:after="0"/>
        <w:rPr>
          <w:sz w:val="20"/>
          <w:szCs w:val="20"/>
          <w:color w:val="auto"/>
        </w:rPr>
      </w:pPr>
      <w:r>
        <w:rPr>
          <w:rFonts w:ascii="Arial" w:cs="Arial" w:eastAsia="Arial" w:hAnsi="Arial"/>
          <w:sz w:val="18"/>
          <w:szCs w:val="18"/>
          <w:u w:val="single" w:color="auto"/>
          <w:color w:val="auto"/>
        </w:rPr>
        <w:t>No.</w:t>
      </w:r>
    </w:p>
    <w:p>
      <w:pPr>
        <w:spacing w:after="0" w:line="209" w:lineRule="exact"/>
        <w:rPr>
          <w:sz w:val="20"/>
          <w:szCs w:val="20"/>
          <w:color w:val="auto"/>
        </w:rPr>
      </w:pPr>
    </w:p>
    <w:p>
      <w:pPr>
        <w:ind w:left="1040"/>
        <w:spacing w:after="0"/>
        <w:tabs>
          <w:tab w:leader="none" w:pos="19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Press Release, dated April 20,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280670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spacing w:after="0"/>
        <w:tabs>
          <w:tab w:leader="none" w:pos="5620" w:val="left"/>
        </w:tabs>
        <w:rPr>
          <w:sz w:val="20"/>
          <w:szCs w:val="20"/>
          <w:color w:val="auto"/>
        </w:rPr>
      </w:pPr>
      <w:r>
        <w:rPr>
          <w:rFonts w:ascii="Arial" w:cs="Arial" w:eastAsia="Arial" w:hAnsi="Arial"/>
          <w:sz w:val="18"/>
          <w:szCs w:val="18"/>
          <w:color w:val="auto"/>
        </w:rPr>
        <w:t>Date: April 20, 2020</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245"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4695" cy="17145"/>
                    </a:xfrm>
                    <a:prstGeom prst="rect">
                      <a:avLst/>
                    </a:prstGeom>
                    <a:noFill/>
                  </pic:spPr>
                </pic:pic>
              </a:graphicData>
            </a:graphic>
          </wp:anchor>
        </w:drawing>
      </w:r>
    </w:p>
    <w:p>
      <w:pPr>
        <w:spacing w:after="0" w:line="1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R. Alexander Lake</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Executive Vice President, Chief Legal Officer</w:t>
      </w:r>
    </w:p>
    <w:p>
      <w:pPr>
        <w:spacing w:after="0" w:line="9"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EXHIBIT INDEX</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140" w:type="dxa"/>
            <w:vAlign w:val="bottom"/>
          </w:tcPr>
          <w:p>
            <w:pPr>
              <w:spacing w:after="0"/>
              <w:rPr>
                <w:sz w:val="20"/>
                <w:szCs w:val="20"/>
                <w:color w:val="auto"/>
              </w:rPr>
            </w:pPr>
            <w:r>
              <w:rPr>
                <w:rFonts w:ascii="Arial" w:cs="Arial" w:eastAsia="Arial" w:hAnsi="Arial"/>
                <w:sz w:val="18"/>
                <w:szCs w:val="18"/>
                <w:color w:val="auto"/>
              </w:rPr>
              <w:t>Exhibit</w:t>
            </w:r>
          </w:p>
        </w:tc>
        <w:tc>
          <w:tcPr>
            <w:tcW w:w="10100" w:type="dxa"/>
            <w:vAlign w:val="bottom"/>
            <w:gridSpan w:val="2"/>
          </w:tcPr>
          <w:p>
            <w:pPr>
              <w:ind w:left="440"/>
              <w:spacing w:after="0"/>
              <w:rPr>
                <w:sz w:val="20"/>
                <w:szCs w:val="20"/>
                <w:color w:val="auto"/>
              </w:rPr>
            </w:pPr>
            <w:r>
              <w:rPr>
                <w:rFonts w:ascii="Arial" w:cs="Arial" w:eastAsia="Arial" w:hAnsi="Arial"/>
                <w:sz w:val="18"/>
                <w:szCs w:val="18"/>
                <w:color w:val="auto"/>
              </w:rPr>
              <w:t>Description</w:t>
            </w:r>
          </w:p>
        </w:tc>
      </w:tr>
      <w:tr>
        <w:trPr>
          <w:trHeight w:val="230"/>
        </w:trPr>
        <w:tc>
          <w:tcPr>
            <w:tcW w:w="1140" w:type="dxa"/>
            <w:vAlign w:val="bottom"/>
            <w:tcBorders>
              <w:top w:val="single" w:sz="8" w:color="auto"/>
            </w:tcBorders>
          </w:tcPr>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99.1</w:t>
              </w:r>
            </w:hyperlink>
          </w:p>
        </w:tc>
        <w:tc>
          <w:tcPr>
            <w:tcW w:w="440" w:type="dxa"/>
            <w:vAlign w:val="bottom"/>
          </w:tcPr>
          <w:p>
            <w:pPr>
              <w:spacing w:after="0"/>
              <w:rPr>
                <w:sz w:val="20"/>
                <w:szCs w:val="20"/>
                <w:color w:val="auto"/>
              </w:rPr>
            </w:pPr>
          </w:p>
        </w:tc>
        <w:tc>
          <w:tcPr>
            <w:tcW w:w="9660" w:type="dxa"/>
            <w:vAlign w:val="bottom"/>
            <w:tcBorders>
              <w:top w:val="single" w:sz="8" w:color="auto"/>
            </w:tcBorders>
          </w:tcPr>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Press Release, dated April 20, 2020.</w:t>
              </w:r>
            </w:hyperlink>
          </w:p>
        </w:tc>
      </w:tr>
    </w:tbl>
    <w:p>
      <w:pPr>
        <w:sectPr>
          <w:pgSz w:w="11900" w:h="16838" w:orient="portrait"/>
          <w:cols w:equalWidth="0" w:num="1">
            <w:col w:w="11240"/>
          </w:cols>
          <w:pgMar w:left="320" w:top="341" w:right="339"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to Host First Quarter 2020 Earnings Conference Call</w:t>
      </w:r>
    </w:p>
    <w:p>
      <w:pPr>
        <w:spacing w:after="0" w:line="227" w:lineRule="exact"/>
        <w:rPr>
          <w:sz w:val="20"/>
          <w:szCs w:val="20"/>
          <w:color w:val="auto"/>
        </w:rPr>
      </w:pPr>
    </w:p>
    <w:p>
      <w:pPr>
        <w:ind w:right="260"/>
        <w:spacing w:after="0" w:line="238" w:lineRule="auto"/>
        <w:rPr>
          <w:sz w:val="20"/>
          <w:szCs w:val="20"/>
          <w:color w:val="auto"/>
        </w:rPr>
      </w:pPr>
      <w:r>
        <w:rPr>
          <w:rFonts w:ascii="Arial" w:cs="Arial" w:eastAsia="Arial" w:hAnsi="Arial"/>
          <w:sz w:val="22"/>
          <w:szCs w:val="22"/>
          <w:color w:val="auto"/>
        </w:rPr>
        <w:t>MIAMI--(BUSINESS WIRE)--April 20, 2020--World Fuel Services Corporation (NYSE:INT) invites you to participate in a conference call with its management team on Thursday, April 30, 2020 at 5:00PM Eastern Time to discuss the Company’s first quarter results, as well as certain forward-looking information. The Company plans to release its first quarter results after the market closes on the same date.</w:t>
      </w:r>
    </w:p>
    <w:p>
      <w:pPr>
        <w:spacing w:after="0" w:line="185" w:lineRule="exact"/>
        <w:rPr>
          <w:sz w:val="20"/>
          <w:szCs w:val="20"/>
          <w:color w:val="auto"/>
        </w:rPr>
      </w:pPr>
    </w:p>
    <w:p>
      <w:pPr>
        <w:jc w:val="both"/>
        <w:ind w:right="240"/>
        <w:spacing w:after="0" w:line="297" w:lineRule="auto"/>
        <w:rPr>
          <w:sz w:val="20"/>
          <w:szCs w:val="20"/>
          <w:color w:val="auto"/>
        </w:rPr>
      </w:pPr>
      <w:r>
        <w:rPr>
          <w:rFonts w:ascii="Arial" w:cs="Arial" w:eastAsia="Arial" w:hAnsi="Arial"/>
          <w:sz w:val="19"/>
          <w:szCs w:val="19"/>
          <w:color w:val="auto"/>
        </w:rPr>
        <w:t>The live conference call will be accessible by telephone at (800) 734-8582 (within the United States and Canada) or (212) 231-2922 (International). Audio replay of the call will be available through May 14, 2020. The replay numbers are: (800) 633-8284 (within the United States and Canada) and (402) 977-9140 (International). The call ID is 21960461.</w:t>
      </w:r>
    </w:p>
    <w:p>
      <w:pPr>
        <w:spacing w:after="0" w:line="134" w:lineRule="exact"/>
        <w:rPr>
          <w:sz w:val="20"/>
          <w:szCs w:val="20"/>
          <w:color w:val="auto"/>
        </w:rPr>
      </w:pPr>
    </w:p>
    <w:p>
      <w:pPr>
        <w:ind w:right="100"/>
        <w:spacing w:after="0" w:line="257" w:lineRule="auto"/>
        <w:rPr>
          <w:sz w:val="20"/>
          <w:szCs w:val="20"/>
          <w:color w:val="auto"/>
        </w:rPr>
      </w:pPr>
      <w:r>
        <w:rPr>
          <w:rFonts w:ascii="Arial" w:cs="Arial" w:eastAsia="Arial" w:hAnsi="Arial"/>
          <w:sz w:val="21"/>
          <w:szCs w:val="21"/>
          <w:color w:val="auto"/>
        </w:rPr>
        <w:t>The conference call will also be available via live webcast. The live webcast may be accessed by visiting the Company’s website at www.wfscorp.com and clicking on the webcast icon. An archive of the webcast will be available on the Company’s website two hours after the completion of the live call and will remain available until May 14, 2020.</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ind w:right="380"/>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supply fulfillment, energy procurement advisory services,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For more information, call 305-428-8000 or visit www.wfscorp.com.</w:t>
      </w:r>
    </w:p>
    <w:p>
      <w:pPr>
        <w:spacing w:after="0" w:line="20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Ira M. Birns</w:t>
      </w:r>
    </w:p>
    <w:p>
      <w:pPr>
        <w:spacing w:after="0" w:line="238" w:lineRule="auto"/>
        <w:rPr>
          <w:sz w:val="20"/>
          <w:szCs w:val="20"/>
          <w:color w:val="auto"/>
        </w:rPr>
      </w:pPr>
      <w:r>
        <w:rPr>
          <w:rFonts w:ascii="Arial" w:cs="Arial" w:eastAsia="Arial" w:hAnsi="Arial"/>
          <w:sz w:val="22"/>
          <w:szCs w:val="22"/>
          <w:color w:val="auto"/>
        </w:rPr>
        <w:t>Executive Vice President &amp; Chief Financial Officer</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Glenn Klevitz, Vice President, Treasurer &amp; Investor Relations</w:t>
      </w:r>
    </w:p>
    <w:p>
      <w:pPr>
        <w:spacing w:after="0"/>
        <w:rPr>
          <w:sz w:val="20"/>
          <w:szCs w:val="20"/>
          <w:color w:val="auto"/>
        </w:rPr>
      </w:pPr>
      <w:r>
        <w:rPr>
          <w:rFonts w:ascii="Arial" w:cs="Arial" w:eastAsia="Arial" w:hAnsi="Arial"/>
          <w:sz w:val="22"/>
          <w:szCs w:val="22"/>
          <w:color w:val="auto"/>
        </w:rPr>
        <w:t>305-428-8000</w:t>
      </w:r>
    </w:p>
    <w:sectPr>
      <w:pgSz w:w="11900" w:h="16838" w:orient="portrait"/>
      <w:cols w:equalWidth="0" w:num="1">
        <w:col w:w="11240"/>
      </w:cols>
      <w:pgMar w:left="320" w:top="1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2020-04-21T05:07:24Z</dcterms:created>
  <dcterms:modified xsi:type="dcterms:W3CDTF">2020-04-21T05:07:24Z</dcterms:modified>
</cp:coreProperties>
</file>