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7"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_________________________</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9"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_________________________</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March 12, 2020</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WORLD FUEL SERVICES CORPORATION</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215" w:right="339" w:bottom="1440" w:gutter="0" w:footer="0" w:header="0"/>
        </w:sectPr>
      </w:pPr>
    </w:p>
    <w:p>
      <w:pPr>
        <w:spacing w:after="0" w:line="232" w:lineRule="exact"/>
        <w:rPr>
          <w:sz w:val="24"/>
          <w:szCs w:val="24"/>
          <w:color w:val="auto"/>
        </w:rPr>
      </w:pPr>
    </w:p>
    <w:p>
      <w:pPr>
        <w:jc w:val="center"/>
        <w:ind w:right="200"/>
        <w:spacing w:after="0"/>
        <w:rPr>
          <w:sz w:val="20"/>
          <w:szCs w:val="20"/>
          <w:color w:val="auto"/>
        </w:rPr>
      </w:pPr>
      <w:r>
        <w:rPr>
          <w:rFonts w:ascii="Arial" w:cs="Arial" w:eastAsia="Arial" w:hAnsi="Arial"/>
          <w:sz w:val="18"/>
          <w:szCs w:val="18"/>
          <w:b w:val="1"/>
          <w:bCs w:val="1"/>
          <w:color w:val="auto"/>
        </w:rPr>
        <w:t>Florida</w:t>
      </w:r>
    </w:p>
    <w:p>
      <w:pPr>
        <w:spacing w:after="0" w:line="27" w:lineRule="exact"/>
        <w:rPr>
          <w:sz w:val="24"/>
          <w:szCs w:val="24"/>
          <w:color w:val="auto"/>
        </w:rPr>
      </w:pPr>
    </w:p>
    <w:p>
      <w:pPr>
        <w:jc w:val="center"/>
        <w:ind w:right="20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740"/>
        <w:spacing w:after="0"/>
        <w:rPr>
          <w:sz w:val="20"/>
          <w:szCs w:val="20"/>
          <w:color w:val="auto"/>
        </w:rPr>
      </w:pPr>
      <w:r>
        <w:rPr>
          <w:rFonts w:ascii="Arial" w:cs="Arial" w:eastAsia="Arial" w:hAnsi="Arial"/>
          <w:sz w:val="18"/>
          <w:szCs w:val="18"/>
          <w:b w:val="1"/>
          <w:bCs w:val="1"/>
          <w:color w:val="auto"/>
        </w:rPr>
        <w:t>001-09533</w:t>
      </w:r>
    </w:p>
    <w:p>
      <w:pPr>
        <w:spacing w:after="0" w:line="27" w:lineRule="exact"/>
        <w:rPr>
          <w:sz w:val="24"/>
          <w:szCs w:val="24"/>
          <w:color w:val="auto"/>
        </w:rPr>
      </w:pPr>
    </w:p>
    <w:p>
      <w:pPr>
        <w:jc w:val="center"/>
        <w:ind w:right="74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540"/>
        <w:spacing w:after="0"/>
        <w:rPr>
          <w:sz w:val="20"/>
          <w:szCs w:val="20"/>
          <w:color w:val="auto"/>
        </w:rPr>
      </w:pPr>
      <w:r>
        <w:rPr>
          <w:rFonts w:ascii="Arial" w:cs="Arial" w:eastAsia="Arial" w:hAnsi="Arial"/>
          <w:sz w:val="18"/>
          <w:szCs w:val="18"/>
          <w:b w:val="1"/>
          <w:bCs w:val="1"/>
          <w:color w:val="auto"/>
        </w:rPr>
        <w:t>59-2459427</w:t>
      </w:r>
    </w:p>
    <w:p>
      <w:pPr>
        <w:spacing w:after="0" w:line="27" w:lineRule="exact"/>
        <w:rPr>
          <w:sz w:val="24"/>
          <w:szCs w:val="24"/>
          <w:color w:val="auto"/>
        </w:rPr>
      </w:pPr>
    </w:p>
    <w:p>
      <w:pPr>
        <w:jc w:val="center"/>
        <w:ind w:right="540"/>
        <w:spacing w:after="0"/>
        <w:rPr>
          <w:sz w:val="20"/>
          <w:szCs w:val="20"/>
          <w:color w:val="auto"/>
        </w:rPr>
      </w:pPr>
      <w:r>
        <w:rPr>
          <w:rFonts w:ascii="Arial" w:cs="Arial" w:eastAsia="Arial" w:hAnsi="Arial"/>
          <w:sz w:val="17"/>
          <w:szCs w:val="17"/>
          <w:color w:val="auto"/>
        </w:rPr>
        <w:t>(I.R.S. Employer Identification No.)</w:t>
      </w:r>
    </w:p>
    <w:p>
      <w:pPr>
        <w:spacing w:after="0" w:line="200" w:lineRule="exact"/>
        <w:rPr>
          <w:sz w:val="24"/>
          <w:szCs w:val="24"/>
          <w:color w:val="auto"/>
        </w:rPr>
      </w:pPr>
    </w:p>
    <w:p>
      <w:pPr>
        <w:sectPr>
          <w:pgSz w:w="11900" w:h="16838" w:orient="portrait"/>
          <w:cols w:equalWidth="0" w:num="3">
            <w:col w:w="3920" w:space="720"/>
            <w:col w:w="2720" w:space="720"/>
            <w:col w:w="3160"/>
          </w:cols>
          <w:pgMar w:left="320" w:top="215" w:right="339" w:bottom="1440" w:gutter="0" w:footer="0" w:header="0"/>
          <w:type w:val="continuous"/>
        </w:sectPr>
      </w:pPr>
    </w:p>
    <w:p>
      <w:pPr>
        <w:spacing w:after="0" w:line="45" w:lineRule="exact"/>
        <w:rPr>
          <w:sz w:val="24"/>
          <w:szCs w:val="24"/>
          <w:color w:val="auto"/>
        </w:rPr>
      </w:pPr>
    </w:p>
    <w:p>
      <w:pPr>
        <w:jc w:val="center"/>
        <w:ind w:right="1700"/>
        <w:spacing w:after="0"/>
        <w:rPr>
          <w:sz w:val="20"/>
          <w:szCs w:val="20"/>
          <w:color w:val="auto"/>
        </w:rPr>
      </w:pPr>
      <w:r>
        <w:rPr>
          <w:rFonts w:ascii="Arial" w:cs="Arial" w:eastAsia="Arial" w:hAnsi="Arial"/>
          <w:sz w:val="18"/>
          <w:szCs w:val="18"/>
          <w:b w:val="1"/>
          <w:bCs w:val="1"/>
          <w:color w:val="auto"/>
        </w:rPr>
        <w:t>9800 N.W. 41st Street</w:t>
      </w:r>
    </w:p>
    <w:p>
      <w:pPr>
        <w:spacing w:after="0" w:line="27" w:lineRule="exact"/>
        <w:rPr>
          <w:sz w:val="24"/>
          <w:szCs w:val="24"/>
          <w:color w:val="auto"/>
        </w:rPr>
      </w:pPr>
    </w:p>
    <w:p>
      <w:pPr>
        <w:jc w:val="center"/>
        <w:ind w:right="1700"/>
        <w:spacing w:after="0"/>
        <w:rPr>
          <w:sz w:val="20"/>
          <w:szCs w:val="20"/>
          <w:color w:val="auto"/>
        </w:rPr>
      </w:pPr>
      <w:r>
        <w:rPr>
          <w:rFonts w:ascii="Arial" w:cs="Arial" w:eastAsia="Arial" w:hAnsi="Arial"/>
          <w:sz w:val="18"/>
          <w:szCs w:val="18"/>
          <w:b w:val="1"/>
          <w:bCs w:val="1"/>
          <w:color w:val="auto"/>
        </w:rPr>
        <w:t>Miami, Florida</w:t>
      </w:r>
    </w:p>
    <w:p>
      <w:pPr>
        <w:spacing w:after="0" w:line="9" w:lineRule="exact"/>
        <w:rPr>
          <w:sz w:val="24"/>
          <w:szCs w:val="24"/>
          <w:color w:val="auto"/>
        </w:rPr>
      </w:pPr>
    </w:p>
    <w:p>
      <w:pPr>
        <w:jc w:val="center"/>
        <w:ind w:right="170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5"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33178</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415" w:lineRule="exact"/>
        <w:rPr>
          <w:sz w:val="24"/>
          <w:szCs w:val="24"/>
          <w:color w:val="auto"/>
        </w:rPr>
      </w:pPr>
    </w:p>
    <w:p>
      <w:pPr>
        <w:sectPr>
          <w:pgSz w:w="11900" w:h="16838" w:orient="portrait"/>
          <w:cols w:equalWidth="0" w:num="2">
            <w:col w:w="7320" w:space="720"/>
            <w:col w:w="3200"/>
          </w:cols>
          <w:pgMar w:left="320" w:top="215" w:right="339" w:bottom="1440" w:gutter="0" w:footer="0" w:header="0"/>
          <w:type w:val="continuous"/>
        </w:sectPr>
      </w:pPr>
    </w:p>
    <w:p>
      <w:pPr>
        <w:spacing w:after="0" w:line="30" w:lineRule="exact"/>
        <w:rPr>
          <w:sz w:val="24"/>
          <w:szCs w:val="24"/>
          <w:color w:val="auto"/>
        </w:rPr>
      </w:pPr>
    </w:p>
    <w:p>
      <w:pPr>
        <w:jc w:val="center"/>
        <w:ind w:right="-33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(305) 428-8000</w:t>
      </w:r>
    </w:p>
    <w:p>
      <w:pPr>
        <w:spacing w:after="0" w:line="256"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8" w:lineRule="exact"/>
        <w:rPr>
          <w:sz w:val="24"/>
          <w:szCs w:val="24"/>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Written communications pursuant to Rule 425 under the Securities Act (17 CFR 230.425)</w:t>
      </w:r>
    </w:p>
    <w:p>
      <w:pPr>
        <w:spacing w:after="0" w:line="37" w:lineRule="exact"/>
        <w:rPr>
          <w:rFonts w:ascii="MS PGothic" w:cs="MS PGothic" w:eastAsia="MS PGothic" w:hAnsi="MS PGothic"/>
          <w:sz w:val="22"/>
          <w:szCs w:val="22"/>
          <w:color w:val="auto"/>
        </w:rPr>
      </w:pPr>
    </w:p>
    <w:p>
      <w:pPr>
        <w:ind w:left="300" w:hanging="292"/>
        <w:spacing w:after="0" w:line="235" w:lineRule="auto"/>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Soliciting material pursuant to Rule 14a-12 under the Exchange Act (17 CFR 240.14a-12)</w:t>
      </w:r>
    </w:p>
    <w:p>
      <w:pPr>
        <w:spacing w:after="0" w:line="10"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14d-2(b) under the Exchange Act (17 CFR 240.14d-2(b))</w:t>
      </w:r>
    </w:p>
    <w:p>
      <w:pPr>
        <w:spacing w:after="0" w:line="3"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13e-4(c) under the Exchange Act (17 CFR 240.13e-4(c))</w:t>
      </w:r>
    </w:p>
    <w:p>
      <w:pPr>
        <w:spacing w:after="0" w:line="195"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540" w:type="dxa"/>
            <w:vAlign w:val="bottom"/>
            <w:gridSpan w:val="2"/>
          </w:tcPr>
          <w:p>
            <w:pPr>
              <w:spacing w:after="0"/>
              <w:rPr>
                <w:sz w:val="20"/>
                <w:szCs w:val="20"/>
                <w:color w:val="auto"/>
              </w:rPr>
            </w:pPr>
            <w:r>
              <w:rPr>
                <w:rFonts w:ascii="Arial" w:cs="Arial" w:eastAsia="Arial" w:hAnsi="Arial"/>
                <w:sz w:val="18"/>
                <w:szCs w:val="18"/>
                <w:color w:val="auto"/>
                <w:w w:val="98"/>
              </w:rPr>
              <w:t>Securities registered pursuant to Section 12(b) of the Act:</w:t>
            </w:r>
          </w:p>
        </w:tc>
        <w:tc>
          <w:tcPr>
            <w:tcW w:w="3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360" w:type="dxa"/>
            <w:vAlign w:val="bottom"/>
          </w:tcPr>
          <w:p>
            <w:pPr>
              <w:spacing w:after="0"/>
              <w:rPr>
                <w:sz w:val="20"/>
                <w:szCs w:val="20"/>
                <w:color w:val="auto"/>
              </w:rPr>
            </w:pPr>
            <w:r>
              <w:rPr>
                <w:rFonts w:ascii="Arial" w:cs="Arial" w:eastAsia="Arial" w:hAnsi="Arial"/>
                <w:sz w:val="18"/>
                <w:szCs w:val="18"/>
                <w:b w:val="1"/>
                <w:bCs w:val="1"/>
                <w:color w:val="auto"/>
                <w:w w:val="86"/>
              </w:rPr>
              <w:t>Title of each class</w:t>
            </w:r>
          </w:p>
        </w:tc>
        <w:tc>
          <w:tcPr>
            <w:tcW w:w="3180" w:type="dxa"/>
            <w:vAlign w:val="bottom"/>
          </w:tcPr>
          <w:p>
            <w:pPr>
              <w:spacing w:after="0"/>
              <w:rPr>
                <w:sz w:val="24"/>
                <w:szCs w:val="24"/>
                <w:color w:val="auto"/>
              </w:rPr>
            </w:pPr>
          </w:p>
        </w:tc>
        <w:tc>
          <w:tcPr>
            <w:tcW w:w="2780" w:type="dxa"/>
            <w:vAlign w:val="bottom"/>
            <w:gridSpan w:val="3"/>
          </w:tcPr>
          <w:p>
            <w:pPr>
              <w:jc w:val="center"/>
              <w:ind w:right="600"/>
              <w:spacing w:after="0"/>
              <w:rPr>
                <w:sz w:val="20"/>
                <w:szCs w:val="20"/>
                <w:color w:val="auto"/>
              </w:rPr>
            </w:pPr>
            <w:r>
              <w:rPr>
                <w:rFonts w:ascii="Arial" w:cs="Arial" w:eastAsia="Arial" w:hAnsi="Arial"/>
                <w:sz w:val="18"/>
                <w:szCs w:val="18"/>
                <w:b w:val="1"/>
                <w:bCs w:val="1"/>
                <w:color w:val="auto"/>
                <w:w w:val="89"/>
              </w:rPr>
              <w:t>Trading Symbol(s)</w:t>
            </w:r>
          </w:p>
        </w:tc>
        <w:tc>
          <w:tcPr>
            <w:tcW w:w="334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
        </w:trPr>
        <w:tc>
          <w:tcPr>
            <w:tcW w:w="1360" w:type="dxa"/>
            <w:vAlign w:val="bottom"/>
            <w:shd w:val="clear" w:color="auto" w:fill="000000"/>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453"/>
        </w:trPr>
        <w:tc>
          <w:tcPr>
            <w:tcW w:w="4540" w:type="dxa"/>
            <w:vAlign w:val="bottom"/>
            <w:gridSpan w:val="2"/>
          </w:tcPr>
          <w:p>
            <w:pPr>
              <w:spacing w:after="0"/>
              <w:rPr>
                <w:sz w:val="20"/>
                <w:szCs w:val="20"/>
                <w:color w:val="auto"/>
              </w:rPr>
            </w:pPr>
            <w:r>
              <w:rPr>
                <w:rFonts w:ascii="Arial" w:cs="Arial" w:eastAsia="Arial" w:hAnsi="Arial"/>
                <w:sz w:val="18"/>
                <w:szCs w:val="18"/>
                <w:color w:val="auto"/>
              </w:rPr>
              <w:t>Common Stock, par value $0.01 per share</w:t>
            </w:r>
          </w:p>
        </w:tc>
        <w:tc>
          <w:tcPr>
            <w:tcW w:w="380" w:type="dxa"/>
            <w:vAlign w:val="bottom"/>
          </w:tcPr>
          <w:p>
            <w:pPr>
              <w:spacing w:after="0"/>
              <w:rPr>
                <w:sz w:val="24"/>
                <w:szCs w:val="24"/>
                <w:color w:val="auto"/>
              </w:rPr>
            </w:pPr>
          </w:p>
        </w:tc>
        <w:tc>
          <w:tcPr>
            <w:tcW w:w="2400" w:type="dxa"/>
            <w:vAlign w:val="bottom"/>
            <w:gridSpan w:val="2"/>
          </w:tcPr>
          <w:p>
            <w:pPr>
              <w:jc w:val="center"/>
              <w:ind w:right="980"/>
              <w:spacing w:after="0"/>
              <w:rPr>
                <w:sz w:val="20"/>
                <w:szCs w:val="20"/>
                <w:color w:val="auto"/>
              </w:rPr>
            </w:pPr>
            <w:r>
              <w:rPr>
                <w:rFonts w:ascii="Arial" w:cs="Arial" w:eastAsia="Arial" w:hAnsi="Arial"/>
                <w:sz w:val="18"/>
                <w:szCs w:val="18"/>
                <w:color w:val="auto"/>
              </w:rPr>
              <w:t>INT</w:t>
            </w:r>
          </w:p>
        </w:tc>
        <w:tc>
          <w:tcPr>
            <w:tcW w:w="334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29"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6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85"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15" w:right="339" w:bottom="1440" w:gutter="0" w:footer="0" w:header="0"/>
          <w:type w:val="continuous"/>
        </w:sectPr>
      </w:pPr>
    </w:p>
    <w:bookmarkStart w:id="1" w:name="page2"/>
    <w:bookmarkEnd w:id="1"/>
    <w:p>
      <w:pPr>
        <w:spacing w:after="0"/>
        <w:tabs>
          <w:tab w:leader="none" w:pos="98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9"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World Fuel Services Corporation (the “Company”) announced today that its board of directors has approved a new share repurchase program, authorizing the purchase of $200 million in common stock. This repurchase program will begin upon completion of the previously announced May 2019 share repurchase authorization. In addition, the Company announced that its board of directors has declared a quarterly cash dividend of $0.10 per share payable on April 9, 2020 to shareholders of record on March 27, 2020. A copy of the press release is attached hereto as Exhibit 99.1.</w:t>
      </w:r>
    </w:p>
    <w:p>
      <w:pPr>
        <w:spacing w:after="0" w:line="369"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800" w:hanging="455"/>
        <w:spacing w:after="0"/>
        <w:tabs>
          <w:tab w:leader="none" w:pos="8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tbl>
      <w:tblPr>
        <w:tblLayout w:type="fixed"/>
        <w:tblInd w:w="800" w:type="dxa"/>
        <w:tblCellMar>
          <w:top w:w="0" w:type="dxa"/>
          <w:left w:w="0" w:type="dxa"/>
          <w:bottom w:w="0" w:type="dxa"/>
          <w:right w:w="0" w:type="dxa"/>
        </w:tblCellMar>
      </w:tblPr>
      <w:tr>
        <w:trPr>
          <w:trHeight w:val="216"/>
        </w:trPr>
        <w:tc>
          <w:tcPr>
            <w:tcW w:w="900" w:type="dxa"/>
            <w:vAlign w:val="bottom"/>
          </w:tcPr>
          <w:p>
            <w:pPr>
              <w:spacing w:after="0"/>
              <w:rPr>
                <w:sz w:val="20"/>
                <w:szCs w:val="20"/>
                <w:color w:val="auto"/>
              </w:rPr>
            </w:pPr>
            <w:r>
              <w:rPr>
                <w:rFonts w:ascii="Arial" w:cs="Arial" w:eastAsia="Arial" w:hAnsi="Arial"/>
                <w:sz w:val="18"/>
                <w:szCs w:val="18"/>
                <w:u w:val="single" w:color="auto"/>
                <w:color w:val="auto"/>
              </w:rPr>
              <w:t>Exhibit</w:t>
            </w:r>
          </w:p>
        </w:tc>
        <w:tc>
          <w:tcPr>
            <w:tcW w:w="3040" w:type="dxa"/>
            <w:vAlign w:val="bottom"/>
            <w:vMerge w:val="restart"/>
          </w:tcPr>
          <w:p>
            <w:pPr>
              <w:ind w:left="340"/>
              <w:spacing w:after="0"/>
              <w:rPr>
                <w:sz w:val="20"/>
                <w:szCs w:val="20"/>
                <w:color w:val="auto"/>
              </w:rPr>
            </w:pPr>
            <w:r>
              <w:rPr>
                <w:rFonts w:ascii="Arial" w:cs="Arial" w:eastAsia="Arial" w:hAnsi="Arial"/>
                <w:sz w:val="18"/>
                <w:szCs w:val="18"/>
                <w:u w:val="single" w:color="auto"/>
                <w:color w:val="auto"/>
              </w:rPr>
              <w:t>Description</w:t>
            </w:r>
          </w:p>
        </w:tc>
        <w:tc>
          <w:tcPr>
            <w:tcW w:w="0" w:type="dxa"/>
            <w:vAlign w:val="bottom"/>
          </w:tcPr>
          <w:p>
            <w:pPr>
              <w:spacing w:after="0"/>
              <w:rPr>
                <w:sz w:val="1"/>
                <w:szCs w:val="1"/>
                <w:color w:val="auto"/>
              </w:rPr>
            </w:pPr>
          </w:p>
        </w:tc>
      </w:tr>
      <w:tr>
        <w:trPr>
          <w:trHeight w:val="122"/>
        </w:trPr>
        <w:tc>
          <w:tcPr>
            <w:tcW w:w="900" w:type="dxa"/>
            <w:vAlign w:val="bottom"/>
            <w:vMerge w:val="restart"/>
          </w:tcPr>
          <w:p>
            <w:pPr>
              <w:spacing w:after="0"/>
              <w:rPr>
                <w:sz w:val="20"/>
                <w:szCs w:val="20"/>
                <w:color w:val="auto"/>
              </w:rPr>
            </w:pPr>
            <w:r>
              <w:rPr>
                <w:rFonts w:ascii="Arial" w:cs="Arial" w:eastAsia="Arial" w:hAnsi="Arial"/>
                <w:sz w:val="18"/>
                <w:szCs w:val="18"/>
                <w:u w:val="single" w:color="auto"/>
                <w:color w:val="auto"/>
              </w:rPr>
              <w:t>No.</w:t>
            </w:r>
          </w:p>
        </w:tc>
        <w:tc>
          <w:tcPr>
            <w:tcW w:w="3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900" w:type="dxa"/>
            <w:vAlign w:val="bottom"/>
            <w:vMerge w:val="continue"/>
          </w:tcPr>
          <w:p>
            <w:pPr>
              <w:spacing w:after="0"/>
              <w:rPr>
                <w:sz w:val="9"/>
                <w:szCs w:val="9"/>
                <w:color w:val="auto"/>
              </w:rPr>
            </w:pPr>
          </w:p>
        </w:tc>
        <w:tc>
          <w:tcPr>
            <w:tcW w:w="30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2"/>
        </w:trPr>
        <w:tc>
          <w:tcPr>
            <w:tcW w:w="900" w:type="dxa"/>
            <w:vAlign w:val="bottom"/>
          </w:tcPr>
          <w:p>
            <w:pPr>
              <w:jc w:val="right"/>
              <w:ind w:right="250"/>
              <w:spacing w:after="0"/>
              <w:rPr>
                <w:sz w:val="20"/>
                <w:szCs w:val="20"/>
                <w:color w:val="auto"/>
              </w:rPr>
            </w:pPr>
            <w:r>
              <w:rPr>
                <w:rFonts w:ascii="Arial" w:cs="Arial" w:eastAsia="Arial" w:hAnsi="Arial"/>
                <w:sz w:val="18"/>
                <w:szCs w:val="18"/>
                <w:color w:val="auto"/>
              </w:rPr>
              <w:t>99.1</w:t>
            </w:r>
          </w:p>
        </w:tc>
        <w:tc>
          <w:tcPr>
            <w:tcW w:w="3040" w:type="dxa"/>
            <w:vAlign w:val="bottom"/>
          </w:tcPr>
          <w:p>
            <w:pPr>
              <w:ind w:left="340"/>
              <w:spacing w:after="0"/>
              <w:rPr>
                <w:sz w:val="20"/>
                <w:szCs w:val="20"/>
                <w:color w:val="auto"/>
              </w:rPr>
            </w:pPr>
            <w:r>
              <w:rPr>
                <w:rFonts w:ascii="Arial" w:cs="Arial" w:eastAsia="Arial" w:hAnsi="Arial"/>
                <w:sz w:val="18"/>
                <w:szCs w:val="18"/>
                <w:color w:val="auto"/>
                <w:w w:val="87"/>
              </w:rPr>
              <w:t>Press Release, dated March 16, 2020.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248285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82" w:lineRule="exact"/>
        <w:rPr>
          <w:sz w:val="20"/>
          <w:szCs w:val="20"/>
          <w:color w:val="auto"/>
        </w:rPr>
      </w:pPr>
    </w:p>
    <w:p>
      <w:pPr>
        <w:spacing w:after="0"/>
        <w:tabs>
          <w:tab w:leader="none" w:pos="5600" w:val="left"/>
        </w:tabs>
        <w:rPr>
          <w:sz w:val="20"/>
          <w:szCs w:val="20"/>
          <w:color w:val="auto"/>
        </w:rPr>
      </w:pPr>
      <w:r>
        <w:rPr>
          <w:rFonts w:ascii="Arial" w:cs="Arial" w:eastAsia="Arial" w:hAnsi="Arial"/>
          <w:sz w:val="18"/>
          <w:szCs w:val="18"/>
          <w:color w:val="auto"/>
        </w:rPr>
        <w:t>Date: March 16, 2020</w:t>
      </w:r>
      <w:r>
        <w:rPr>
          <w:sz w:val="20"/>
          <w:szCs w:val="20"/>
          <w:color w:val="auto"/>
        </w:rPr>
        <w:tab/>
      </w:r>
      <w:r>
        <w:rPr>
          <w:rFonts w:ascii="Arial" w:cs="Arial" w:eastAsia="Arial" w:hAnsi="Arial"/>
          <w:sz w:val="16"/>
          <w:szCs w:val="16"/>
          <w:b w:val="1"/>
          <w:bCs w:val="1"/>
          <w:color w:val="auto"/>
        </w:rPr>
        <w:t>World Fuel Services Corporation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5620"/>
        <w:spacing w:after="0"/>
        <w:rPr>
          <w:sz w:val="20"/>
          <w:szCs w:val="20"/>
          <w:color w:val="auto"/>
        </w:rPr>
      </w:pPr>
      <w:r>
        <w:rPr>
          <w:rFonts w:ascii="Arial" w:cs="Arial" w:eastAsia="Arial" w:hAnsi="Arial"/>
          <w:sz w:val="18"/>
          <w:szCs w:val="18"/>
          <w:u w:val="single" w:color="auto"/>
          <w:color w:val="auto"/>
        </w:rPr>
        <w:t>/s/ R. Alexander Lake</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R. Alexander Lake</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Executive Vice President, Chief Legal Officer 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t>EXHIBIT INDEX</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700" w:type="dxa"/>
            <w:vAlign w:val="bottom"/>
            <w:gridSpan w:val="2"/>
          </w:tcPr>
          <w:p>
            <w:pPr>
              <w:spacing w:after="0"/>
              <w:rPr>
                <w:sz w:val="20"/>
                <w:szCs w:val="20"/>
                <w:color w:val="auto"/>
              </w:rPr>
            </w:pPr>
            <w:r>
              <w:rPr>
                <w:rFonts w:ascii="Arial" w:cs="Arial" w:eastAsia="Arial" w:hAnsi="Arial"/>
                <w:sz w:val="18"/>
                <w:szCs w:val="18"/>
                <w:color w:val="auto"/>
              </w:rPr>
              <w:t>Exhibit</w:t>
            </w:r>
          </w:p>
        </w:tc>
        <w:tc>
          <w:tcPr>
            <w:tcW w:w="9540" w:type="dxa"/>
            <w:vAlign w:val="bottom"/>
            <w:gridSpan w:val="3"/>
          </w:tcPr>
          <w:p>
            <w:pPr>
              <w:ind w:left="560"/>
              <w:spacing w:after="0"/>
              <w:rPr>
                <w:sz w:val="20"/>
                <w:szCs w:val="20"/>
                <w:color w:val="auto"/>
              </w:rPr>
            </w:pPr>
            <w:r>
              <w:rPr>
                <w:rFonts w:ascii="Arial" w:cs="Arial" w:eastAsia="Arial" w:hAnsi="Arial"/>
                <w:sz w:val="18"/>
                <w:szCs w:val="18"/>
                <w:color w:val="auto"/>
              </w:rPr>
              <w:t>Description</w:t>
            </w:r>
          </w:p>
        </w:tc>
      </w:tr>
      <w:tr>
        <w:trPr>
          <w:trHeight w:val="176"/>
        </w:trPr>
        <w:tc>
          <w:tcPr>
            <w:tcW w:w="320" w:type="dxa"/>
            <w:vAlign w:val="bottom"/>
            <w:tcBorders>
              <w:top w:val="single" w:sz="8" w:color="auto"/>
            </w:tcBorders>
          </w:tcPr>
          <w:p>
            <w:pPr>
              <w:spacing w:after="0" w:line="176" w:lineRule="exact"/>
              <w:rPr>
                <w:rFonts w:ascii="Arial" w:cs="Arial" w:eastAsia="Arial" w:hAnsi="Arial"/>
                <w:sz w:val="18"/>
                <w:szCs w:val="18"/>
                <w:color w:val="0000EE"/>
                <w:w w:val="85"/>
              </w:rPr>
            </w:pPr>
            <w:hyperlink w:anchor="page5">
              <w:r>
                <w:rPr>
                  <w:rFonts w:ascii="Arial" w:cs="Arial" w:eastAsia="Arial" w:hAnsi="Arial"/>
                  <w:sz w:val="18"/>
                  <w:szCs w:val="18"/>
                  <w:color w:val="0000EE"/>
                  <w:w w:val="85"/>
                </w:rPr>
                <w:t>99.</w:t>
              </w:r>
              <w:r>
                <w:rPr>
                  <w:rFonts w:ascii="Arial" w:cs="Arial" w:eastAsia="Arial" w:hAnsi="Arial"/>
                  <w:sz w:val="18"/>
                  <w:szCs w:val="18"/>
                  <w:u w:val="single" w:color="auto"/>
                  <w:color w:val="0000EE"/>
                  <w:w w:val="85"/>
                </w:rPr>
                <w:t>1</w:t>
              </w:r>
            </w:hyperlink>
          </w:p>
        </w:tc>
        <w:tc>
          <w:tcPr>
            <w:tcW w:w="1380" w:type="dxa"/>
            <w:vAlign w:val="bottom"/>
            <w:tcBorders>
              <w:top w:val="single" w:sz="8" w:color="auto"/>
            </w:tcBorders>
          </w:tcPr>
          <w:p>
            <w:pPr>
              <w:spacing w:after="0"/>
              <w:rPr>
                <w:sz w:val="15"/>
                <w:szCs w:val="15"/>
                <w:color w:val="auto"/>
              </w:rPr>
            </w:pPr>
          </w:p>
        </w:tc>
        <w:tc>
          <w:tcPr>
            <w:tcW w:w="560" w:type="dxa"/>
            <w:vAlign w:val="bottom"/>
          </w:tcPr>
          <w:p>
            <w:pPr>
              <w:spacing w:after="0"/>
              <w:rPr>
                <w:sz w:val="15"/>
                <w:szCs w:val="15"/>
                <w:color w:val="auto"/>
              </w:rPr>
            </w:pPr>
          </w:p>
        </w:tc>
        <w:tc>
          <w:tcPr>
            <w:tcW w:w="8980" w:type="dxa"/>
            <w:vAlign w:val="bottom"/>
            <w:tcBorders>
              <w:top w:val="single" w:sz="8" w:color="auto"/>
            </w:tcBorders>
            <w:gridSpan w:val="2"/>
          </w:tcPr>
          <w:p>
            <w:pPr>
              <w:spacing w:after="0" w:line="176" w:lineRule="exact"/>
              <w:rPr>
                <w:rFonts w:ascii="Arial" w:cs="Arial" w:eastAsia="Arial" w:hAnsi="Arial"/>
                <w:sz w:val="18"/>
                <w:szCs w:val="18"/>
                <w:color w:val="0000EE"/>
              </w:rPr>
            </w:pPr>
            <w:hyperlink w:anchor="page5">
              <w:r>
                <w:rPr>
                  <w:rFonts w:ascii="Arial" w:cs="Arial" w:eastAsia="Arial" w:hAnsi="Arial"/>
                  <w:sz w:val="18"/>
                  <w:szCs w:val="18"/>
                  <w:color w:val="0000EE"/>
                </w:rPr>
                <w:t>Press Release, dated March 16, 2020.</w:t>
              </w:r>
            </w:hyperlink>
          </w:p>
        </w:tc>
      </w:tr>
      <w:tr>
        <w:trPr>
          <w:trHeight w:val="20"/>
        </w:trPr>
        <w:tc>
          <w:tcPr>
            <w:tcW w:w="320" w:type="dxa"/>
            <w:vAlign w:val="bottom"/>
            <w:shd w:val="clear" w:color="auto" w:fill="0000EE"/>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700" w:type="dxa"/>
            <w:vAlign w:val="bottom"/>
            <w:shd w:val="clear" w:color="auto" w:fill="0000EE"/>
          </w:tcPr>
          <w:p>
            <w:pPr>
              <w:spacing w:after="0" w:line="20" w:lineRule="exact"/>
              <w:rPr>
                <w:sz w:val="1"/>
                <w:szCs w:val="1"/>
                <w:color w:val="auto"/>
              </w:rPr>
            </w:pPr>
          </w:p>
        </w:tc>
        <w:tc>
          <w:tcPr>
            <w:tcW w:w="6280" w:type="dxa"/>
            <w:vAlign w:val="bottom"/>
          </w:tcPr>
          <w:p>
            <w:pPr>
              <w:spacing w:after="0" w:line="20" w:lineRule="exact"/>
              <w:rPr>
                <w:sz w:val="1"/>
                <w:szCs w:val="1"/>
                <w:color w:val="auto"/>
              </w:rPr>
            </w:pPr>
          </w:p>
        </w:tc>
      </w:tr>
    </w:tbl>
    <w:p>
      <w:pPr>
        <w:sectPr>
          <w:pgSz w:w="11900" w:h="16838" w:orient="portrait"/>
          <w:cols w:equalWidth="0" w:num="1">
            <w:col w:w="11240"/>
          </w:cols>
          <w:pgMar w:left="320" w:top="368" w:right="339"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jc w:val="center"/>
        <w:ind w:left="340" w:right="100"/>
        <w:spacing w:after="0" w:line="282" w:lineRule="auto"/>
        <w:rPr>
          <w:sz w:val="20"/>
          <w:szCs w:val="20"/>
          <w:color w:val="auto"/>
        </w:rPr>
      </w:pPr>
      <w:r>
        <w:rPr>
          <w:rFonts w:ascii="Arial" w:cs="Arial" w:eastAsia="Arial" w:hAnsi="Arial"/>
          <w:sz w:val="25"/>
          <w:szCs w:val="25"/>
          <w:b w:val="1"/>
          <w:bCs w:val="1"/>
          <w:color w:val="auto"/>
        </w:rPr>
        <w:t>World Fuel Services Corporation Announces Share Repurchase Program and Regular Quarterly Cash Dividend</w:t>
      </w:r>
    </w:p>
    <w:p>
      <w:pPr>
        <w:spacing w:after="0" w:line="136" w:lineRule="exact"/>
        <w:rPr>
          <w:sz w:val="20"/>
          <w:szCs w:val="20"/>
          <w:color w:val="auto"/>
        </w:rPr>
      </w:pPr>
    </w:p>
    <w:p>
      <w:pPr>
        <w:ind w:right="140"/>
        <w:spacing w:after="0" w:line="297" w:lineRule="auto"/>
        <w:rPr>
          <w:sz w:val="20"/>
          <w:szCs w:val="20"/>
          <w:color w:val="auto"/>
        </w:rPr>
      </w:pPr>
      <w:r>
        <w:rPr>
          <w:rFonts w:ascii="Arial" w:cs="Arial" w:eastAsia="Arial" w:hAnsi="Arial"/>
          <w:sz w:val="19"/>
          <w:szCs w:val="19"/>
          <w:color w:val="auto"/>
        </w:rPr>
        <w:t>MIAMI--(BUSINESS WIRE)--March 16, 2020--World Fuel Services Corporation (NYSE: INT) today announced that its Board of Directors has approved a new share repurchase program, authorizing the purchase of $200 million in common stock. This repurchase program will begin upon completion of the previously announced May 2019 share repurchase authorization.</w:t>
      </w:r>
    </w:p>
    <w:p>
      <w:pPr>
        <w:spacing w:after="0" w:line="134" w:lineRule="exact"/>
        <w:rPr>
          <w:sz w:val="20"/>
          <w:szCs w:val="20"/>
          <w:color w:val="auto"/>
        </w:rPr>
      </w:pPr>
    </w:p>
    <w:p>
      <w:pPr>
        <w:ind w:right="20"/>
        <w:spacing w:after="0" w:line="252" w:lineRule="auto"/>
        <w:rPr>
          <w:sz w:val="20"/>
          <w:szCs w:val="20"/>
          <w:color w:val="auto"/>
        </w:rPr>
      </w:pPr>
      <w:r>
        <w:rPr>
          <w:rFonts w:ascii="Arial" w:cs="Arial" w:eastAsia="Arial" w:hAnsi="Arial"/>
          <w:sz w:val="21"/>
          <w:szCs w:val="21"/>
          <w:color w:val="auto"/>
        </w:rPr>
        <w:t>Share repurchases may be made from time to time in the open market or through privately negotiated transactions. The timing and amount of shares to be repurchased under the program will depend on market conditions, share price, securities law and other legal requirements and factors. The program does not require the purchase of any minimum number of shares, has no expiration date and may be suspended or discontinued at any time without prior notice.</w:t>
      </w:r>
    </w:p>
    <w:p>
      <w:pPr>
        <w:spacing w:after="0" w:line="174" w:lineRule="exact"/>
        <w:rPr>
          <w:sz w:val="20"/>
          <w:szCs w:val="20"/>
          <w:color w:val="auto"/>
        </w:rPr>
      </w:pPr>
    </w:p>
    <w:p>
      <w:pPr>
        <w:ind w:right="40"/>
        <w:spacing w:after="0" w:line="250" w:lineRule="auto"/>
        <w:rPr>
          <w:sz w:val="20"/>
          <w:szCs w:val="20"/>
          <w:color w:val="auto"/>
        </w:rPr>
      </w:pPr>
      <w:r>
        <w:rPr>
          <w:rFonts w:ascii="Arial" w:cs="Arial" w:eastAsia="Arial" w:hAnsi="Arial"/>
          <w:sz w:val="22"/>
          <w:szCs w:val="22"/>
          <w:color w:val="auto"/>
        </w:rPr>
        <w:t>In addition, the Board of Directors also declared the company’s quarterly cash dividend of $0.10 per share, which will be payable on April 9, 2020 to shareholders of record on March 27, 2020.</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206" w:lineRule="exact"/>
        <w:rPr>
          <w:sz w:val="20"/>
          <w:szCs w:val="20"/>
          <w:color w:val="auto"/>
        </w:rPr>
      </w:pPr>
    </w:p>
    <w:p>
      <w:pPr>
        <w:ind w:right="360"/>
        <w:spacing w:after="0" w:line="287"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43" w:lineRule="exact"/>
        <w:rPr>
          <w:sz w:val="20"/>
          <w:szCs w:val="20"/>
          <w:color w:val="auto"/>
        </w:rPr>
      </w:pPr>
    </w:p>
    <w:p>
      <w:pPr>
        <w:spacing w:after="0"/>
        <w:rPr>
          <w:sz w:val="20"/>
          <w:szCs w:val="20"/>
          <w:color w:val="auto"/>
        </w:rPr>
      </w:pPr>
      <w:r>
        <w:rPr>
          <w:rFonts w:ascii="Arial" w:cs="Arial" w:eastAsia="Arial" w:hAnsi="Arial"/>
          <w:sz w:val="22"/>
          <w:szCs w:val="22"/>
          <w:color w:val="auto"/>
        </w:rPr>
        <w:t>For more information, call 305-428-8000 or visit www.wfscorp.com.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144145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 w:name="page6"/>
    <w:bookmarkEnd w:id="5"/>
    <w:p>
      <w:pPr>
        <w:spacing w:after="0"/>
        <w:rPr>
          <w:sz w:val="20"/>
          <w:szCs w:val="20"/>
          <w:color w:val="auto"/>
        </w:rPr>
      </w:pPr>
      <w:r>
        <w:rPr>
          <w:rFonts w:ascii="Arial" w:cs="Arial" w:eastAsia="Arial" w:hAnsi="Arial"/>
          <w:sz w:val="22"/>
          <w:szCs w:val="22"/>
          <w:u w:val="single" w:color="auto"/>
          <w:color w:val="auto"/>
        </w:rPr>
        <w:t>Information Relating to Forward-Looking Statements</w:t>
      </w:r>
    </w:p>
    <w:p>
      <w:pPr>
        <w:spacing w:after="0" w:line="206" w:lineRule="exact"/>
        <w:rPr>
          <w:sz w:val="20"/>
          <w:szCs w:val="20"/>
          <w:color w:val="auto"/>
        </w:rPr>
      </w:pPr>
    </w:p>
    <w:p>
      <w:pPr>
        <w:spacing w:after="0" w:line="269" w:lineRule="auto"/>
        <w:rPr>
          <w:sz w:val="20"/>
          <w:szCs w:val="20"/>
          <w:color w:val="auto"/>
        </w:rPr>
      </w:pPr>
      <w:r>
        <w:rPr>
          <w:rFonts w:ascii="Arial" w:cs="Arial" w:eastAsia="Arial" w:hAnsi="Arial"/>
          <w:sz w:val="19"/>
          <w:szCs w:val="19"/>
          <w:color w:val="auto"/>
        </w:rPr>
        <w:t>This release includes forward-looking statements within the meaning of the Private Securities Litigation Reform Act of 1995, including statements regarding share repurchases.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generate expected cash from operations, the availability and price of our common stock on the open market, our ability to effectively integrate acquired businesses and recognize the anticipated benefits, the loss of or reduced sales to the North Atlantic Treaty Organization in Afghanistan under our contract, adverse conditions in the markets or industries in which we or our customers and suppliers operate, including uncertainties around the duration and severity of the novel coronavirus (COVID-19) outbreak, the creditworthiness of our customers and counterparties and our ability to collect accounts receivable, fluctuations in world oil prices or foreign currency, risks related to the complexity of U.S. Tax Cuts and Jobs Act and any subsequently issued regulations and our ability to accurately predict the impact on our effective tax rate and future earnings, our ability to successfully implement our growth strategy, our ability to successfully execute and achieve efficiencies, our ability to achieve the expected level of benefit from our restructuring activities and cost reduction initiatives, unanticipated tax liabilities or adverse results of tax audits, assessments, or disputes, potential liabilities and the extent of any insurance coverage, the outcome of pending litigation and other proceedings, the impact of quarterly fluctuations in results, particularly as a result of seasonality, changes in political, economic, regulatory, or environmental conditions,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non-performance by counterparties or customers on derivatives contracts, uninsured losses, the impact of climate change and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Ira M. Birns, Executive Vice President &amp;</w:t>
      </w:r>
    </w:p>
    <w:p>
      <w:pPr>
        <w:spacing w:after="0" w:line="238" w:lineRule="auto"/>
        <w:rPr>
          <w:sz w:val="20"/>
          <w:szCs w:val="20"/>
          <w:color w:val="auto"/>
        </w:rPr>
      </w:pPr>
      <w:r>
        <w:rPr>
          <w:rFonts w:ascii="Arial" w:cs="Arial" w:eastAsia="Arial" w:hAnsi="Arial"/>
          <w:sz w:val="22"/>
          <w:szCs w:val="22"/>
          <w:color w:val="auto"/>
        </w:rPr>
        <w:t>Chief Financial Officer</w:t>
      </w:r>
    </w:p>
    <w:p>
      <w:pPr>
        <w:spacing w:after="0" w:line="230" w:lineRule="auto"/>
        <w:rPr>
          <w:sz w:val="20"/>
          <w:szCs w:val="20"/>
          <w:color w:val="auto"/>
        </w:rPr>
      </w:pPr>
      <w:r>
        <w:rPr>
          <w:rFonts w:ascii="Arial" w:cs="Arial" w:eastAsia="Arial" w:hAnsi="Arial"/>
          <w:sz w:val="22"/>
          <w:szCs w:val="22"/>
          <w:color w:val="auto"/>
        </w:rPr>
        <w:t>Glenn Klevitz</w:t>
      </w:r>
    </w:p>
    <w:p>
      <w:pPr>
        <w:spacing w:after="0" w:line="231" w:lineRule="auto"/>
        <w:rPr>
          <w:sz w:val="20"/>
          <w:szCs w:val="20"/>
          <w:color w:val="auto"/>
        </w:rPr>
      </w:pPr>
      <w:r>
        <w:rPr>
          <w:rFonts w:ascii="Arial" w:cs="Arial" w:eastAsia="Arial" w:hAnsi="Arial"/>
          <w:sz w:val="22"/>
          <w:szCs w:val="22"/>
          <w:color w:val="auto"/>
        </w:rPr>
        <w:t>Vice President, Treasurer &amp; Investor Relations</w:t>
      </w:r>
    </w:p>
    <w:p>
      <w:pPr>
        <w:spacing w:after="0"/>
        <w:rPr>
          <w:sz w:val="20"/>
          <w:szCs w:val="20"/>
          <w:color w:val="auto"/>
        </w:rPr>
      </w:pPr>
      <w:r>
        <w:rPr>
          <w:rFonts w:ascii="Arial" w:cs="Arial" w:eastAsia="Arial" w:hAnsi="Arial"/>
          <w:sz w:val="22"/>
          <w:szCs w:val="22"/>
          <w:color w:val="auto"/>
        </w:rPr>
        <w:t>305-428-8000</w:t>
      </w:r>
    </w:p>
    <w:sectPr>
      <w:pgSz w:w="11900" w:h="16838" w:orient="portrait"/>
      <w:cols w:equalWidth="0" w:num="1">
        <w:col w:w="11220"/>
      </w:cols>
      <w:pgMar w:left="320" w:top="334"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2020-03-16T15:34:35Z</dcterms:created>
  <dcterms:modified xsi:type="dcterms:W3CDTF">2020-03-16T15:34:35Z</dcterms:modified>
</cp:coreProperties>
</file>