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us9814751064_012722.txt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WORLD FUEL SERVICES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981475106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981475106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10380742</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10580580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10580580</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16.7%</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WORLD FUEL SERVICES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9800 N.W. 41ST STREET</w:t>
      </w:r>
    </w:p>
    <w:p>
      <w:pPr>
        <w:spacing w:after="0" w:line="238" w:lineRule="auto"/>
        <w:rPr>
          <w:sz w:val="20"/>
          <w:szCs w:val="20"/>
          <w:color w:val="auto"/>
        </w:rPr>
      </w:pPr>
      <w:r>
        <w:rPr>
          <w:rFonts w:ascii="Courier New" w:cs="Courier New" w:eastAsia="Courier New" w:hAnsi="Courier New"/>
          <w:sz w:val="18"/>
          <w:szCs w:val="18"/>
          <w:color w:val="auto"/>
        </w:rPr>
        <w:t>MIAMI FL 33178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10580580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16.7%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10380742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10580580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7" w:lineRule="exact"/>
        <w:rPr>
          <w:sz w:val="20"/>
          <w:szCs w:val="20"/>
          <w:color w:val="auto"/>
        </w:rPr>
      </w:pPr>
    </w:p>
    <w:p>
      <w:pPr>
        <w:jc w:val="center"/>
        <w:ind w:right="5919"/>
        <w:spacing w:after="0"/>
        <w:rPr>
          <w:sz w:val="20"/>
          <w:szCs w:val="20"/>
          <w:color w:val="auto"/>
        </w:rPr>
      </w:pPr>
      <w:r>
        <w:rPr>
          <w:rFonts w:ascii="Courier New" w:cs="Courier New" w:eastAsia="Courier New" w:hAnsi="Courier New"/>
          <w:sz w:val="16"/>
          <w:szCs w:val="16"/>
          <w:color w:val="auto"/>
        </w:rPr>
        <w:t>stock of WORLD FUEL SERVICES CORPORATION</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is more than five percent of the</w:t>
      </w:r>
    </w:p>
    <w:p>
      <w:pPr>
        <w:spacing w:after="0" w:line="238" w:lineRule="auto"/>
        <w:rPr>
          <w:sz w:val="20"/>
          <w:szCs w:val="20"/>
          <w:color w:val="auto"/>
        </w:rPr>
      </w:pPr>
      <w:r>
        <w:rPr>
          <w:rFonts w:ascii="Courier New" w:cs="Courier New" w:eastAsia="Courier New" w:hAnsi="Courier New"/>
          <w:sz w:val="18"/>
          <w:szCs w:val="18"/>
          <w:color w:val="auto"/>
        </w:rPr>
        <w:t>total outstanding common stock.</w:t>
      </w:r>
    </w:p>
    <w:p>
      <w:pPr>
        <w:sectPr>
          <w:pgSz w:w="11900" w:h="16838" w:orient="portrait"/>
          <w:cols w:equalWidth="0" w:num="1">
            <w:col w:w="10139"/>
          </w:cols>
          <w:pgMar w:left="320" w:top="142" w:right="1440" w:bottom="0" w:gutter="0" w:footer="0" w:header="0"/>
        </w:sectPr>
      </w:pPr>
    </w:p>
    <w:bookmarkStart w:id="3" w:name="page4"/>
    <w:bookmarkEnd w:id="3"/>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27,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139"/>
          </w:cols>
          <w:pgMar w:left="320" w:top="344" w:right="1440" w:bottom="138"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2022-01-27T10:08:44Z</dcterms:created>
  <dcterms:modified xsi:type="dcterms:W3CDTF">2022-01-27T10:08:44Z</dcterms:modified>
</cp:coreProperties>
</file>