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t>UNITED STATES SECURITIES AND EXCHANGE COMMISSION</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21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10-Q</w:t>
      </w:r>
    </w:p>
    <w:p>
      <w:pPr>
        <w:spacing w:after="0" w:line="253" w:lineRule="exact"/>
        <w:rPr>
          <w:sz w:val="24"/>
          <w:szCs w:val="24"/>
          <w:color w:val="auto"/>
        </w:rPr>
      </w:pPr>
    </w:p>
    <w:p>
      <w:pPr>
        <w:spacing w:after="0"/>
        <w:rPr>
          <w:sz w:val="20"/>
          <w:szCs w:val="20"/>
          <w:color w:val="auto"/>
        </w:rPr>
      </w:pPr>
      <w:r>
        <w:rPr>
          <w:rFonts w:ascii="Arial" w:cs="Arial" w:eastAsia="Arial" w:hAnsi="Arial"/>
          <w:sz w:val="14"/>
          <w:szCs w:val="14"/>
          <w:color w:val="auto"/>
        </w:rPr>
        <w:t>(Mark One)</w:t>
      </w:r>
    </w:p>
    <w:p>
      <w:pPr>
        <w:spacing w:after="0" w:line="143" w:lineRule="exact"/>
        <w:rPr>
          <w:sz w:val="24"/>
          <w:szCs w:val="24"/>
          <w:color w:val="auto"/>
        </w:rPr>
      </w:pPr>
    </w:p>
    <w:p>
      <w:pPr>
        <w:ind w:left="960" w:hanging="446"/>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6"/>
          <w:szCs w:val="16"/>
          <w:color w:val="auto"/>
        </w:rPr>
        <w:t>QUARTERLY REPORT PURSUANT TO SECTION 13 OR 15(d) OF THE SECURITIES EXCHANGE ACT OF 1934</w:t>
      </w:r>
    </w:p>
    <w:p>
      <w:pPr>
        <w:spacing w:after="0" w:line="225" w:lineRule="exact"/>
        <w:rPr>
          <w:sz w:val="24"/>
          <w:szCs w:val="24"/>
          <w:color w:val="auto"/>
        </w:rPr>
      </w:pPr>
    </w:p>
    <w:p>
      <w:pPr>
        <w:ind w:left="4280"/>
        <w:spacing w:after="0"/>
        <w:rPr>
          <w:sz w:val="20"/>
          <w:szCs w:val="20"/>
          <w:color w:val="auto"/>
        </w:rPr>
      </w:pPr>
      <w:r>
        <w:rPr>
          <w:rFonts w:ascii="Arial" w:cs="Arial" w:eastAsia="Arial" w:hAnsi="Arial"/>
          <w:sz w:val="16"/>
          <w:szCs w:val="16"/>
          <w:color w:val="auto"/>
        </w:rPr>
        <w:t>For the quarterly period ended March 31, 2022</w:t>
      </w:r>
    </w:p>
    <w:p>
      <w:pPr>
        <w:spacing w:after="0" w:line="112"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OR</w:t>
      </w:r>
    </w:p>
    <w:p>
      <w:pPr>
        <w:spacing w:after="0" w:line="143" w:lineRule="exact"/>
        <w:rPr>
          <w:sz w:val="24"/>
          <w:szCs w:val="24"/>
          <w:color w:val="auto"/>
        </w:rPr>
      </w:pPr>
    </w:p>
    <w:p>
      <w:pPr>
        <w:ind w:left="940" w:hanging="435"/>
        <w:spacing w:after="0"/>
        <w:tabs>
          <w:tab w:leader="none" w:pos="940" w:val="left"/>
        </w:tabs>
        <w:numPr>
          <w:ilvl w:val="0"/>
          <w:numId w:val="2"/>
        </w:numPr>
        <w:rPr>
          <w:rFonts w:ascii="MS PGothic" w:cs="MS PGothic" w:eastAsia="MS PGothic" w:hAnsi="MS PGothic"/>
          <w:sz w:val="16"/>
          <w:szCs w:val="16"/>
          <w:color w:val="auto"/>
        </w:rPr>
      </w:pPr>
      <w:r>
        <w:rPr>
          <w:rFonts w:ascii="Arial" w:cs="Arial" w:eastAsia="Arial" w:hAnsi="Arial"/>
          <w:sz w:val="16"/>
          <w:szCs w:val="16"/>
          <w:color w:val="auto"/>
        </w:rPr>
        <w:t>TRANSITION REPORT PURSUANT TO SECTION 13 OR 15(d) OF THE SECURITIES EXCHANGE ACT OF 1934</w:t>
      </w:r>
    </w:p>
    <w:p>
      <w:pPr>
        <w:spacing w:after="0" w:line="200" w:lineRule="exact"/>
        <w:rPr>
          <w:sz w:val="24"/>
          <w:szCs w:val="24"/>
          <w:color w:val="auto"/>
        </w:rPr>
      </w:pPr>
    </w:p>
    <w:p>
      <w:pPr>
        <w:ind w:left="3180"/>
        <w:spacing w:after="0"/>
        <w:rPr>
          <w:sz w:val="20"/>
          <w:szCs w:val="20"/>
          <w:color w:val="auto"/>
        </w:rPr>
      </w:pPr>
      <w:r>
        <w:rPr>
          <w:rFonts w:ascii="Arial" w:cs="Arial" w:eastAsia="Arial" w:hAnsi="Arial"/>
          <w:sz w:val="18"/>
          <w:szCs w:val="18"/>
          <w:color w:val="auto"/>
        </w:rPr>
        <w:t>For the transition period from __________ to ___________</w:t>
      </w:r>
    </w:p>
    <w:p>
      <w:pPr>
        <w:spacing w:after="0" w:line="91"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COMMISSION FILE NUMBER 001-09533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2910205</wp:posOffset>
            </wp:positionH>
            <wp:positionV relativeFrom="paragraph">
              <wp:posOffset>86360</wp:posOffset>
            </wp:positionV>
            <wp:extent cx="1321435" cy="550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1435" cy="550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ind w:left="4040"/>
        <w:spacing w:after="0"/>
        <w:rPr>
          <w:sz w:val="20"/>
          <w:szCs w:val="20"/>
          <w:color w:val="auto"/>
        </w:rPr>
      </w:pPr>
      <w:r>
        <w:rPr>
          <w:rFonts w:ascii="Arial" w:cs="Arial" w:eastAsia="Arial" w:hAnsi="Arial"/>
          <w:sz w:val="16"/>
          <w:szCs w:val="16"/>
          <w:b w:val="1"/>
          <w:bCs w:val="1"/>
          <w:color w:val="auto"/>
        </w:rPr>
        <w:t>WORLD FUEL SERVICES CORPORATION</w:t>
      </w:r>
    </w:p>
    <w:p>
      <w:pPr>
        <w:spacing w:after="0" w:line="132" w:lineRule="exact"/>
        <w:rPr>
          <w:sz w:val="24"/>
          <w:szCs w:val="24"/>
          <w:color w:val="auto"/>
        </w:rPr>
      </w:pPr>
    </w:p>
    <w:p>
      <w:pPr>
        <w:ind w:left="4000"/>
        <w:spacing w:after="0"/>
        <w:rPr>
          <w:sz w:val="20"/>
          <w:szCs w:val="20"/>
          <w:color w:val="auto"/>
        </w:rPr>
      </w:pPr>
      <w:r>
        <w:rPr>
          <w:rFonts w:ascii="Arial" w:cs="Arial" w:eastAsia="Arial" w:hAnsi="Arial"/>
          <w:sz w:val="14"/>
          <w:szCs w:val="14"/>
          <w:color w:val="auto"/>
        </w:rPr>
        <w:t>(Exact name of registrant as specified in its charter)</w:t>
      </w:r>
    </w:p>
    <w:p>
      <w:pPr>
        <w:spacing w:after="0" w:line="123" w:lineRule="exact"/>
        <w:rPr>
          <w:sz w:val="24"/>
          <w:szCs w:val="24"/>
          <w:color w:val="auto"/>
        </w:rPr>
      </w:pPr>
    </w:p>
    <w:tbl>
      <w:tblPr>
        <w:tblLayout w:type="fixed"/>
        <w:tblInd w:w="260" w:type="dxa"/>
        <w:tblCellMar>
          <w:top w:w="0" w:type="dxa"/>
          <w:left w:w="0" w:type="dxa"/>
          <w:bottom w:w="0" w:type="dxa"/>
          <w:right w:w="0" w:type="dxa"/>
        </w:tblCellMar>
      </w:tblPr>
      <w:tr>
        <w:trPr>
          <w:trHeight w:val="213"/>
        </w:trPr>
        <w:tc>
          <w:tcPr>
            <w:tcW w:w="660" w:type="dxa"/>
            <w:vAlign w:val="bottom"/>
          </w:tcPr>
          <w:p>
            <w:pPr>
              <w:spacing w:after="0"/>
              <w:rPr>
                <w:sz w:val="18"/>
                <w:szCs w:val="18"/>
                <w:color w:val="auto"/>
              </w:rPr>
            </w:pPr>
          </w:p>
        </w:tc>
        <w:tc>
          <w:tcPr>
            <w:tcW w:w="2060" w:type="dxa"/>
            <w:vAlign w:val="bottom"/>
            <w:gridSpan w:val="2"/>
          </w:tcPr>
          <w:p>
            <w:pPr>
              <w:jc w:val="center"/>
              <w:ind w:right="920"/>
              <w:spacing w:after="0"/>
              <w:rPr>
                <w:sz w:val="20"/>
                <w:szCs w:val="20"/>
                <w:color w:val="auto"/>
              </w:rPr>
            </w:pPr>
            <w:r>
              <w:rPr>
                <w:rFonts w:ascii="Arial" w:cs="Arial" w:eastAsia="Arial" w:hAnsi="Arial"/>
                <w:sz w:val="16"/>
                <w:szCs w:val="16"/>
                <w:b w:val="1"/>
                <w:bCs w:val="1"/>
                <w:color w:val="auto"/>
              </w:rPr>
              <w:t>Florida</w:t>
            </w:r>
          </w:p>
        </w:tc>
        <w:tc>
          <w:tcPr>
            <w:tcW w:w="2100" w:type="dxa"/>
            <w:vAlign w:val="bottom"/>
            <w:gridSpan w:val="2"/>
          </w:tcPr>
          <w:p>
            <w:pPr>
              <w:jc w:val="right"/>
              <w:spacing w:after="0"/>
              <w:rPr>
                <w:sz w:val="20"/>
                <w:szCs w:val="20"/>
                <w:color w:val="auto"/>
              </w:rPr>
            </w:pPr>
            <w:r>
              <w:rPr>
                <w:rFonts w:ascii="Arial" w:cs="Arial" w:eastAsia="Arial" w:hAnsi="Arial"/>
                <w:sz w:val="16"/>
                <w:szCs w:val="16"/>
                <w:b w:val="1"/>
                <w:bCs w:val="1"/>
                <w:color w:val="auto"/>
              </w:rPr>
              <w:t>9800 N.W. 41st Street,</w:t>
            </w:r>
          </w:p>
        </w:tc>
        <w:tc>
          <w:tcPr>
            <w:tcW w:w="1900" w:type="dxa"/>
            <w:vAlign w:val="bottom"/>
            <w:gridSpan w:val="2"/>
          </w:tcPr>
          <w:p>
            <w:pPr>
              <w:ind w:left="180"/>
              <w:spacing w:after="0"/>
              <w:rPr>
                <w:sz w:val="20"/>
                <w:szCs w:val="20"/>
                <w:color w:val="auto"/>
              </w:rPr>
            </w:pPr>
            <w:r>
              <w:rPr>
                <w:rFonts w:ascii="Arial" w:cs="Arial" w:eastAsia="Arial" w:hAnsi="Arial"/>
                <w:sz w:val="16"/>
                <w:szCs w:val="16"/>
                <w:b w:val="1"/>
                <w:bCs w:val="1"/>
                <w:color w:val="auto"/>
              </w:rPr>
              <w:t>Miami,  Florida</w:t>
            </w:r>
          </w:p>
        </w:tc>
        <w:tc>
          <w:tcPr>
            <w:tcW w:w="780" w:type="dxa"/>
            <w:vAlign w:val="bottom"/>
          </w:tcPr>
          <w:p>
            <w:pPr>
              <w:jc w:val="right"/>
              <w:ind w:right="160"/>
              <w:spacing w:after="0"/>
              <w:rPr>
                <w:sz w:val="20"/>
                <w:szCs w:val="20"/>
                <w:color w:val="auto"/>
              </w:rPr>
            </w:pPr>
            <w:r>
              <w:rPr>
                <w:rFonts w:ascii="Arial" w:cs="Arial" w:eastAsia="Arial" w:hAnsi="Arial"/>
                <w:sz w:val="16"/>
                <w:szCs w:val="16"/>
                <w:b w:val="1"/>
                <w:bCs w:val="1"/>
                <w:color w:val="auto"/>
              </w:rPr>
              <w:t>33178</w:t>
            </w:r>
          </w:p>
        </w:tc>
        <w:tc>
          <w:tcPr>
            <w:tcW w:w="3060" w:type="dxa"/>
            <w:vAlign w:val="bottom"/>
            <w:gridSpan w:val="2"/>
          </w:tcPr>
          <w:p>
            <w:pPr>
              <w:jc w:val="center"/>
              <w:ind w:left="164"/>
              <w:spacing w:after="0"/>
              <w:rPr>
                <w:sz w:val="20"/>
                <w:szCs w:val="20"/>
                <w:color w:val="auto"/>
              </w:rPr>
            </w:pPr>
            <w:r>
              <w:rPr>
                <w:rFonts w:ascii="Arial" w:cs="Arial" w:eastAsia="Arial" w:hAnsi="Arial"/>
                <w:sz w:val="16"/>
                <w:szCs w:val="16"/>
                <w:b w:val="1"/>
                <w:bCs w:val="1"/>
                <w:color w:val="auto"/>
              </w:rPr>
              <w:t>59-2459427</w:t>
            </w:r>
          </w:p>
        </w:tc>
      </w:tr>
      <w:tr>
        <w:trPr>
          <w:trHeight w:val="157"/>
        </w:trPr>
        <w:tc>
          <w:tcPr>
            <w:tcW w:w="2720" w:type="dxa"/>
            <w:vAlign w:val="bottom"/>
            <w:gridSpan w:val="3"/>
          </w:tcPr>
          <w:p>
            <w:pPr>
              <w:jc w:val="center"/>
              <w:ind w:right="260"/>
              <w:spacing w:after="0" w:line="157" w:lineRule="exact"/>
              <w:rPr>
                <w:sz w:val="20"/>
                <w:szCs w:val="20"/>
                <w:color w:val="auto"/>
              </w:rPr>
            </w:pPr>
            <w:r>
              <w:rPr>
                <w:rFonts w:ascii="Arial" w:cs="Arial" w:eastAsia="Arial" w:hAnsi="Arial"/>
                <w:sz w:val="14"/>
                <w:szCs w:val="14"/>
                <w:color w:val="auto"/>
              </w:rPr>
              <w:t>(State or other jurisdiction of</w:t>
            </w:r>
          </w:p>
        </w:tc>
        <w:tc>
          <w:tcPr>
            <w:tcW w:w="4000" w:type="dxa"/>
            <w:vAlign w:val="bottom"/>
            <w:gridSpan w:val="4"/>
          </w:tcPr>
          <w:p>
            <w:pPr>
              <w:jc w:val="center"/>
              <w:ind w:left="502"/>
              <w:spacing w:after="0" w:line="157" w:lineRule="exact"/>
              <w:rPr>
                <w:sz w:val="20"/>
                <w:szCs w:val="20"/>
                <w:color w:val="auto"/>
              </w:rPr>
            </w:pPr>
            <w:r>
              <w:rPr>
                <w:rFonts w:ascii="Arial" w:cs="Arial" w:eastAsia="Arial" w:hAnsi="Arial"/>
                <w:sz w:val="14"/>
                <w:szCs w:val="14"/>
                <w:color w:val="auto"/>
              </w:rPr>
              <w:t>(Address of Principal Executive Offices) (Zip Code)</w:t>
            </w:r>
          </w:p>
        </w:tc>
        <w:tc>
          <w:tcPr>
            <w:tcW w:w="7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20" w:type="dxa"/>
            <w:vAlign w:val="bottom"/>
          </w:tcPr>
          <w:p>
            <w:pPr>
              <w:jc w:val="center"/>
              <w:spacing w:after="0" w:line="157" w:lineRule="exact"/>
              <w:rPr>
                <w:sz w:val="20"/>
                <w:szCs w:val="20"/>
                <w:color w:val="auto"/>
              </w:rPr>
            </w:pPr>
            <w:r>
              <w:rPr>
                <w:rFonts w:ascii="Arial" w:cs="Arial" w:eastAsia="Arial" w:hAnsi="Arial"/>
                <w:sz w:val="14"/>
                <w:szCs w:val="14"/>
                <w:color w:val="auto"/>
              </w:rPr>
              <w:t>(I.R.S. Employer</w:t>
            </w:r>
          </w:p>
        </w:tc>
      </w:tr>
      <w:tr>
        <w:trPr>
          <w:trHeight w:val="171"/>
        </w:trPr>
        <w:tc>
          <w:tcPr>
            <w:tcW w:w="2720" w:type="dxa"/>
            <w:vAlign w:val="bottom"/>
            <w:gridSpan w:val="3"/>
          </w:tcPr>
          <w:p>
            <w:pPr>
              <w:jc w:val="center"/>
              <w:ind w:right="260"/>
              <w:spacing w:after="0"/>
              <w:rPr>
                <w:sz w:val="20"/>
                <w:szCs w:val="20"/>
                <w:color w:val="auto"/>
              </w:rPr>
            </w:pPr>
            <w:r>
              <w:rPr>
                <w:rFonts w:ascii="Arial" w:cs="Arial" w:eastAsia="Arial" w:hAnsi="Arial"/>
                <w:sz w:val="14"/>
                <w:szCs w:val="14"/>
                <w:color w:val="auto"/>
              </w:rPr>
              <w:t>incorporation or organization)</w:t>
            </w:r>
          </w:p>
        </w:tc>
        <w:tc>
          <w:tcPr>
            <w:tcW w:w="17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820" w:type="dxa"/>
            <w:vAlign w:val="bottom"/>
          </w:tcPr>
          <w:p>
            <w:pPr>
              <w:jc w:val="center"/>
              <w:spacing w:after="0"/>
              <w:rPr>
                <w:sz w:val="20"/>
                <w:szCs w:val="20"/>
                <w:color w:val="auto"/>
              </w:rPr>
            </w:pPr>
            <w:r>
              <w:rPr>
                <w:rFonts w:ascii="Arial" w:cs="Arial" w:eastAsia="Arial" w:hAnsi="Arial"/>
                <w:sz w:val="14"/>
                <w:szCs w:val="14"/>
                <w:color w:val="auto"/>
              </w:rPr>
              <w:t>Identification No.)</w:t>
            </w:r>
          </w:p>
        </w:tc>
      </w:tr>
      <w:tr>
        <w:trPr>
          <w:trHeight w:val="219"/>
        </w:trPr>
        <w:tc>
          <w:tcPr>
            <w:tcW w:w="6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4780" w:type="dxa"/>
            <w:vAlign w:val="bottom"/>
            <w:gridSpan w:val="5"/>
          </w:tcPr>
          <w:p>
            <w:pPr>
              <w:jc w:val="center"/>
              <w:ind w:right="120"/>
              <w:spacing w:after="0"/>
              <w:rPr>
                <w:sz w:val="20"/>
                <w:szCs w:val="20"/>
                <w:color w:val="auto"/>
              </w:rPr>
            </w:pPr>
            <w:r>
              <w:rPr>
                <w:rFonts w:ascii="Arial" w:cs="Arial" w:eastAsia="Arial" w:hAnsi="Arial"/>
                <w:sz w:val="16"/>
                <w:szCs w:val="16"/>
                <w:color w:val="auto"/>
              </w:rPr>
              <w:t>Registrant’s telephone number, including area code:</w:t>
            </w:r>
          </w:p>
        </w:tc>
        <w:tc>
          <w:tcPr>
            <w:tcW w:w="240" w:type="dxa"/>
            <w:vAlign w:val="bottom"/>
          </w:tcPr>
          <w:p>
            <w:pPr>
              <w:spacing w:after="0"/>
              <w:rPr>
                <w:sz w:val="19"/>
                <w:szCs w:val="19"/>
                <w:color w:val="auto"/>
              </w:rPr>
            </w:pPr>
          </w:p>
        </w:tc>
        <w:tc>
          <w:tcPr>
            <w:tcW w:w="2820" w:type="dxa"/>
            <w:vAlign w:val="bottom"/>
          </w:tcPr>
          <w:p>
            <w:pPr>
              <w:spacing w:after="0"/>
              <w:rPr>
                <w:sz w:val="19"/>
                <w:szCs w:val="19"/>
                <w:color w:val="auto"/>
              </w:rPr>
            </w:pPr>
          </w:p>
        </w:tc>
      </w:tr>
      <w:tr>
        <w:trPr>
          <w:trHeight w:val="213"/>
        </w:trPr>
        <w:tc>
          <w:tcPr>
            <w:tcW w:w="6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100" w:type="dxa"/>
            <w:vAlign w:val="bottom"/>
            <w:gridSpan w:val="2"/>
          </w:tcPr>
          <w:p>
            <w:pPr>
              <w:jc w:val="right"/>
              <w:ind w:right="149"/>
              <w:spacing w:after="0"/>
              <w:rPr>
                <w:sz w:val="20"/>
                <w:szCs w:val="20"/>
                <w:color w:val="auto"/>
              </w:rPr>
            </w:pPr>
            <w:r>
              <w:rPr>
                <w:rFonts w:ascii="Arial" w:cs="Arial" w:eastAsia="Arial" w:hAnsi="Arial"/>
                <w:sz w:val="16"/>
                <w:szCs w:val="16"/>
                <w:b w:val="1"/>
                <w:bCs w:val="1"/>
                <w:color w:val="auto"/>
              </w:rPr>
              <w:t>( 305 )</w:t>
            </w:r>
          </w:p>
        </w:tc>
        <w:tc>
          <w:tcPr>
            <w:tcW w:w="780" w:type="dxa"/>
            <w:vAlign w:val="bottom"/>
          </w:tcPr>
          <w:p>
            <w:pPr>
              <w:jc w:val="right"/>
              <w:spacing w:after="0"/>
              <w:rPr>
                <w:sz w:val="20"/>
                <w:szCs w:val="20"/>
                <w:color w:val="auto"/>
              </w:rPr>
            </w:pPr>
            <w:r>
              <w:rPr>
                <w:rFonts w:ascii="Arial" w:cs="Arial" w:eastAsia="Arial" w:hAnsi="Arial"/>
                <w:sz w:val="16"/>
                <w:szCs w:val="16"/>
                <w:b w:val="1"/>
                <w:bCs w:val="1"/>
                <w:color w:val="auto"/>
              </w:rPr>
              <w:t>428-8000</w:t>
            </w:r>
          </w:p>
        </w:tc>
        <w:tc>
          <w:tcPr>
            <w:tcW w:w="1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20" w:type="dxa"/>
            <w:vAlign w:val="bottom"/>
          </w:tcPr>
          <w:p>
            <w:pPr>
              <w:spacing w:after="0"/>
              <w:rPr>
                <w:sz w:val="18"/>
                <w:szCs w:val="18"/>
                <w:color w:val="auto"/>
              </w:rPr>
            </w:pPr>
          </w:p>
        </w:tc>
      </w:tr>
      <w:tr>
        <w:trPr>
          <w:trHeight w:val="320"/>
        </w:trPr>
        <w:tc>
          <w:tcPr>
            <w:tcW w:w="6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780" w:type="dxa"/>
            <w:vAlign w:val="bottom"/>
            <w:gridSpan w:val="5"/>
          </w:tcPr>
          <w:p>
            <w:pPr>
              <w:jc w:val="center"/>
              <w:ind w:right="120"/>
              <w:spacing w:after="0"/>
              <w:rPr>
                <w:sz w:val="20"/>
                <w:szCs w:val="20"/>
                <w:color w:val="auto"/>
              </w:rPr>
            </w:pPr>
            <w:r>
              <w:rPr>
                <w:rFonts w:ascii="Arial" w:cs="Arial" w:eastAsia="Arial" w:hAnsi="Arial"/>
                <w:sz w:val="16"/>
                <w:szCs w:val="16"/>
                <w:color w:val="auto"/>
                <w:w w:val="99"/>
              </w:rPr>
              <w:t>Securities registered pursuant to Section 12(b) of the Act</w:t>
            </w:r>
          </w:p>
        </w:tc>
        <w:tc>
          <w:tcPr>
            <w:tcW w:w="240" w:type="dxa"/>
            <w:vAlign w:val="bottom"/>
          </w:tcPr>
          <w:p>
            <w:pPr>
              <w:spacing w:after="0"/>
              <w:rPr>
                <w:sz w:val="24"/>
                <w:szCs w:val="24"/>
                <w:color w:val="auto"/>
              </w:rPr>
            </w:pPr>
          </w:p>
        </w:tc>
        <w:tc>
          <w:tcPr>
            <w:tcW w:w="2820" w:type="dxa"/>
            <w:vAlign w:val="bottom"/>
          </w:tcPr>
          <w:p>
            <w:pPr>
              <w:spacing w:after="0"/>
              <w:rPr>
                <w:sz w:val="24"/>
                <w:szCs w:val="24"/>
                <w:color w:val="auto"/>
              </w:rPr>
            </w:pPr>
          </w:p>
        </w:tc>
      </w:tr>
      <w:tr>
        <w:trPr>
          <w:trHeight w:val="165"/>
        </w:trPr>
        <w:tc>
          <w:tcPr>
            <w:tcW w:w="660" w:type="dxa"/>
            <w:vAlign w:val="bottom"/>
          </w:tcPr>
          <w:p>
            <w:pPr>
              <w:spacing w:after="0"/>
              <w:rPr>
                <w:sz w:val="14"/>
                <w:szCs w:val="14"/>
                <w:color w:val="auto"/>
              </w:rPr>
            </w:pPr>
          </w:p>
        </w:tc>
        <w:tc>
          <w:tcPr>
            <w:tcW w:w="1140" w:type="dxa"/>
            <w:vAlign w:val="bottom"/>
          </w:tcPr>
          <w:p>
            <w:pPr>
              <w:jc w:val="center"/>
              <w:spacing w:after="0"/>
              <w:rPr>
                <w:sz w:val="20"/>
                <w:szCs w:val="20"/>
                <w:color w:val="auto"/>
              </w:rPr>
            </w:pPr>
            <w:r>
              <w:rPr>
                <w:rFonts w:ascii="Arial" w:cs="Arial" w:eastAsia="Arial" w:hAnsi="Arial"/>
                <w:sz w:val="14"/>
                <w:szCs w:val="14"/>
                <w:color w:val="auto"/>
              </w:rPr>
              <w:t>Title of each class</w:t>
            </w:r>
          </w:p>
        </w:tc>
        <w:tc>
          <w:tcPr>
            <w:tcW w:w="92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2300" w:type="dxa"/>
            <w:vAlign w:val="bottom"/>
            <w:gridSpan w:val="3"/>
          </w:tcPr>
          <w:p>
            <w:pPr>
              <w:jc w:val="center"/>
              <w:ind w:right="1120"/>
              <w:spacing w:after="0"/>
              <w:rPr>
                <w:sz w:val="20"/>
                <w:szCs w:val="20"/>
                <w:color w:val="auto"/>
              </w:rPr>
            </w:pPr>
            <w:r>
              <w:rPr>
                <w:rFonts w:ascii="Arial" w:cs="Arial" w:eastAsia="Arial" w:hAnsi="Arial"/>
                <w:sz w:val="14"/>
                <w:szCs w:val="14"/>
                <w:color w:val="auto"/>
                <w:w w:val="99"/>
              </w:rPr>
              <w:t>Trading Symbol (s)</w:t>
            </w:r>
          </w:p>
        </w:tc>
        <w:tc>
          <w:tcPr>
            <w:tcW w:w="780" w:type="dxa"/>
            <w:vAlign w:val="bottom"/>
          </w:tcPr>
          <w:p>
            <w:pPr>
              <w:spacing w:after="0"/>
              <w:rPr>
                <w:sz w:val="14"/>
                <w:szCs w:val="14"/>
                <w:color w:val="auto"/>
              </w:rPr>
            </w:pPr>
          </w:p>
        </w:tc>
        <w:tc>
          <w:tcPr>
            <w:tcW w:w="3060" w:type="dxa"/>
            <w:vAlign w:val="bottom"/>
            <w:gridSpan w:val="2"/>
          </w:tcPr>
          <w:p>
            <w:pPr>
              <w:jc w:val="center"/>
              <w:ind w:left="164"/>
              <w:spacing w:after="0"/>
              <w:rPr>
                <w:sz w:val="20"/>
                <w:szCs w:val="20"/>
                <w:color w:val="auto"/>
              </w:rPr>
            </w:pPr>
            <w:r>
              <w:rPr>
                <w:rFonts w:ascii="Arial" w:cs="Arial" w:eastAsia="Arial" w:hAnsi="Arial"/>
                <w:sz w:val="14"/>
                <w:szCs w:val="14"/>
                <w:color w:val="auto"/>
              </w:rPr>
              <w:t>Name of each exchange on which registered</w:t>
            </w:r>
          </w:p>
        </w:tc>
      </w:tr>
      <w:tr>
        <w:trPr>
          <w:trHeight w:val="20"/>
        </w:trPr>
        <w:tc>
          <w:tcPr>
            <w:tcW w:w="66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20" w:type="dxa"/>
            <w:vAlign w:val="bottom"/>
            <w:shd w:val="clear" w:color="auto" w:fill="000000"/>
          </w:tcPr>
          <w:p>
            <w:pPr>
              <w:spacing w:after="0" w:line="20" w:lineRule="exact"/>
              <w:rPr>
                <w:sz w:val="1"/>
                <w:szCs w:val="1"/>
                <w:color w:val="auto"/>
              </w:rPr>
            </w:pPr>
          </w:p>
        </w:tc>
      </w:tr>
      <w:tr>
        <w:trPr>
          <w:trHeight w:val="215"/>
        </w:trPr>
        <w:tc>
          <w:tcPr>
            <w:tcW w:w="2720" w:type="dxa"/>
            <w:vAlign w:val="bottom"/>
            <w:gridSpan w:val="3"/>
          </w:tcPr>
          <w:p>
            <w:pPr>
              <w:jc w:val="center"/>
              <w:ind w:right="260"/>
              <w:spacing w:after="0"/>
              <w:rPr>
                <w:sz w:val="20"/>
                <w:szCs w:val="20"/>
                <w:color w:val="auto"/>
              </w:rPr>
            </w:pPr>
            <w:r>
              <w:rPr>
                <w:rFonts w:ascii="Arial" w:cs="Arial" w:eastAsia="Arial" w:hAnsi="Arial"/>
                <w:sz w:val="16"/>
                <w:szCs w:val="16"/>
                <w:b w:val="1"/>
                <w:bCs w:val="1"/>
                <w:color w:val="auto"/>
              </w:rPr>
              <w:t>Common Stock , $0.01 par value</w:t>
            </w:r>
          </w:p>
        </w:tc>
        <w:tc>
          <w:tcPr>
            <w:tcW w:w="17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900" w:type="dxa"/>
            <w:vAlign w:val="bottom"/>
            <w:gridSpan w:val="2"/>
          </w:tcPr>
          <w:p>
            <w:pPr>
              <w:jc w:val="center"/>
              <w:ind w:right="1520"/>
              <w:spacing w:after="0"/>
              <w:rPr>
                <w:sz w:val="20"/>
                <w:szCs w:val="20"/>
                <w:color w:val="auto"/>
              </w:rPr>
            </w:pPr>
            <w:r>
              <w:rPr>
                <w:rFonts w:ascii="Arial" w:cs="Arial" w:eastAsia="Arial" w:hAnsi="Arial"/>
                <w:sz w:val="16"/>
                <w:szCs w:val="16"/>
                <w:b w:val="1"/>
                <w:bCs w:val="1"/>
                <w:color w:val="auto"/>
              </w:rPr>
              <w:t>INT</w:t>
            </w: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20" w:type="dxa"/>
            <w:vAlign w:val="bottom"/>
          </w:tcPr>
          <w:p>
            <w:pPr>
              <w:jc w:val="center"/>
              <w:spacing w:after="0"/>
              <w:rPr>
                <w:sz w:val="20"/>
                <w:szCs w:val="20"/>
                <w:color w:val="auto"/>
              </w:rPr>
            </w:pPr>
            <w:r>
              <w:rPr>
                <w:rFonts w:ascii="Arial" w:cs="Arial" w:eastAsia="Arial" w:hAnsi="Arial"/>
                <w:sz w:val="16"/>
                <w:szCs w:val="16"/>
                <w:b w:val="1"/>
                <w:bCs w:val="1"/>
                <w:color w:val="auto"/>
                <w:w w:val="99"/>
              </w:rPr>
              <w:t>New York Stock Exchange</w:t>
            </w:r>
          </w:p>
        </w:tc>
      </w:tr>
    </w:tbl>
    <w:p>
      <w:pPr>
        <w:spacing w:after="0" w:line="261" w:lineRule="exact"/>
        <w:rPr>
          <w:sz w:val="24"/>
          <w:szCs w:val="24"/>
          <w:color w:val="auto"/>
        </w:rPr>
      </w:pPr>
    </w:p>
    <w:p>
      <w:pPr>
        <w:jc w:val="both"/>
        <w:spacing w:after="0" w:line="195"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136" w:lineRule="exact"/>
        <w:rPr>
          <w:sz w:val="24"/>
          <w:szCs w:val="24"/>
          <w:color w:val="auto"/>
        </w:rPr>
      </w:pPr>
    </w:p>
    <w:p>
      <w:pPr>
        <w:jc w:val="both"/>
        <w:spacing w:after="0" w:line="241" w:lineRule="auto"/>
        <w:rPr>
          <w:sz w:val="20"/>
          <w:szCs w:val="20"/>
          <w:color w:val="auto"/>
        </w:rPr>
      </w:pPr>
      <w:r>
        <w:rPr>
          <w:rFonts w:ascii="Arial" w:cs="Arial" w:eastAsia="Arial" w:hAnsi="Arial"/>
          <w:sz w:val="16"/>
          <w:szCs w:val="16"/>
          <w:color w:val="auto"/>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w:t>
      </w:r>
    </w:p>
    <w:p>
      <w:pPr>
        <w:ind w:left="280" w:hanging="273"/>
        <w:spacing w:after="0" w:line="184" w:lineRule="exact"/>
        <w:tabs>
          <w:tab w:leader="none" w:pos="280" w:val="left"/>
        </w:tabs>
        <w:numPr>
          <w:ilvl w:val="0"/>
          <w:numId w:val="3"/>
        </w:numPr>
        <w:rPr>
          <w:rFonts w:ascii="MS PGothic" w:cs="MS PGothic" w:eastAsia="MS PGothic" w:hAnsi="MS PGothic"/>
          <w:sz w:val="16"/>
          <w:szCs w:val="16"/>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167" w:lineRule="exact"/>
        <w:rPr>
          <w:sz w:val="24"/>
          <w:szCs w:val="24"/>
          <w:color w:val="auto"/>
        </w:rPr>
      </w:pPr>
    </w:p>
    <w:p>
      <w:pPr>
        <w:jc w:val="both"/>
        <w:spacing w:after="0" w:line="195" w:lineRule="exact"/>
        <w:rPr>
          <w:sz w:val="20"/>
          <w:szCs w:val="20"/>
          <w:color w:val="auto"/>
        </w:rPr>
      </w:pPr>
      <w:r>
        <w:rPr>
          <w:rFonts w:ascii="Arial" w:cs="Arial" w:eastAsia="Arial" w:hAnsi="Arial"/>
          <w:sz w:val="16"/>
          <w:szCs w:val="16"/>
          <w:color w:val="auto"/>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Large 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Non-accelerated filer </w:t>
      </w:r>
      <w:r>
        <w:rPr>
          <w:rFonts w:ascii="MS PGothic" w:cs="MS PGothic" w:eastAsia="MS PGothic" w:hAnsi="MS PGothic"/>
          <w:sz w:val="16"/>
          <w:szCs w:val="16"/>
          <w:color w:val="auto"/>
        </w:rPr>
        <w:t>☐</w:t>
      </w:r>
      <w:r>
        <w:rPr>
          <w:rFonts w:ascii="Arial" w:cs="Arial" w:eastAsia="Arial" w:hAnsi="Arial"/>
          <w:sz w:val="16"/>
          <w:szCs w:val="16"/>
          <w:color w:val="auto"/>
        </w:rPr>
        <w:t xml:space="preserve"> Smaller reporting company </w:t>
      </w:r>
      <w:r>
        <w:rPr>
          <w:rFonts w:ascii="MS PGothic" w:cs="MS PGothic" w:eastAsia="MS PGothic" w:hAnsi="MS PGothic"/>
          <w:sz w:val="16"/>
          <w:szCs w:val="16"/>
          <w:color w:val="auto"/>
        </w:rPr>
        <w:t>☐</w:t>
      </w:r>
      <w:r>
        <w:rPr>
          <w:rFonts w:ascii="Arial" w:cs="Arial" w:eastAsia="Arial" w:hAnsi="Arial"/>
          <w:sz w:val="16"/>
          <w:szCs w:val="16"/>
          <w:color w:val="auto"/>
        </w:rPr>
        <w:t xml:space="preserve"> Emerging growth company </w:t>
      </w:r>
      <w:r>
        <w:rPr>
          <w:rFonts w:ascii="MS PGothic" w:cs="MS PGothic" w:eastAsia="MS PGothic" w:hAnsi="MS PGothic"/>
          <w:sz w:val="16"/>
          <w:szCs w:val="16"/>
          <w:color w:val="auto"/>
        </w:rPr>
        <w:t>☐</w:t>
      </w:r>
    </w:p>
    <w:p>
      <w:pPr>
        <w:spacing w:after="0" w:line="136" w:lineRule="exact"/>
        <w:rPr>
          <w:sz w:val="24"/>
          <w:szCs w:val="24"/>
          <w:color w:val="auto"/>
        </w:rPr>
      </w:pPr>
    </w:p>
    <w:p>
      <w:pPr>
        <w:jc w:val="both"/>
        <w:spacing w:after="0" w:line="199"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95" w:lineRule="exact"/>
        <w:rPr>
          <w:sz w:val="24"/>
          <w:szCs w:val="24"/>
          <w:color w:val="auto"/>
        </w:rPr>
      </w:pPr>
    </w:p>
    <w:p>
      <w:pPr>
        <w:spacing w:after="0" w:line="184" w:lineRule="exact"/>
        <w:tabs>
          <w:tab w:leader="none" w:pos="8620" w:val="left"/>
        </w:tabs>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p>
      <w:pPr>
        <w:spacing w:after="0" w:line="205" w:lineRule="exact"/>
        <w:rPr>
          <w:sz w:val="24"/>
          <w:szCs w:val="24"/>
          <w:color w:val="auto"/>
        </w:rPr>
      </w:pPr>
    </w:p>
    <w:p>
      <w:pPr>
        <w:spacing w:after="0"/>
        <w:rPr>
          <w:sz w:val="20"/>
          <w:szCs w:val="20"/>
          <w:color w:val="auto"/>
        </w:rPr>
      </w:pPr>
      <w:r>
        <w:rPr>
          <w:rFonts w:ascii="Arial" w:cs="Arial" w:eastAsia="Arial" w:hAnsi="Arial"/>
          <w:sz w:val="16"/>
          <w:szCs w:val="16"/>
          <w:color w:val="auto"/>
        </w:rPr>
        <w:t>The registrant had a total of 63,015,413 shares of common stock, par value $0.01 per share, issued and outstanding as of April 22,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-7620</wp:posOffset>
            </wp:positionH>
            <wp:positionV relativeFrom="paragraph">
              <wp:posOffset>640080</wp:posOffset>
            </wp:positionV>
            <wp:extent cx="7159625"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92" w:right="339" w:bottom="1440" w:gutter="0" w:footer="0" w:header="0"/>
        </w:sectPr>
      </w:pPr>
    </w:p>
    <w:bookmarkStart w:id="1" w:name="page2"/>
    <w:bookmarkEnd w:id="1"/>
    <w:p>
      <w:pPr>
        <w:spacing w:after="0"/>
        <w:rPr>
          <w:sz w:val="20"/>
          <w:szCs w:val="20"/>
          <w:color w:val="auto"/>
        </w:rPr>
      </w:pPr>
      <w:r>
        <w:rPr>
          <w:rFonts w:ascii="Arial" w:cs="Arial" w:eastAsia="Arial" w:hAnsi="Arial"/>
          <w:sz w:val="21"/>
          <w:szCs w:val="21"/>
          <w:b w:val="1"/>
          <w:bCs w:val="1"/>
          <w:color w:val="auto"/>
        </w:rPr>
        <w:t>TABLE OF CONTENTS</w:t>
      </w: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480" w:type="dxa"/>
            <w:vAlign w:val="bottom"/>
          </w:tcPr>
          <w:p>
            <w:pPr>
              <w:spacing w:after="0"/>
              <w:rPr>
                <w:rFonts w:ascii="Arial" w:cs="Arial" w:eastAsia="Arial" w:hAnsi="Arial"/>
                <w:sz w:val="18"/>
                <w:szCs w:val="18"/>
                <w:color w:val="0E32E1"/>
                <w:w w:val="91"/>
              </w:rPr>
            </w:pPr>
            <w:hyperlink w:anchor="page3">
              <w:r>
                <w:rPr>
                  <w:rFonts w:ascii="Arial" w:cs="Arial" w:eastAsia="Arial" w:hAnsi="Arial"/>
                  <w:sz w:val="18"/>
                  <w:szCs w:val="18"/>
                  <w:color w:val="0E32E1"/>
                  <w:w w:val="91"/>
                </w:rPr>
                <w:t>Part I.</w:t>
              </w:r>
            </w:hyperlink>
          </w:p>
        </w:tc>
        <w:tc>
          <w:tcPr>
            <w:tcW w:w="420" w:type="dxa"/>
            <w:vAlign w:val="bottom"/>
            <w:gridSpan w:val="2"/>
          </w:tcPr>
          <w:p>
            <w:pPr>
              <w:spacing w:after="0"/>
              <w:rPr>
                <w:sz w:val="17"/>
                <w:szCs w:val="17"/>
                <w:color w:val="auto"/>
              </w:rPr>
            </w:pPr>
          </w:p>
        </w:tc>
        <w:tc>
          <w:tcPr>
            <w:tcW w:w="9840" w:type="dxa"/>
            <w:vAlign w:val="bottom"/>
            <w:gridSpan w:val="17"/>
          </w:tcPr>
          <w:p>
            <w:pPr>
              <w:spacing w:after="0"/>
              <w:rPr>
                <w:rFonts w:ascii="Arial" w:cs="Arial" w:eastAsia="Arial" w:hAnsi="Arial"/>
                <w:sz w:val="18"/>
                <w:szCs w:val="18"/>
                <w:color w:val="0E32E1"/>
              </w:rPr>
            </w:pPr>
            <w:hyperlink w:anchor="page3">
              <w:r>
                <w:rPr>
                  <w:rFonts w:ascii="Arial" w:cs="Arial" w:eastAsia="Arial" w:hAnsi="Arial"/>
                  <w:sz w:val="18"/>
                  <w:szCs w:val="18"/>
                  <w:color w:val="0E32E1"/>
                </w:rPr>
                <w:t>Financial Information</w:t>
              </w:r>
            </w:hyperlink>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shd w:val="clear" w:color="auto" w:fill="0E32E1"/>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20" w:type="dxa"/>
            <w:vAlign w:val="bottom"/>
            <w:shd w:val="clear" w:color="auto" w:fill="0E32E1"/>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60" w:type="dxa"/>
            <w:vAlign w:val="bottom"/>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420"/>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20" w:type="dxa"/>
            <w:vAlign w:val="bottom"/>
            <w:gridSpan w:val="2"/>
          </w:tcPr>
          <w:p>
            <w:pPr>
              <w:spacing w:after="0"/>
              <w:rPr>
                <w:rFonts w:ascii="Arial" w:cs="Arial" w:eastAsia="Arial" w:hAnsi="Arial"/>
                <w:sz w:val="18"/>
                <w:szCs w:val="18"/>
                <w:color w:val="0E32E1"/>
              </w:rPr>
            </w:pPr>
            <w:hyperlink w:anchor="page3">
              <w:r>
                <w:rPr>
                  <w:rFonts w:ascii="Arial" w:cs="Arial" w:eastAsia="Arial" w:hAnsi="Arial"/>
                  <w:sz w:val="18"/>
                  <w:szCs w:val="18"/>
                  <w:color w:val="0E32E1"/>
                </w:rPr>
                <w:t>Item 1.</w:t>
              </w:r>
            </w:hyperlink>
          </w:p>
        </w:tc>
        <w:tc>
          <w:tcPr>
            <w:tcW w:w="8920" w:type="dxa"/>
            <w:vAlign w:val="bottom"/>
            <w:gridSpan w:val="15"/>
          </w:tcPr>
          <w:p>
            <w:pPr>
              <w:spacing w:after="0"/>
              <w:rPr>
                <w:rFonts w:ascii="Arial" w:cs="Arial" w:eastAsia="Arial" w:hAnsi="Arial"/>
                <w:sz w:val="18"/>
                <w:szCs w:val="18"/>
                <w:color w:val="0E32E1"/>
              </w:rPr>
            </w:pPr>
            <w:hyperlink w:anchor="page3">
              <w:r>
                <w:rPr>
                  <w:rFonts w:ascii="Arial" w:cs="Arial" w:eastAsia="Arial" w:hAnsi="Arial"/>
                  <w:sz w:val="18"/>
                  <w:szCs w:val="18"/>
                  <w:color w:val="0E32E1"/>
                </w:rPr>
                <w:t>Financial Statements (Unaudited)</w:t>
              </w:r>
            </w:hyperlink>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shd w:val="clear" w:color="auto" w:fill="0E32E1"/>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shd w:val="clear" w:color="auto" w:fill="0E32E1"/>
          </w:tcPr>
          <w:p>
            <w:pPr>
              <w:spacing w:after="0" w:line="20" w:lineRule="exact"/>
              <w:rPr>
                <w:sz w:val="1"/>
                <w:szCs w:val="1"/>
                <w:color w:val="auto"/>
              </w:rPr>
            </w:pPr>
          </w:p>
        </w:tc>
        <w:tc>
          <w:tcPr>
            <w:tcW w:w="60" w:type="dxa"/>
            <w:vAlign w:val="bottom"/>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680" w:type="dxa"/>
            <w:vAlign w:val="bottom"/>
            <w:tcBorders>
              <w:left w:val="single" w:sz="8" w:color="0E32E1"/>
            </w:tcBorders>
            <w:shd w:val="clear" w:color="auto" w:fill="0E32E1"/>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207"/>
        </w:trPr>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920" w:type="dxa"/>
            <w:vAlign w:val="bottom"/>
            <w:gridSpan w:val="15"/>
          </w:tcPr>
          <w:p>
            <w:pPr>
              <w:spacing w:after="0"/>
              <w:rPr>
                <w:rFonts w:ascii="Arial" w:cs="Arial" w:eastAsia="Arial" w:hAnsi="Arial"/>
                <w:sz w:val="18"/>
                <w:szCs w:val="18"/>
                <w:color w:val="0E32E1"/>
              </w:rPr>
            </w:pPr>
            <w:r>
              <w:rPr>
                <w:rFonts w:ascii="Arial" w:cs="Arial" w:eastAsia="Arial" w:hAnsi="Arial"/>
                <w:sz w:val="18"/>
                <w:szCs w:val="18"/>
                <w:color w:val="0E32E1"/>
              </w:rPr>
              <w:t xml:space="preserve">Condensed </w:t>
            </w:r>
            <w:hyperlink w:anchor="page3">
              <w:r>
                <w:rPr>
                  <w:rFonts w:ascii="Arial" w:cs="Arial" w:eastAsia="Arial" w:hAnsi="Arial"/>
                  <w:sz w:val="18"/>
                  <w:szCs w:val="18"/>
                  <w:color w:val="0E32E1"/>
                </w:rPr>
                <w:t xml:space="preserve">Consolidated Balance Sheets as of </w:t>
              </w:r>
            </w:hyperlink>
            <w:r>
              <w:rPr>
                <w:rFonts w:ascii="Arial" w:cs="Arial" w:eastAsia="Arial" w:hAnsi="Arial"/>
                <w:sz w:val="18"/>
                <w:szCs w:val="18"/>
                <w:color w:val="0E32E1"/>
              </w:rPr>
              <w:t xml:space="preserve">March 31, 2022 </w:t>
            </w:r>
            <w:hyperlink w:anchor="page3">
              <w:r>
                <w:rPr>
                  <w:rFonts w:ascii="Arial" w:cs="Arial" w:eastAsia="Arial" w:hAnsi="Arial"/>
                  <w:sz w:val="18"/>
                  <w:szCs w:val="18"/>
                  <w:color w:val="0E32E1"/>
                </w:rPr>
                <w:t xml:space="preserve">and </w:t>
              </w:r>
            </w:hyperlink>
            <w:r>
              <w:rPr>
                <w:rFonts w:ascii="Arial" w:cs="Arial" w:eastAsia="Arial" w:hAnsi="Arial"/>
                <w:sz w:val="18"/>
                <w:szCs w:val="18"/>
                <w:color w:val="0E32E1"/>
              </w:rPr>
              <w:t>December 31, 2021</w:t>
            </w:r>
          </w:p>
        </w:tc>
        <w:tc>
          <w:tcPr>
            <w:tcW w:w="260" w:type="dxa"/>
            <w:vAlign w:val="bottom"/>
            <w:gridSpan w:val="2"/>
          </w:tcPr>
          <w:p>
            <w:pPr>
              <w:jc w:val="center"/>
              <w:ind w:left="71"/>
              <w:spacing w:after="0"/>
              <w:rPr>
                <w:rFonts w:ascii="Arial" w:cs="Arial" w:eastAsia="Arial" w:hAnsi="Arial"/>
                <w:sz w:val="18"/>
                <w:szCs w:val="18"/>
                <w:color w:val="0E32E1"/>
                <w:w w:val="99"/>
              </w:rPr>
            </w:pPr>
            <w:hyperlink w:anchor="page3">
              <w:r>
                <w:rPr>
                  <w:rFonts w:ascii="Arial" w:cs="Arial" w:eastAsia="Arial" w:hAnsi="Arial"/>
                  <w:sz w:val="18"/>
                  <w:szCs w:val="18"/>
                  <w:color w:val="0E32E1"/>
                  <w:w w:val="99"/>
                </w:rPr>
                <w:t>1</w:t>
              </w:r>
            </w:hyperlink>
          </w:p>
        </w:tc>
        <w:tc>
          <w:tcPr>
            <w:tcW w:w="22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gridSpan w:val="2"/>
            <w:shd w:val="clear" w:color="auto" w:fill="0E32E1"/>
          </w:tcPr>
          <w:p>
            <w:pPr>
              <w:spacing w:after="0" w:line="20" w:lineRule="exact"/>
              <w:rPr>
                <w:sz w:val="1"/>
                <w:szCs w:val="1"/>
                <w:color w:val="auto"/>
              </w:rPr>
            </w:pPr>
          </w:p>
        </w:tc>
        <w:tc>
          <w:tcPr>
            <w:tcW w:w="60" w:type="dxa"/>
            <w:vAlign w:val="bottom"/>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700" w:type="dxa"/>
            <w:vAlign w:val="bottom"/>
            <w:tcBorders>
              <w:left w:val="single" w:sz="8" w:color="0E32E1"/>
            </w:tcBorders>
            <w:gridSpan w:val="2"/>
            <w:shd w:val="clear" w:color="auto" w:fill="0E32E1"/>
          </w:tcPr>
          <w:p>
            <w:pPr>
              <w:spacing w:after="0" w:line="20" w:lineRule="exact"/>
              <w:rPr>
                <w:sz w:val="1"/>
                <w:szCs w:val="1"/>
                <w:color w:val="auto"/>
              </w:rPr>
            </w:pPr>
          </w:p>
        </w:tc>
        <w:tc>
          <w:tcPr>
            <w:tcW w:w="140" w:type="dxa"/>
            <w:vAlign w:val="bottom"/>
            <w:tcBorders>
              <w:left w:val="single" w:sz="8" w:color="0E32E1"/>
            </w:tcBorders>
            <w:shd w:val="clear" w:color="auto" w:fill="0E32E1"/>
          </w:tcPr>
          <w:p>
            <w:pPr>
              <w:spacing w:after="0" w:line="20" w:lineRule="exact"/>
              <w:rPr>
                <w:sz w:val="1"/>
                <w:szCs w:val="1"/>
                <w:color w:val="auto"/>
              </w:rPr>
            </w:pPr>
          </w:p>
        </w:tc>
        <w:tc>
          <w:tcPr>
            <w:tcW w:w="2160" w:type="dxa"/>
            <w:vAlign w:val="bottom"/>
            <w:shd w:val="clear" w:color="auto" w:fill="0E32E1"/>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207"/>
        </w:trPr>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920" w:type="dxa"/>
            <w:vAlign w:val="bottom"/>
            <w:gridSpan w:val="15"/>
          </w:tcPr>
          <w:p>
            <w:pPr>
              <w:spacing w:after="0"/>
              <w:rPr>
                <w:rFonts w:ascii="Arial" w:cs="Arial" w:eastAsia="Arial" w:hAnsi="Arial"/>
                <w:sz w:val="18"/>
                <w:szCs w:val="18"/>
                <w:color w:val="0E32E1"/>
              </w:rPr>
            </w:pPr>
            <w:r>
              <w:rPr>
                <w:rFonts w:ascii="Arial" w:cs="Arial" w:eastAsia="Arial" w:hAnsi="Arial"/>
                <w:sz w:val="18"/>
                <w:szCs w:val="18"/>
                <w:color w:val="0E32E1"/>
              </w:rPr>
              <w:t xml:space="preserve">Condensed </w:t>
            </w:r>
            <w:hyperlink w:anchor="page3">
              <w:r>
                <w:rPr>
                  <w:rFonts w:ascii="Arial" w:cs="Arial" w:eastAsia="Arial" w:hAnsi="Arial"/>
                  <w:sz w:val="18"/>
                  <w:szCs w:val="18"/>
                  <w:color w:val="0E32E1"/>
                </w:rPr>
                <w:t xml:space="preserve">Consolidated Statements of Income and Comprehensive Income for the </w:t>
              </w:r>
            </w:hyperlink>
            <w:r>
              <w:rPr>
                <w:rFonts w:ascii="Arial" w:cs="Arial" w:eastAsia="Arial" w:hAnsi="Arial"/>
                <w:sz w:val="18"/>
                <w:szCs w:val="18"/>
                <w:color w:val="0E32E1"/>
              </w:rPr>
              <w:t xml:space="preserve">Three </w:t>
            </w:r>
            <w:hyperlink w:anchor="page3">
              <w:r>
                <w:rPr>
                  <w:rFonts w:ascii="Arial" w:cs="Arial" w:eastAsia="Arial" w:hAnsi="Arial"/>
                  <w:sz w:val="18"/>
                  <w:szCs w:val="18"/>
                  <w:color w:val="0E32E1"/>
                </w:rPr>
                <w:t>Months Ended</w:t>
              </w:r>
            </w:hyperlink>
          </w:p>
        </w:tc>
        <w:tc>
          <w:tcPr>
            <w:tcW w:w="260" w:type="dxa"/>
            <w:vAlign w:val="bottom"/>
            <w:gridSpan w:val="2"/>
          </w:tcPr>
          <w:p>
            <w:pPr>
              <w:jc w:val="center"/>
              <w:ind w:left="71"/>
              <w:spacing w:after="0"/>
              <w:rPr>
                <w:rFonts w:ascii="Arial" w:cs="Arial" w:eastAsia="Arial" w:hAnsi="Arial"/>
                <w:sz w:val="18"/>
                <w:szCs w:val="18"/>
                <w:color w:val="0E32E1"/>
                <w:w w:val="99"/>
              </w:rPr>
            </w:pPr>
            <w:hyperlink w:anchor="page3">
              <w:r>
                <w:rPr>
                  <w:rFonts w:ascii="Arial" w:cs="Arial" w:eastAsia="Arial" w:hAnsi="Arial"/>
                  <w:sz w:val="18"/>
                  <w:szCs w:val="18"/>
                  <w:color w:val="0E32E1"/>
                  <w:w w:val="99"/>
                </w:rPr>
                <w:t>2</w:t>
              </w:r>
            </w:hyperlink>
          </w:p>
        </w:tc>
        <w:tc>
          <w:tcPr>
            <w:tcW w:w="220" w:type="dxa"/>
            <w:vAlign w:val="bottom"/>
          </w:tcPr>
          <w:p>
            <w:pPr>
              <w:spacing w:after="0"/>
              <w:rPr>
                <w:sz w:val="17"/>
                <w:szCs w:val="17"/>
                <w:color w:val="auto"/>
              </w:rPr>
            </w:pPr>
          </w:p>
        </w:tc>
      </w:tr>
      <w:tr>
        <w:trPr>
          <w:trHeight w:val="153"/>
        </w:trPr>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20" w:type="dxa"/>
            <w:vAlign w:val="bottom"/>
            <w:tcBorders>
              <w:top w:val="single" w:sz="8" w:color="0E32E1"/>
            </w:tcBorders>
            <w:gridSpan w:val="14"/>
          </w:tcPr>
          <w:p>
            <w:pPr>
              <w:spacing w:after="0" w:line="154" w:lineRule="exact"/>
              <w:rPr>
                <w:rFonts w:ascii="Arial" w:cs="Arial" w:eastAsia="Arial" w:hAnsi="Arial"/>
                <w:sz w:val="17"/>
                <w:szCs w:val="17"/>
                <w:color w:val="0E32E1"/>
              </w:rPr>
            </w:pPr>
            <w:r>
              <w:rPr>
                <w:rFonts w:ascii="Arial" w:cs="Arial" w:eastAsia="Arial" w:hAnsi="Arial"/>
                <w:sz w:val="17"/>
                <w:szCs w:val="17"/>
                <w:color w:val="0E32E1"/>
              </w:rPr>
              <w:t xml:space="preserve">March 31, 2022 </w:t>
            </w:r>
            <w:hyperlink w:anchor="page3">
              <w:r>
                <w:rPr>
                  <w:rFonts w:ascii="Arial" w:cs="Arial" w:eastAsia="Arial" w:hAnsi="Arial"/>
                  <w:sz w:val="17"/>
                  <w:szCs w:val="17"/>
                  <w:color w:val="0E32E1"/>
                </w:rPr>
                <w:t xml:space="preserve">and </w:t>
              </w:r>
            </w:hyperlink>
            <w:r>
              <w:rPr>
                <w:rFonts w:ascii="Arial" w:cs="Arial" w:eastAsia="Arial" w:hAnsi="Arial"/>
                <w:sz w:val="17"/>
                <w:szCs w:val="17"/>
                <w:color w:val="0E32E1"/>
              </w:rPr>
              <w:t>2021</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top w:val="single" w:sz="8" w:color="0E32E1"/>
            </w:tcBorders>
          </w:tcPr>
          <w:p>
            <w:pPr>
              <w:spacing w:after="0"/>
              <w:rPr>
                <w:sz w:val="13"/>
                <w:szCs w:val="13"/>
                <w:color w:val="auto"/>
              </w:rPr>
            </w:pPr>
          </w:p>
        </w:tc>
        <w:tc>
          <w:tcPr>
            <w:tcW w:w="220" w:type="dxa"/>
            <w:vAlign w:val="bottom"/>
          </w:tcPr>
          <w:p>
            <w:pPr>
              <w:spacing w:after="0"/>
              <w:rPr>
                <w:sz w:val="13"/>
                <w:szCs w:val="13"/>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gridSpan w:val="2"/>
            <w:shd w:val="clear" w:color="auto" w:fill="0E32E1"/>
          </w:tcPr>
          <w:p>
            <w:pPr>
              <w:spacing w:after="0" w:line="20" w:lineRule="exact"/>
              <w:rPr>
                <w:sz w:val="1"/>
                <w:szCs w:val="1"/>
                <w:color w:val="auto"/>
              </w:rPr>
            </w:pPr>
          </w:p>
        </w:tc>
        <w:tc>
          <w:tcPr>
            <w:tcW w:w="60" w:type="dxa"/>
            <w:vAlign w:val="bottom"/>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700" w:type="dxa"/>
            <w:vAlign w:val="bottom"/>
            <w:tcBorders>
              <w:left w:val="single" w:sz="8" w:color="0E32E1"/>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0" w:type="dxa"/>
            <w:vAlign w:val="bottom"/>
            <w:gridSpan w:val="2"/>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207"/>
        </w:trPr>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920" w:type="dxa"/>
            <w:vAlign w:val="bottom"/>
            <w:gridSpan w:val="15"/>
          </w:tcPr>
          <w:p>
            <w:pPr>
              <w:spacing w:after="0"/>
              <w:rPr>
                <w:rFonts w:ascii="Arial" w:cs="Arial" w:eastAsia="Arial" w:hAnsi="Arial"/>
                <w:sz w:val="18"/>
                <w:szCs w:val="18"/>
                <w:color w:val="0E32E1"/>
              </w:rPr>
            </w:pPr>
            <w:r>
              <w:rPr>
                <w:rFonts w:ascii="Arial" w:cs="Arial" w:eastAsia="Arial" w:hAnsi="Arial"/>
                <w:sz w:val="18"/>
                <w:szCs w:val="18"/>
                <w:color w:val="0E32E1"/>
              </w:rPr>
              <w:t xml:space="preserve">Condensed </w:t>
            </w:r>
            <w:hyperlink w:anchor="page4">
              <w:r>
                <w:rPr>
                  <w:rFonts w:ascii="Arial" w:cs="Arial" w:eastAsia="Arial" w:hAnsi="Arial"/>
                  <w:sz w:val="18"/>
                  <w:szCs w:val="18"/>
                  <w:color w:val="0E32E1"/>
                </w:rPr>
                <w:t xml:space="preserve">Consolidated Statements of Shareholders' Equity for the </w:t>
              </w:r>
            </w:hyperlink>
            <w:r>
              <w:rPr>
                <w:rFonts w:ascii="Arial" w:cs="Arial" w:eastAsia="Arial" w:hAnsi="Arial"/>
                <w:sz w:val="18"/>
                <w:szCs w:val="18"/>
                <w:color w:val="0E32E1"/>
              </w:rPr>
              <w:t xml:space="preserve">Three </w:t>
            </w:r>
            <w:hyperlink w:anchor="page4">
              <w:r>
                <w:rPr>
                  <w:rFonts w:ascii="Arial" w:cs="Arial" w:eastAsia="Arial" w:hAnsi="Arial"/>
                  <w:sz w:val="18"/>
                  <w:szCs w:val="18"/>
                  <w:color w:val="0E32E1"/>
                </w:rPr>
                <w:t xml:space="preserve">Months Ended </w:t>
              </w:r>
            </w:hyperlink>
            <w:r>
              <w:rPr>
                <w:rFonts w:ascii="Arial" w:cs="Arial" w:eastAsia="Arial" w:hAnsi="Arial"/>
                <w:sz w:val="18"/>
                <w:szCs w:val="18"/>
                <w:color w:val="0E32E1"/>
              </w:rPr>
              <w:t xml:space="preserve">March 31, 2022 </w:t>
            </w:r>
            <w:hyperlink w:anchor="page4">
              <w:r>
                <w:rPr>
                  <w:rFonts w:ascii="Arial" w:cs="Arial" w:eastAsia="Arial" w:hAnsi="Arial"/>
                  <w:sz w:val="18"/>
                  <w:szCs w:val="18"/>
                  <w:color w:val="0E32E1"/>
                </w:rPr>
                <w:t>and</w:t>
              </w:r>
            </w:hyperlink>
          </w:p>
        </w:tc>
        <w:tc>
          <w:tcPr>
            <w:tcW w:w="260" w:type="dxa"/>
            <w:vAlign w:val="bottom"/>
            <w:gridSpan w:val="2"/>
          </w:tcPr>
          <w:p>
            <w:pPr>
              <w:jc w:val="center"/>
              <w:ind w:left="71"/>
              <w:spacing w:after="0"/>
              <w:rPr>
                <w:rFonts w:ascii="Arial" w:cs="Arial" w:eastAsia="Arial" w:hAnsi="Arial"/>
                <w:sz w:val="18"/>
                <w:szCs w:val="18"/>
                <w:color w:val="0E32E1"/>
                <w:w w:val="99"/>
              </w:rPr>
            </w:pPr>
            <w:hyperlink w:anchor="page4">
              <w:r>
                <w:rPr>
                  <w:rFonts w:ascii="Arial" w:cs="Arial" w:eastAsia="Arial" w:hAnsi="Arial"/>
                  <w:sz w:val="18"/>
                  <w:szCs w:val="18"/>
                  <w:color w:val="0E32E1"/>
                  <w:w w:val="99"/>
                </w:rPr>
                <w:t>3</w:t>
              </w:r>
            </w:hyperlink>
          </w:p>
        </w:tc>
        <w:tc>
          <w:tcPr>
            <w:tcW w:w="220" w:type="dxa"/>
            <w:vAlign w:val="bottom"/>
          </w:tcPr>
          <w:p>
            <w:pPr>
              <w:spacing w:after="0"/>
              <w:rPr>
                <w:sz w:val="17"/>
                <w:szCs w:val="17"/>
                <w:color w:val="auto"/>
              </w:rPr>
            </w:pPr>
          </w:p>
        </w:tc>
      </w:tr>
      <w:tr>
        <w:trPr>
          <w:trHeight w:val="153"/>
        </w:trPr>
        <w:tc>
          <w:tcPr>
            <w:tcW w:w="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0" w:type="dxa"/>
            <w:vAlign w:val="bottom"/>
            <w:tcBorders>
              <w:top w:val="single" w:sz="8" w:color="0E32E1"/>
              <w:bottom w:val="single" w:sz="8" w:color="0E32E1"/>
            </w:tcBorders>
            <w:gridSpan w:val="2"/>
          </w:tcPr>
          <w:p>
            <w:pPr>
              <w:spacing w:after="0" w:line="154" w:lineRule="exact"/>
              <w:rPr>
                <w:sz w:val="20"/>
                <w:szCs w:val="20"/>
                <w:color w:val="auto"/>
              </w:rPr>
            </w:pPr>
            <w:r>
              <w:rPr>
                <w:rFonts w:ascii="Arial" w:cs="Arial" w:eastAsia="Arial" w:hAnsi="Arial"/>
                <w:sz w:val="17"/>
                <w:szCs w:val="17"/>
                <w:color w:val="0E32E1"/>
              </w:rPr>
              <w:t>2021</w:t>
            </w:r>
          </w:p>
        </w:tc>
        <w:tc>
          <w:tcPr>
            <w:tcW w:w="60" w:type="dxa"/>
            <w:vAlign w:val="bottom"/>
            <w:tcBorders>
              <w:top w:val="single" w:sz="8" w:color="0E32E1"/>
            </w:tcBorders>
          </w:tcPr>
          <w:p>
            <w:pPr>
              <w:spacing w:after="0"/>
              <w:rPr>
                <w:sz w:val="13"/>
                <w:szCs w:val="13"/>
                <w:color w:val="auto"/>
              </w:rPr>
            </w:pPr>
          </w:p>
        </w:tc>
        <w:tc>
          <w:tcPr>
            <w:tcW w:w="160" w:type="dxa"/>
            <w:vAlign w:val="bottom"/>
            <w:tcBorders>
              <w:top w:val="single" w:sz="8" w:color="0E32E1"/>
            </w:tcBorders>
          </w:tcPr>
          <w:p>
            <w:pPr>
              <w:spacing w:after="0"/>
              <w:rPr>
                <w:sz w:val="13"/>
                <w:szCs w:val="13"/>
                <w:color w:val="auto"/>
              </w:rPr>
            </w:pPr>
          </w:p>
        </w:tc>
        <w:tc>
          <w:tcPr>
            <w:tcW w:w="100" w:type="dxa"/>
            <w:vAlign w:val="bottom"/>
            <w:tcBorders>
              <w:top w:val="single" w:sz="8" w:color="0E32E1"/>
            </w:tcBorders>
          </w:tcPr>
          <w:p>
            <w:pPr>
              <w:spacing w:after="0"/>
              <w:rPr>
                <w:sz w:val="13"/>
                <w:szCs w:val="13"/>
                <w:color w:val="auto"/>
              </w:rPr>
            </w:pPr>
          </w:p>
        </w:tc>
        <w:tc>
          <w:tcPr>
            <w:tcW w:w="760" w:type="dxa"/>
            <w:vAlign w:val="bottom"/>
            <w:tcBorders>
              <w:top w:val="single" w:sz="8" w:color="0E32E1"/>
            </w:tcBorders>
          </w:tcPr>
          <w:p>
            <w:pPr>
              <w:spacing w:after="0"/>
              <w:rPr>
                <w:sz w:val="13"/>
                <w:szCs w:val="13"/>
                <w:color w:val="auto"/>
              </w:rPr>
            </w:pPr>
          </w:p>
        </w:tc>
        <w:tc>
          <w:tcPr>
            <w:tcW w:w="480" w:type="dxa"/>
            <w:vAlign w:val="bottom"/>
            <w:tcBorders>
              <w:top w:val="single" w:sz="8" w:color="0E32E1"/>
            </w:tcBorders>
          </w:tcPr>
          <w:p>
            <w:pPr>
              <w:spacing w:after="0"/>
              <w:rPr>
                <w:sz w:val="13"/>
                <w:szCs w:val="13"/>
                <w:color w:val="auto"/>
              </w:rPr>
            </w:pPr>
          </w:p>
        </w:tc>
        <w:tc>
          <w:tcPr>
            <w:tcW w:w="680" w:type="dxa"/>
            <w:vAlign w:val="bottom"/>
            <w:tcBorders>
              <w:top w:val="single" w:sz="8" w:color="0E32E1"/>
            </w:tcBorders>
          </w:tcPr>
          <w:p>
            <w:pPr>
              <w:spacing w:after="0"/>
              <w:rPr>
                <w:sz w:val="13"/>
                <w:szCs w:val="13"/>
                <w:color w:val="auto"/>
              </w:rPr>
            </w:pPr>
          </w:p>
        </w:tc>
        <w:tc>
          <w:tcPr>
            <w:tcW w:w="2020" w:type="dxa"/>
            <w:vAlign w:val="bottom"/>
            <w:tcBorders>
              <w:top w:val="single" w:sz="8" w:color="0E32E1"/>
            </w:tcBorders>
          </w:tcPr>
          <w:p>
            <w:pPr>
              <w:spacing w:after="0"/>
              <w:rPr>
                <w:sz w:val="13"/>
                <w:szCs w:val="13"/>
                <w:color w:val="auto"/>
              </w:rPr>
            </w:pPr>
          </w:p>
        </w:tc>
        <w:tc>
          <w:tcPr>
            <w:tcW w:w="140" w:type="dxa"/>
            <w:vAlign w:val="bottom"/>
            <w:tcBorders>
              <w:top w:val="single" w:sz="8" w:color="0E32E1"/>
            </w:tcBorders>
          </w:tcPr>
          <w:p>
            <w:pPr>
              <w:spacing w:after="0"/>
              <w:rPr>
                <w:sz w:val="13"/>
                <w:szCs w:val="13"/>
                <w:color w:val="auto"/>
              </w:rPr>
            </w:pPr>
          </w:p>
        </w:tc>
        <w:tc>
          <w:tcPr>
            <w:tcW w:w="2160" w:type="dxa"/>
            <w:vAlign w:val="bottom"/>
            <w:tcBorders>
              <w:top w:val="single" w:sz="8" w:color="0E32E1"/>
            </w:tcBorders>
          </w:tcPr>
          <w:p>
            <w:pPr>
              <w:spacing w:after="0"/>
              <w:rPr>
                <w:sz w:val="13"/>
                <w:szCs w:val="13"/>
                <w:color w:val="auto"/>
              </w:rPr>
            </w:pPr>
          </w:p>
        </w:tc>
        <w:tc>
          <w:tcPr>
            <w:tcW w:w="40" w:type="dxa"/>
            <w:vAlign w:val="bottom"/>
            <w:tcBorders>
              <w:top w:val="single" w:sz="8" w:color="0E32E1"/>
            </w:tcBorders>
          </w:tcPr>
          <w:p>
            <w:pPr>
              <w:spacing w:after="0"/>
              <w:rPr>
                <w:sz w:val="13"/>
                <w:szCs w:val="13"/>
                <w:color w:val="auto"/>
              </w:rPr>
            </w:pPr>
          </w:p>
        </w:tc>
        <w:tc>
          <w:tcPr>
            <w:tcW w:w="1460" w:type="dxa"/>
            <w:vAlign w:val="bottom"/>
            <w:tcBorders>
              <w:top w:val="single" w:sz="8" w:color="0E32E1"/>
            </w:tcBorders>
          </w:tcPr>
          <w:p>
            <w:pPr>
              <w:spacing w:after="0"/>
              <w:rPr>
                <w:sz w:val="13"/>
                <w:szCs w:val="13"/>
                <w:color w:val="auto"/>
              </w:rPr>
            </w:pPr>
          </w:p>
        </w:tc>
        <w:tc>
          <w:tcPr>
            <w:tcW w:w="360" w:type="dxa"/>
            <w:vAlign w:val="bottom"/>
            <w:tcBorders>
              <w:top w:val="single" w:sz="8" w:color="0E32E1"/>
            </w:tcBorders>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Borders>
              <w:top w:val="single" w:sz="8" w:color="0E32E1"/>
            </w:tcBorders>
          </w:tcPr>
          <w:p>
            <w:pPr>
              <w:spacing w:after="0"/>
              <w:rPr>
                <w:sz w:val="13"/>
                <w:szCs w:val="13"/>
                <w:color w:val="auto"/>
              </w:rPr>
            </w:pPr>
          </w:p>
        </w:tc>
        <w:tc>
          <w:tcPr>
            <w:tcW w:w="220" w:type="dxa"/>
            <w:vAlign w:val="bottom"/>
          </w:tcPr>
          <w:p>
            <w:pPr>
              <w:spacing w:after="0"/>
              <w:rPr>
                <w:sz w:val="13"/>
                <w:szCs w:val="13"/>
                <w:color w:val="auto"/>
              </w:rPr>
            </w:pPr>
          </w:p>
        </w:tc>
      </w:tr>
      <w:tr>
        <w:trPr>
          <w:trHeight w:val="207"/>
        </w:trPr>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920" w:type="dxa"/>
            <w:vAlign w:val="bottom"/>
            <w:gridSpan w:val="15"/>
          </w:tcPr>
          <w:p>
            <w:pPr>
              <w:spacing w:after="0"/>
              <w:rPr>
                <w:rFonts w:ascii="Arial" w:cs="Arial" w:eastAsia="Arial" w:hAnsi="Arial"/>
                <w:sz w:val="18"/>
                <w:szCs w:val="18"/>
                <w:color w:val="0E32E1"/>
              </w:rPr>
            </w:pPr>
            <w:r>
              <w:rPr>
                <w:rFonts w:ascii="Arial" w:cs="Arial" w:eastAsia="Arial" w:hAnsi="Arial"/>
                <w:sz w:val="18"/>
                <w:szCs w:val="18"/>
                <w:color w:val="0E32E1"/>
              </w:rPr>
              <w:t xml:space="preserve">Condensed </w:t>
            </w:r>
            <w:hyperlink w:anchor="page5">
              <w:r>
                <w:rPr>
                  <w:rFonts w:ascii="Arial" w:cs="Arial" w:eastAsia="Arial" w:hAnsi="Arial"/>
                  <w:sz w:val="18"/>
                  <w:szCs w:val="18"/>
                  <w:color w:val="0E32E1"/>
                </w:rPr>
                <w:t xml:space="preserve">Consolidated Statements of Cash Flows for the </w:t>
              </w:r>
            </w:hyperlink>
            <w:r>
              <w:rPr>
                <w:rFonts w:ascii="Arial" w:cs="Arial" w:eastAsia="Arial" w:hAnsi="Arial"/>
                <w:sz w:val="18"/>
                <w:szCs w:val="18"/>
                <w:color w:val="0E32E1"/>
              </w:rPr>
              <w:t xml:space="preserve">Three Months Ended March 31, 2022 </w:t>
            </w:r>
            <w:hyperlink w:anchor="page5">
              <w:r>
                <w:rPr>
                  <w:rFonts w:ascii="Arial" w:cs="Arial" w:eastAsia="Arial" w:hAnsi="Arial"/>
                  <w:sz w:val="18"/>
                  <w:szCs w:val="18"/>
                  <w:color w:val="0E32E1"/>
                </w:rPr>
                <w:t xml:space="preserve">and </w:t>
              </w:r>
            </w:hyperlink>
            <w:r>
              <w:rPr>
                <w:rFonts w:ascii="Arial" w:cs="Arial" w:eastAsia="Arial" w:hAnsi="Arial"/>
                <w:sz w:val="18"/>
                <w:szCs w:val="18"/>
                <w:color w:val="0E32E1"/>
              </w:rPr>
              <w:t>2021</w:t>
            </w:r>
          </w:p>
        </w:tc>
        <w:tc>
          <w:tcPr>
            <w:tcW w:w="260" w:type="dxa"/>
            <w:vAlign w:val="bottom"/>
            <w:gridSpan w:val="2"/>
          </w:tcPr>
          <w:p>
            <w:pPr>
              <w:jc w:val="center"/>
              <w:ind w:left="71"/>
              <w:spacing w:after="0"/>
              <w:rPr>
                <w:rFonts w:ascii="Arial" w:cs="Arial" w:eastAsia="Arial" w:hAnsi="Arial"/>
                <w:sz w:val="18"/>
                <w:szCs w:val="18"/>
                <w:color w:val="0E32E1"/>
                <w:w w:val="99"/>
              </w:rPr>
            </w:pPr>
            <w:hyperlink w:anchor="page5">
              <w:r>
                <w:rPr>
                  <w:rFonts w:ascii="Arial" w:cs="Arial" w:eastAsia="Arial" w:hAnsi="Arial"/>
                  <w:sz w:val="18"/>
                  <w:szCs w:val="18"/>
                  <w:color w:val="0E32E1"/>
                  <w:w w:val="99"/>
                </w:rPr>
                <w:t>4</w:t>
              </w:r>
            </w:hyperlink>
          </w:p>
        </w:tc>
        <w:tc>
          <w:tcPr>
            <w:tcW w:w="22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gridSpan w:val="3"/>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700" w:type="dxa"/>
            <w:vAlign w:val="bottom"/>
            <w:tcBorders>
              <w:left w:val="single" w:sz="8" w:color="0E32E1"/>
            </w:tcBorders>
            <w:gridSpan w:val="2"/>
            <w:shd w:val="clear" w:color="auto" w:fill="0E32E1"/>
          </w:tcPr>
          <w:p>
            <w:pPr>
              <w:spacing w:after="0" w:line="20" w:lineRule="exact"/>
              <w:rPr>
                <w:sz w:val="1"/>
                <w:szCs w:val="1"/>
                <w:color w:val="auto"/>
              </w:rPr>
            </w:pPr>
          </w:p>
        </w:tc>
        <w:tc>
          <w:tcPr>
            <w:tcW w:w="140" w:type="dxa"/>
            <w:vAlign w:val="bottom"/>
            <w:tcBorders>
              <w:left w:val="single" w:sz="8" w:color="0E32E1"/>
            </w:tcBorders>
            <w:shd w:val="clear" w:color="auto" w:fill="0E32E1"/>
          </w:tcPr>
          <w:p>
            <w:pPr>
              <w:spacing w:after="0" w:line="20" w:lineRule="exact"/>
              <w:rPr>
                <w:sz w:val="1"/>
                <w:szCs w:val="1"/>
                <w:color w:val="auto"/>
              </w:rPr>
            </w:pPr>
          </w:p>
        </w:tc>
        <w:tc>
          <w:tcPr>
            <w:tcW w:w="2200" w:type="dxa"/>
            <w:vAlign w:val="bottom"/>
            <w:gridSpan w:val="2"/>
            <w:shd w:val="clear" w:color="auto" w:fill="0E32E1"/>
          </w:tcPr>
          <w:p>
            <w:pPr>
              <w:spacing w:after="0" w:line="20" w:lineRule="exact"/>
              <w:rPr>
                <w:sz w:val="1"/>
                <w:szCs w:val="1"/>
                <w:color w:val="auto"/>
              </w:rPr>
            </w:pPr>
          </w:p>
        </w:tc>
        <w:tc>
          <w:tcPr>
            <w:tcW w:w="1460" w:type="dxa"/>
            <w:vAlign w:val="bottom"/>
            <w:shd w:val="clear" w:color="auto" w:fill="0E32E1"/>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207"/>
        </w:trPr>
        <w:tc>
          <w:tcPr>
            <w:tcW w:w="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660" w:type="dxa"/>
            <w:vAlign w:val="bottom"/>
            <w:gridSpan w:val="9"/>
          </w:tcPr>
          <w:p>
            <w:pPr>
              <w:spacing w:after="0"/>
              <w:rPr>
                <w:rFonts w:ascii="Arial" w:cs="Arial" w:eastAsia="Arial" w:hAnsi="Arial"/>
                <w:sz w:val="18"/>
                <w:szCs w:val="18"/>
                <w:color w:val="0E32E1"/>
                <w:w w:val="96"/>
              </w:rPr>
            </w:pPr>
            <w:hyperlink w:anchor="page6">
              <w:r>
                <w:rPr>
                  <w:rFonts w:ascii="Arial" w:cs="Arial" w:eastAsia="Arial" w:hAnsi="Arial"/>
                  <w:sz w:val="18"/>
                  <w:szCs w:val="18"/>
                  <w:color w:val="0E32E1"/>
                  <w:w w:val="96"/>
                </w:rPr>
                <w:t>Notes to the Condensed Consolidated Financial Statements</w:t>
              </w:r>
            </w:hyperlink>
          </w:p>
        </w:tc>
        <w:tc>
          <w:tcPr>
            <w:tcW w:w="3800" w:type="dxa"/>
            <w:vAlign w:val="bottom"/>
            <w:gridSpan w:val="4"/>
          </w:tcPr>
          <w:p>
            <w:pPr>
              <w:spacing w:after="0"/>
              <w:rPr>
                <w:sz w:val="17"/>
                <w:szCs w:val="17"/>
                <w:color w:val="auto"/>
              </w:rPr>
            </w:pPr>
          </w:p>
        </w:tc>
        <w:tc>
          <w:tcPr>
            <w:tcW w:w="460" w:type="dxa"/>
            <w:vAlign w:val="bottom"/>
            <w:gridSpan w:val="2"/>
          </w:tcPr>
          <w:p>
            <w:pPr>
              <w:spacing w:after="0"/>
              <w:rPr>
                <w:sz w:val="17"/>
                <w:szCs w:val="17"/>
                <w:color w:val="auto"/>
              </w:rPr>
            </w:pPr>
          </w:p>
        </w:tc>
        <w:tc>
          <w:tcPr>
            <w:tcW w:w="260" w:type="dxa"/>
            <w:vAlign w:val="bottom"/>
            <w:gridSpan w:val="2"/>
          </w:tcPr>
          <w:p>
            <w:pPr>
              <w:jc w:val="center"/>
              <w:ind w:left="71"/>
              <w:spacing w:after="0"/>
              <w:rPr>
                <w:rFonts w:ascii="Arial" w:cs="Arial" w:eastAsia="Arial" w:hAnsi="Arial"/>
                <w:sz w:val="18"/>
                <w:szCs w:val="18"/>
                <w:color w:val="0E32E1"/>
                <w:w w:val="99"/>
              </w:rPr>
            </w:pPr>
            <w:hyperlink w:anchor="page6">
              <w:r>
                <w:rPr>
                  <w:rFonts w:ascii="Arial" w:cs="Arial" w:eastAsia="Arial" w:hAnsi="Arial"/>
                  <w:sz w:val="18"/>
                  <w:szCs w:val="18"/>
                  <w:color w:val="0E32E1"/>
                  <w:w w:val="99"/>
                </w:rPr>
                <w:t>5</w:t>
              </w:r>
            </w:hyperlink>
          </w:p>
        </w:tc>
        <w:tc>
          <w:tcPr>
            <w:tcW w:w="22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60" w:type="dxa"/>
            <w:vAlign w:val="bottom"/>
            <w:gridSpan w:val="3"/>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700" w:type="dxa"/>
            <w:vAlign w:val="bottom"/>
            <w:tcBorders>
              <w:left w:val="single" w:sz="8" w:color="0E32E1"/>
            </w:tcBorders>
            <w:gridSpan w:val="2"/>
            <w:shd w:val="clear" w:color="auto" w:fill="0E32E1"/>
          </w:tcPr>
          <w:p>
            <w:pPr>
              <w:spacing w:after="0" w:line="20" w:lineRule="exact"/>
              <w:rPr>
                <w:sz w:val="1"/>
                <w:szCs w:val="1"/>
                <w:color w:val="auto"/>
              </w:rPr>
            </w:pPr>
          </w:p>
        </w:tc>
        <w:tc>
          <w:tcPr>
            <w:tcW w:w="140" w:type="dxa"/>
            <w:vAlign w:val="bottom"/>
            <w:tcBorders>
              <w:left w:val="single" w:sz="8" w:color="0E32E1"/>
            </w:tcBorders>
          </w:tcPr>
          <w:p>
            <w:pPr>
              <w:spacing w:after="0" w:line="20" w:lineRule="exact"/>
              <w:rPr>
                <w:sz w:val="1"/>
                <w:szCs w:val="1"/>
                <w:color w:val="auto"/>
              </w:rPr>
            </w:pPr>
          </w:p>
        </w:tc>
        <w:tc>
          <w:tcPr>
            <w:tcW w:w="2200" w:type="dxa"/>
            <w:vAlign w:val="bottom"/>
            <w:gridSpan w:val="2"/>
          </w:tcPr>
          <w:p>
            <w:pPr>
              <w:spacing w:after="0" w:line="20" w:lineRule="exact"/>
              <w:rPr>
                <w:sz w:val="1"/>
                <w:szCs w:val="1"/>
                <w:color w:val="auto"/>
              </w:rPr>
            </w:pPr>
          </w:p>
        </w:tc>
        <w:tc>
          <w:tcPr>
            <w:tcW w:w="1920" w:type="dxa"/>
            <w:vAlign w:val="bottom"/>
            <w:gridSpan w:val="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r>
      <w:tr>
        <w:trPr>
          <w:trHeight w:val="420"/>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20" w:type="dxa"/>
            <w:vAlign w:val="bottom"/>
            <w:gridSpan w:val="2"/>
          </w:tcPr>
          <w:p>
            <w:pPr>
              <w:spacing w:after="0"/>
              <w:rPr>
                <w:rFonts w:ascii="Arial" w:cs="Arial" w:eastAsia="Arial" w:hAnsi="Arial"/>
                <w:sz w:val="18"/>
                <w:szCs w:val="18"/>
                <w:color w:val="0E32E1"/>
              </w:rPr>
            </w:pPr>
            <w:hyperlink w:anchor="page22">
              <w:r>
                <w:rPr>
                  <w:rFonts w:ascii="Arial" w:cs="Arial" w:eastAsia="Arial" w:hAnsi="Arial"/>
                  <w:sz w:val="18"/>
                  <w:szCs w:val="18"/>
                  <w:color w:val="0E32E1"/>
                </w:rPr>
                <w:t>Item 2.</w:t>
              </w:r>
            </w:hyperlink>
          </w:p>
        </w:tc>
        <w:tc>
          <w:tcPr>
            <w:tcW w:w="8920" w:type="dxa"/>
            <w:vAlign w:val="bottom"/>
            <w:gridSpan w:val="15"/>
          </w:tcPr>
          <w:p>
            <w:pPr>
              <w:spacing w:after="0"/>
              <w:rPr>
                <w:rFonts w:ascii="Arial" w:cs="Arial" w:eastAsia="Arial" w:hAnsi="Arial"/>
                <w:sz w:val="18"/>
                <w:szCs w:val="18"/>
                <w:color w:val="0E32E1"/>
              </w:rPr>
            </w:pPr>
            <w:hyperlink w:anchor="page22">
              <w:r>
                <w:rPr>
                  <w:rFonts w:ascii="Arial" w:cs="Arial" w:eastAsia="Arial" w:hAnsi="Arial"/>
                  <w:sz w:val="18"/>
                  <w:szCs w:val="18"/>
                  <w:color w:val="0E32E1"/>
                </w:rPr>
                <w:t>Management's Discussion and Analysis of Financial Condition and Results of Operations</w:t>
              </w:r>
            </w:hyperlink>
          </w:p>
        </w:tc>
        <w:tc>
          <w:tcPr>
            <w:tcW w:w="480" w:type="dxa"/>
            <w:vAlign w:val="bottom"/>
            <w:gridSpan w:val="3"/>
          </w:tcPr>
          <w:p>
            <w:pPr>
              <w:jc w:val="center"/>
              <w:ind w:right="80"/>
              <w:spacing w:after="0"/>
              <w:rPr>
                <w:rFonts w:ascii="Arial" w:cs="Arial" w:eastAsia="Arial" w:hAnsi="Arial"/>
                <w:sz w:val="18"/>
                <w:szCs w:val="18"/>
                <w:color w:val="0E32E1"/>
                <w:w w:val="99"/>
              </w:rPr>
            </w:pPr>
            <w:hyperlink w:anchor="page22">
              <w:r>
                <w:rPr>
                  <w:rFonts w:ascii="Arial" w:cs="Arial" w:eastAsia="Arial" w:hAnsi="Arial"/>
                  <w:sz w:val="18"/>
                  <w:szCs w:val="18"/>
                  <w:color w:val="0E32E1"/>
                  <w:w w:val="99"/>
                </w:rPr>
                <w:t>20</w:t>
              </w:r>
            </w:hyperlink>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shd w:val="clear" w:color="auto" w:fill="0E32E1"/>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2"/>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700" w:type="dxa"/>
            <w:vAlign w:val="bottom"/>
            <w:tcBorders>
              <w:left w:val="single" w:sz="8" w:color="0E32E1"/>
            </w:tcBorders>
            <w:gridSpan w:val="2"/>
            <w:shd w:val="clear" w:color="auto" w:fill="0E32E1"/>
          </w:tcPr>
          <w:p>
            <w:pPr>
              <w:spacing w:after="0" w:line="20" w:lineRule="exact"/>
              <w:rPr>
                <w:sz w:val="1"/>
                <w:szCs w:val="1"/>
                <w:color w:val="auto"/>
              </w:rPr>
            </w:pPr>
          </w:p>
        </w:tc>
        <w:tc>
          <w:tcPr>
            <w:tcW w:w="140" w:type="dxa"/>
            <w:vAlign w:val="bottom"/>
            <w:tcBorders>
              <w:left w:val="single" w:sz="8" w:color="0E32E1"/>
            </w:tcBorders>
            <w:shd w:val="clear" w:color="auto" w:fill="0E32E1"/>
          </w:tcPr>
          <w:p>
            <w:pPr>
              <w:spacing w:after="0" w:line="20" w:lineRule="exact"/>
              <w:rPr>
                <w:sz w:val="1"/>
                <w:szCs w:val="1"/>
                <w:color w:val="auto"/>
              </w:rPr>
            </w:pPr>
          </w:p>
        </w:tc>
        <w:tc>
          <w:tcPr>
            <w:tcW w:w="2200" w:type="dxa"/>
            <w:vAlign w:val="bottom"/>
            <w:gridSpan w:val="2"/>
            <w:shd w:val="clear" w:color="auto" w:fill="0E32E1"/>
          </w:tcPr>
          <w:p>
            <w:pPr>
              <w:spacing w:after="0" w:line="20" w:lineRule="exact"/>
              <w:rPr>
                <w:sz w:val="1"/>
                <w:szCs w:val="1"/>
                <w:color w:val="auto"/>
              </w:rPr>
            </w:pPr>
          </w:p>
        </w:tc>
        <w:tc>
          <w:tcPr>
            <w:tcW w:w="1920" w:type="dxa"/>
            <w:vAlign w:val="bottom"/>
            <w:gridSpan w:val="3"/>
          </w:tcPr>
          <w:p>
            <w:pPr>
              <w:spacing w:after="0" w:line="20" w:lineRule="exact"/>
              <w:rPr>
                <w:sz w:val="1"/>
                <w:szCs w:val="1"/>
                <w:color w:val="auto"/>
              </w:rPr>
            </w:pPr>
          </w:p>
        </w:tc>
        <w:tc>
          <w:tcPr>
            <w:tcW w:w="160" w:type="dxa"/>
            <w:vAlign w:val="bottom"/>
            <w:tcBorders>
              <w:right w:val="single" w:sz="8" w:color="0E32E1"/>
            </w:tcBorders>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220" w:type="dxa"/>
            <w:vAlign w:val="bottom"/>
            <w:tcBorders>
              <w:left w:val="single" w:sz="8" w:color="0E32E1"/>
            </w:tcBorders>
          </w:tcPr>
          <w:p>
            <w:pPr>
              <w:spacing w:after="0" w:line="20" w:lineRule="exact"/>
              <w:rPr>
                <w:sz w:val="1"/>
                <w:szCs w:val="1"/>
                <w:color w:val="auto"/>
              </w:rPr>
            </w:pPr>
          </w:p>
        </w:tc>
      </w:tr>
      <w:tr>
        <w:trPr>
          <w:trHeight w:val="420"/>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20" w:type="dxa"/>
            <w:vAlign w:val="bottom"/>
            <w:gridSpan w:val="2"/>
          </w:tcPr>
          <w:p>
            <w:pPr>
              <w:spacing w:after="0"/>
              <w:rPr>
                <w:rFonts w:ascii="Arial" w:cs="Arial" w:eastAsia="Arial" w:hAnsi="Arial"/>
                <w:sz w:val="18"/>
                <w:szCs w:val="18"/>
                <w:color w:val="0E32E1"/>
              </w:rPr>
            </w:pPr>
            <w:hyperlink w:anchor="page31">
              <w:r>
                <w:rPr>
                  <w:rFonts w:ascii="Arial" w:cs="Arial" w:eastAsia="Arial" w:hAnsi="Arial"/>
                  <w:sz w:val="18"/>
                  <w:szCs w:val="18"/>
                  <w:color w:val="0E32E1"/>
                </w:rPr>
                <w:t>Item 3.</w:t>
              </w:r>
            </w:hyperlink>
          </w:p>
        </w:tc>
        <w:tc>
          <w:tcPr>
            <w:tcW w:w="8920" w:type="dxa"/>
            <w:vAlign w:val="bottom"/>
            <w:gridSpan w:val="15"/>
          </w:tcPr>
          <w:p>
            <w:pPr>
              <w:spacing w:after="0"/>
              <w:rPr>
                <w:rFonts w:ascii="Arial" w:cs="Arial" w:eastAsia="Arial" w:hAnsi="Arial"/>
                <w:sz w:val="18"/>
                <w:szCs w:val="18"/>
                <w:color w:val="0E32E1"/>
              </w:rPr>
            </w:pPr>
            <w:hyperlink w:anchor="page31">
              <w:r>
                <w:rPr>
                  <w:rFonts w:ascii="Arial" w:cs="Arial" w:eastAsia="Arial" w:hAnsi="Arial"/>
                  <w:sz w:val="18"/>
                  <w:szCs w:val="18"/>
                  <w:color w:val="0E32E1"/>
                </w:rPr>
                <w:t>Quantitative and Qualitative Disclosures About Market Risk</w:t>
              </w:r>
            </w:hyperlink>
          </w:p>
        </w:tc>
        <w:tc>
          <w:tcPr>
            <w:tcW w:w="480" w:type="dxa"/>
            <w:vAlign w:val="bottom"/>
            <w:gridSpan w:val="3"/>
          </w:tcPr>
          <w:p>
            <w:pPr>
              <w:jc w:val="center"/>
              <w:ind w:right="80"/>
              <w:spacing w:after="0"/>
              <w:rPr>
                <w:rFonts w:ascii="Arial" w:cs="Arial" w:eastAsia="Arial" w:hAnsi="Arial"/>
                <w:sz w:val="18"/>
                <w:szCs w:val="18"/>
                <w:color w:val="0E32E1"/>
                <w:w w:val="99"/>
              </w:rPr>
            </w:pPr>
            <w:hyperlink w:anchor="page31">
              <w:r>
                <w:rPr>
                  <w:rFonts w:ascii="Arial" w:cs="Arial" w:eastAsia="Arial" w:hAnsi="Arial"/>
                  <w:sz w:val="18"/>
                  <w:szCs w:val="18"/>
                  <w:color w:val="0E32E1"/>
                  <w:w w:val="99"/>
                </w:rPr>
                <w:t>29</w:t>
              </w:r>
            </w:hyperlink>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shd w:val="clear" w:color="auto" w:fill="0E32E1"/>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gridSpan w:val="2"/>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700" w:type="dxa"/>
            <w:vAlign w:val="bottom"/>
            <w:tcBorders>
              <w:left w:val="single" w:sz="8" w:color="0E32E1"/>
            </w:tcBorders>
            <w:gridSpan w:val="2"/>
            <w:shd w:val="clear" w:color="auto" w:fill="0E32E1"/>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120" w:type="dxa"/>
            <w:vAlign w:val="bottom"/>
            <w:gridSpan w:val="5"/>
          </w:tcPr>
          <w:p>
            <w:pPr>
              <w:spacing w:after="0" w:line="20" w:lineRule="exact"/>
              <w:rPr>
                <w:sz w:val="1"/>
                <w:szCs w:val="1"/>
                <w:color w:val="auto"/>
              </w:rPr>
            </w:pPr>
          </w:p>
        </w:tc>
        <w:tc>
          <w:tcPr>
            <w:tcW w:w="160" w:type="dxa"/>
            <w:vAlign w:val="bottom"/>
            <w:tcBorders>
              <w:right w:val="single" w:sz="8" w:color="0E32E1"/>
            </w:tcBorders>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220" w:type="dxa"/>
            <w:vAlign w:val="bottom"/>
            <w:tcBorders>
              <w:left w:val="single" w:sz="8" w:color="0E32E1"/>
            </w:tcBorders>
          </w:tcPr>
          <w:p>
            <w:pPr>
              <w:spacing w:after="0" w:line="20" w:lineRule="exact"/>
              <w:rPr>
                <w:sz w:val="1"/>
                <w:szCs w:val="1"/>
                <w:color w:val="auto"/>
              </w:rPr>
            </w:pPr>
          </w:p>
        </w:tc>
      </w:tr>
      <w:tr>
        <w:trPr>
          <w:trHeight w:val="420"/>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20" w:type="dxa"/>
            <w:vAlign w:val="bottom"/>
            <w:gridSpan w:val="2"/>
          </w:tcPr>
          <w:p>
            <w:pPr>
              <w:spacing w:after="0"/>
              <w:rPr>
                <w:rFonts w:ascii="Arial" w:cs="Arial" w:eastAsia="Arial" w:hAnsi="Arial"/>
                <w:sz w:val="18"/>
                <w:szCs w:val="18"/>
                <w:color w:val="0E32E1"/>
              </w:rPr>
            </w:pPr>
            <w:hyperlink w:anchor="page31">
              <w:r>
                <w:rPr>
                  <w:rFonts w:ascii="Arial" w:cs="Arial" w:eastAsia="Arial" w:hAnsi="Arial"/>
                  <w:sz w:val="18"/>
                  <w:szCs w:val="18"/>
                  <w:color w:val="0E32E1"/>
                </w:rPr>
                <w:t>Item 4.</w:t>
              </w:r>
            </w:hyperlink>
          </w:p>
        </w:tc>
        <w:tc>
          <w:tcPr>
            <w:tcW w:w="8920" w:type="dxa"/>
            <w:vAlign w:val="bottom"/>
            <w:gridSpan w:val="15"/>
          </w:tcPr>
          <w:p>
            <w:pPr>
              <w:spacing w:after="0"/>
              <w:rPr>
                <w:rFonts w:ascii="Arial" w:cs="Arial" w:eastAsia="Arial" w:hAnsi="Arial"/>
                <w:sz w:val="18"/>
                <w:szCs w:val="18"/>
                <w:color w:val="0E32E1"/>
              </w:rPr>
            </w:pPr>
            <w:hyperlink w:anchor="page31">
              <w:r>
                <w:rPr>
                  <w:rFonts w:ascii="Arial" w:cs="Arial" w:eastAsia="Arial" w:hAnsi="Arial"/>
                  <w:sz w:val="18"/>
                  <w:szCs w:val="18"/>
                  <w:color w:val="0E32E1"/>
                </w:rPr>
                <w:t>Controls and Procedures</w:t>
              </w:r>
            </w:hyperlink>
          </w:p>
        </w:tc>
        <w:tc>
          <w:tcPr>
            <w:tcW w:w="480" w:type="dxa"/>
            <w:vAlign w:val="bottom"/>
            <w:gridSpan w:val="3"/>
          </w:tcPr>
          <w:p>
            <w:pPr>
              <w:jc w:val="center"/>
              <w:ind w:right="80"/>
              <w:spacing w:after="0"/>
              <w:rPr>
                <w:rFonts w:ascii="Arial" w:cs="Arial" w:eastAsia="Arial" w:hAnsi="Arial"/>
                <w:sz w:val="18"/>
                <w:szCs w:val="18"/>
                <w:color w:val="0E32E1"/>
                <w:w w:val="99"/>
              </w:rPr>
            </w:pPr>
            <w:hyperlink w:anchor="page31">
              <w:r>
                <w:rPr>
                  <w:rFonts w:ascii="Arial" w:cs="Arial" w:eastAsia="Arial" w:hAnsi="Arial"/>
                  <w:sz w:val="18"/>
                  <w:szCs w:val="18"/>
                  <w:color w:val="0E32E1"/>
                  <w:w w:val="99"/>
                </w:rPr>
                <w:t>29</w:t>
              </w:r>
            </w:hyperlink>
          </w:p>
        </w:tc>
      </w:tr>
      <w:tr>
        <w:trPr>
          <w:trHeight w:val="20"/>
        </w:trPr>
        <w:tc>
          <w:tcPr>
            <w:tcW w:w="50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shd w:val="clear" w:color="auto" w:fill="0E32E1"/>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440" w:type="dxa"/>
            <w:vAlign w:val="bottom"/>
            <w:gridSpan w:val="2"/>
            <w:shd w:val="clear" w:color="auto" w:fill="0E32E1"/>
          </w:tcPr>
          <w:p>
            <w:pPr>
              <w:spacing w:after="0" w:line="20" w:lineRule="exact"/>
              <w:rPr>
                <w:sz w:val="1"/>
                <w:szCs w:val="1"/>
                <w:color w:val="auto"/>
              </w:rPr>
            </w:pPr>
          </w:p>
        </w:tc>
        <w:tc>
          <w:tcPr>
            <w:tcW w:w="160" w:type="dxa"/>
            <w:vAlign w:val="bottom"/>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2840" w:type="dxa"/>
            <w:vAlign w:val="bottom"/>
            <w:gridSpan w:val="3"/>
          </w:tcPr>
          <w:p>
            <w:pPr>
              <w:spacing w:after="0" w:line="20" w:lineRule="exact"/>
              <w:rPr>
                <w:sz w:val="1"/>
                <w:szCs w:val="1"/>
                <w:color w:val="auto"/>
              </w:rPr>
            </w:pPr>
          </w:p>
        </w:tc>
        <w:tc>
          <w:tcPr>
            <w:tcW w:w="4120" w:type="dxa"/>
            <w:vAlign w:val="bottom"/>
            <w:gridSpan w:val="5"/>
          </w:tcPr>
          <w:p>
            <w:pPr>
              <w:spacing w:after="0" w:line="20" w:lineRule="exact"/>
              <w:rPr>
                <w:sz w:val="1"/>
                <w:szCs w:val="1"/>
                <w:color w:val="auto"/>
              </w:rPr>
            </w:pPr>
          </w:p>
        </w:tc>
        <w:tc>
          <w:tcPr>
            <w:tcW w:w="160" w:type="dxa"/>
            <w:vAlign w:val="bottom"/>
            <w:tcBorders>
              <w:right w:val="single" w:sz="8" w:color="0E32E1"/>
            </w:tcBorders>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220" w:type="dxa"/>
            <w:vAlign w:val="bottom"/>
            <w:tcBorders>
              <w:left w:val="single" w:sz="8" w:color="0E32E1"/>
            </w:tcBorders>
          </w:tcPr>
          <w:p>
            <w:pPr>
              <w:spacing w:after="0" w:line="20" w:lineRule="exact"/>
              <w:rPr>
                <w:sz w:val="1"/>
                <w:szCs w:val="1"/>
                <w:color w:val="auto"/>
              </w:rPr>
            </w:pPr>
          </w:p>
        </w:tc>
      </w:tr>
      <w:tr>
        <w:trPr>
          <w:trHeight w:val="420"/>
        </w:trPr>
        <w:tc>
          <w:tcPr>
            <w:tcW w:w="20" w:type="dxa"/>
            <w:vAlign w:val="bottom"/>
          </w:tcPr>
          <w:p>
            <w:pPr>
              <w:spacing w:after="0"/>
              <w:rPr>
                <w:sz w:val="24"/>
                <w:szCs w:val="24"/>
                <w:color w:val="auto"/>
              </w:rPr>
            </w:pPr>
          </w:p>
        </w:tc>
        <w:tc>
          <w:tcPr>
            <w:tcW w:w="900" w:type="dxa"/>
            <w:vAlign w:val="bottom"/>
            <w:gridSpan w:val="3"/>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Part II.</w:t>
              </w:r>
            </w:hyperlink>
          </w:p>
        </w:tc>
        <w:tc>
          <w:tcPr>
            <w:tcW w:w="9840" w:type="dxa"/>
            <w:vAlign w:val="bottom"/>
            <w:gridSpan w:val="17"/>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Other Information</w:t>
              </w:r>
            </w:hyperlink>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480" w:type="dxa"/>
            <w:vAlign w:val="bottom"/>
            <w:shd w:val="clear" w:color="auto" w:fill="0E32E1"/>
          </w:tcPr>
          <w:p>
            <w:pPr>
              <w:spacing w:after="0" w:line="20" w:lineRule="exact"/>
              <w:rPr>
                <w:sz w:val="1"/>
                <w:szCs w:val="1"/>
                <w:color w:val="auto"/>
              </w:rPr>
            </w:pPr>
          </w:p>
        </w:tc>
        <w:tc>
          <w:tcPr>
            <w:tcW w:w="380" w:type="dxa"/>
            <w:vAlign w:val="bottom"/>
            <w:tcBorders>
              <w:left w:val="single" w:sz="8" w:color="0E32E1"/>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920" w:type="dxa"/>
            <w:vAlign w:val="bottom"/>
            <w:gridSpan w:val="2"/>
            <w:shd w:val="clear" w:color="auto" w:fill="0E32E1"/>
          </w:tcPr>
          <w:p>
            <w:pPr>
              <w:spacing w:after="0" w:line="20" w:lineRule="exact"/>
              <w:rPr>
                <w:sz w:val="1"/>
                <w:szCs w:val="1"/>
                <w:color w:val="auto"/>
              </w:rPr>
            </w:pPr>
          </w:p>
        </w:tc>
        <w:tc>
          <w:tcPr>
            <w:tcW w:w="460" w:type="dxa"/>
            <w:vAlign w:val="bottom"/>
            <w:gridSpan w:val="3"/>
            <w:shd w:val="clear" w:color="auto" w:fill="0E32E1"/>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3320" w:type="dxa"/>
            <w:vAlign w:val="bottom"/>
            <w:gridSpan w:val="4"/>
          </w:tcPr>
          <w:p>
            <w:pPr>
              <w:spacing w:after="0" w:line="20" w:lineRule="exact"/>
              <w:rPr>
                <w:sz w:val="1"/>
                <w:szCs w:val="1"/>
                <w:color w:val="auto"/>
              </w:rPr>
            </w:pPr>
          </w:p>
        </w:tc>
        <w:tc>
          <w:tcPr>
            <w:tcW w:w="4120" w:type="dxa"/>
            <w:vAlign w:val="bottom"/>
            <w:gridSpan w:val="5"/>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r>
      <w:tr>
        <w:trPr>
          <w:trHeight w:val="420"/>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20" w:type="dxa"/>
            <w:vAlign w:val="bottom"/>
            <w:gridSpan w:val="2"/>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Item 1.</w:t>
              </w:r>
            </w:hyperlink>
          </w:p>
        </w:tc>
        <w:tc>
          <w:tcPr>
            <w:tcW w:w="8920" w:type="dxa"/>
            <w:vAlign w:val="bottom"/>
            <w:gridSpan w:val="15"/>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Legal Proceedings</w:t>
              </w:r>
            </w:hyperlink>
          </w:p>
        </w:tc>
        <w:tc>
          <w:tcPr>
            <w:tcW w:w="480" w:type="dxa"/>
            <w:vAlign w:val="bottom"/>
            <w:gridSpan w:val="3"/>
          </w:tcPr>
          <w:p>
            <w:pPr>
              <w:jc w:val="center"/>
              <w:ind w:right="80"/>
              <w:spacing w:after="0"/>
              <w:rPr>
                <w:rFonts w:ascii="Arial" w:cs="Arial" w:eastAsia="Arial" w:hAnsi="Arial"/>
                <w:sz w:val="18"/>
                <w:szCs w:val="18"/>
                <w:color w:val="0E32E1"/>
                <w:w w:val="99"/>
              </w:rPr>
            </w:pPr>
            <w:hyperlink w:anchor="page33">
              <w:r>
                <w:rPr>
                  <w:rFonts w:ascii="Arial" w:cs="Arial" w:eastAsia="Arial" w:hAnsi="Arial"/>
                  <w:sz w:val="18"/>
                  <w:szCs w:val="18"/>
                  <w:color w:val="0E32E1"/>
                  <w:w w:val="99"/>
                </w:rPr>
                <w:t>31</w:t>
              </w:r>
            </w:hyperlink>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shd w:val="clear" w:color="auto" w:fill="0E32E1"/>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gridSpan w:val="3"/>
            <w:shd w:val="clear" w:color="auto" w:fill="0E32E1"/>
          </w:tcPr>
          <w:p>
            <w:pPr>
              <w:spacing w:after="0" w:line="20" w:lineRule="exact"/>
              <w:rPr>
                <w:sz w:val="1"/>
                <w:szCs w:val="1"/>
                <w:color w:val="auto"/>
              </w:rPr>
            </w:pPr>
          </w:p>
        </w:tc>
        <w:tc>
          <w:tcPr>
            <w:tcW w:w="860" w:type="dxa"/>
            <w:vAlign w:val="bottom"/>
            <w:gridSpan w:val="2"/>
            <w:shd w:val="clear" w:color="auto" w:fill="0E32E1"/>
          </w:tcPr>
          <w:p>
            <w:pPr>
              <w:spacing w:after="0" w:line="20" w:lineRule="exact"/>
              <w:rPr>
                <w:sz w:val="1"/>
                <w:szCs w:val="1"/>
                <w:color w:val="auto"/>
              </w:rPr>
            </w:pPr>
          </w:p>
        </w:tc>
        <w:tc>
          <w:tcPr>
            <w:tcW w:w="3320" w:type="dxa"/>
            <w:vAlign w:val="bottom"/>
            <w:gridSpan w:val="4"/>
          </w:tcPr>
          <w:p>
            <w:pPr>
              <w:spacing w:after="0" w:line="20" w:lineRule="exact"/>
              <w:rPr>
                <w:sz w:val="1"/>
                <w:szCs w:val="1"/>
                <w:color w:val="auto"/>
              </w:rPr>
            </w:pPr>
          </w:p>
        </w:tc>
        <w:tc>
          <w:tcPr>
            <w:tcW w:w="4120" w:type="dxa"/>
            <w:vAlign w:val="bottom"/>
            <w:gridSpan w:val="5"/>
          </w:tcPr>
          <w:p>
            <w:pPr>
              <w:spacing w:after="0" w:line="20" w:lineRule="exact"/>
              <w:rPr>
                <w:sz w:val="1"/>
                <w:szCs w:val="1"/>
                <w:color w:val="auto"/>
              </w:rPr>
            </w:pPr>
          </w:p>
        </w:tc>
        <w:tc>
          <w:tcPr>
            <w:tcW w:w="160" w:type="dxa"/>
            <w:vAlign w:val="bottom"/>
            <w:tcBorders>
              <w:right w:val="single" w:sz="8" w:color="0E32E1"/>
            </w:tcBorders>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220" w:type="dxa"/>
            <w:vAlign w:val="bottom"/>
            <w:tcBorders>
              <w:left w:val="single" w:sz="8" w:color="0E32E1"/>
            </w:tcBorders>
          </w:tcPr>
          <w:p>
            <w:pPr>
              <w:spacing w:after="0" w:line="20" w:lineRule="exact"/>
              <w:rPr>
                <w:sz w:val="1"/>
                <w:szCs w:val="1"/>
                <w:color w:val="auto"/>
              </w:rPr>
            </w:pPr>
          </w:p>
        </w:tc>
      </w:tr>
      <w:tr>
        <w:trPr>
          <w:trHeight w:val="420"/>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20" w:type="dxa"/>
            <w:vAlign w:val="bottom"/>
            <w:gridSpan w:val="2"/>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Item 2.</w:t>
              </w:r>
            </w:hyperlink>
          </w:p>
        </w:tc>
        <w:tc>
          <w:tcPr>
            <w:tcW w:w="8920" w:type="dxa"/>
            <w:vAlign w:val="bottom"/>
            <w:gridSpan w:val="15"/>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Unregistered Sales of Equity Securities and Use of Proceeds</w:t>
              </w:r>
            </w:hyperlink>
          </w:p>
        </w:tc>
        <w:tc>
          <w:tcPr>
            <w:tcW w:w="480" w:type="dxa"/>
            <w:vAlign w:val="bottom"/>
            <w:gridSpan w:val="3"/>
          </w:tcPr>
          <w:p>
            <w:pPr>
              <w:jc w:val="center"/>
              <w:ind w:right="80"/>
              <w:spacing w:after="0"/>
              <w:rPr>
                <w:rFonts w:ascii="Arial" w:cs="Arial" w:eastAsia="Arial" w:hAnsi="Arial"/>
                <w:sz w:val="18"/>
                <w:szCs w:val="18"/>
                <w:color w:val="0E32E1"/>
                <w:w w:val="99"/>
              </w:rPr>
            </w:pPr>
            <w:hyperlink w:anchor="page33">
              <w:r>
                <w:rPr>
                  <w:rFonts w:ascii="Arial" w:cs="Arial" w:eastAsia="Arial" w:hAnsi="Arial"/>
                  <w:sz w:val="18"/>
                  <w:szCs w:val="18"/>
                  <w:color w:val="0E32E1"/>
                  <w:w w:val="99"/>
                </w:rPr>
                <w:t>31</w:t>
              </w:r>
            </w:hyperlink>
          </w:p>
        </w:tc>
      </w:tr>
      <w:tr>
        <w:trPr>
          <w:trHeight w:val="20"/>
        </w:trPr>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shd w:val="clear" w:color="auto" w:fill="0E32E1"/>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gridSpan w:val="3"/>
            <w:shd w:val="clear" w:color="auto" w:fill="0E32E1"/>
          </w:tcPr>
          <w:p>
            <w:pPr>
              <w:spacing w:after="0" w:line="20" w:lineRule="exact"/>
              <w:rPr>
                <w:sz w:val="1"/>
                <w:szCs w:val="1"/>
                <w:color w:val="auto"/>
              </w:rPr>
            </w:pPr>
          </w:p>
        </w:tc>
        <w:tc>
          <w:tcPr>
            <w:tcW w:w="4180" w:type="dxa"/>
            <w:vAlign w:val="bottom"/>
            <w:gridSpan w:val="6"/>
            <w:shd w:val="clear" w:color="auto" w:fill="0E32E1"/>
          </w:tcPr>
          <w:p>
            <w:pPr>
              <w:spacing w:after="0" w:line="20" w:lineRule="exact"/>
              <w:rPr>
                <w:sz w:val="1"/>
                <w:szCs w:val="1"/>
                <w:color w:val="auto"/>
              </w:rPr>
            </w:pPr>
          </w:p>
        </w:tc>
        <w:tc>
          <w:tcPr>
            <w:tcW w:w="4120" w:type="dxa"/>
            <w:vAlign w:val="bottom"/>
            <w:gridSpan w:val="5"/>
          </w:tcPr>
          <w:p>
            <w:pPr>
              <w:spacing w:after="0" w:line="20" w:lineRule="exact"/>
              <w:rPr>
                <w:sz w:val="1"/>
                <w:szCs w:val="1"/>
                <w:color w:val="auto"/>
              </w:rPr>
            </w:pPr>
          </w:p>
        </w:tc>
        <w:tc>
          <w:tcPr>
            <w:tcW w:w="160" w:type="dxa"/>
            <w:vAlign w:val="bottom"/>
            <w:tcBorders>
              <w:right w:val="single" w:sz="8" w:color="0E32E1"/>
            </w:tcBorders>
          </w:tcPr>
          <w:p>
            <w:pPr>
              <w:spacing w:after="0" w:line="20" w:lineRule="exact"/>
              <w:rPr>
                <w:sz w:val="1"/>
                <w:szCs w:val="1"/>
                <w:color w:val="auto"/>
              </w:rPr>
            </w:pPr>
          </w:p>
        </w:tc>
        <w:tc>
          <w:tcPr>
            <w:tcW w:w="100" w:type="dxa"/>
            <w:vAlign w:val="bottom"/>
            <w:shd w:val="clear" w:color="auto" w:fill="0E32E1"/>
          </w:tcPr>
          <w:p>
            <w:pPr>
              <w:spacing w:after="0" w:line="20" w:lineRule="exact"/>
              <w:rPr>
                <w:sz w:val="1"/>
                <w:szCs w:val="1"/>
                <w:color w:val="auto"/>
              </w:rPr>
            </w:pPr>
          </w:p>
        </w:tc>
        <w:tc>
          <w:tcPr>
            <w:tcW w:w="220" w:type="dxa"/>
            <w:vAlign w:val="bottom"/>
            <w:tcBorders>
              <w:left w:val="single" w:sz="8" w:color="0E32E1"/>
            </w:tcBorders>
          </w:tcPr>
          <w:p>
            <w:pPr>
              <w:spacing w:after="0" w:line="20" w:lineRule="exact"/>
              <w:rPr>
                <w:sz w:val="1"/>
                <w:szCs w:val="1"/>
                <w:color w:val="auto"/>
              </w:rPr>
            </w:pPr>
          </w:p>
        </w:tc>
      </w:tr>
      <w:tr>
        <w:trPr>
          <w:trHeight w:val="420"/>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20" w:type="dxa"/>
            <w:vAlign w:val="bottom"/>
            <w:gridSpan w:val="2"/>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Item 6.</w:t>
              </w:r>
            </w:hyperlink>
          </w:p>
        </w:tc>
        <w:tc>
          <w:tcPr>
            <w:tcW w:w="8920" w:type="dxa"/>
            <w:vAlign w:val="bottom"/>
            <w:gridSpan w:val="15"/>
          </w:tcPr>
          <w:p>
            <w:pPr>
              <w:spacing w:after="0"/>
              <w:rPr>
                <w:rFonts w:ascii="Arial" w:cs="Arial" w:eastAsia="Arial" w:hAnsi="Arial"/>
                <w:sz w:val="18"/>
                <w:szCs w:val="18"/>
                <w:color w:val="0E32E1"/>
              </w:rPr>
            </w:pPr>
            <w:hyperlink w:anchor="page33">
              <w:r>
                <w:rPr>
                  <w:rFonts w:ascii="Arial" w:cs="Arial" w:eastAsia="Arial" w:hAnsi="Arial"/>
                  <w:sz w:val="18"/>
                  <w:szCs w:val="18"/>
                  <w:color w:val="0E32E1"/>
                </w:rPr>
                <w:t>Exhibits</w:t>
              </w:r>
            </w:hyperlink>
          </w:p>
        </w:tc>
        <w:tc>
          <w:tcPr>
            <w:tcW w:w="480" w:type="dxa"/>
            <w:vAlign w:val="bottom"/>
            <w:gridSpan w:val="3"/>
          </w:tcPr>
          <w:p>
            <w:pPr>
              <w:jc w:val="center"/>
              <w:ind w:right="80"/>
              <w:spacing w:after="0"/>
              <w:rPr>
                <w:rFonts w:ascii="Arial" w:cs="Arial" w:eastAsia="Arial" w:hAnsi="Arial"/>
                <w:sz w:val="18"/>
                <w:szCs w:val="18"/>
                <w:color w:val="0E32E1"/>
                <w:w w:val="99"/>
              </w:rPr>
            </w:pPr>
            <w:hyperlink w:anchor="page33">
              <w:r>
                <w:rPr>
                  <w:rFonts w:ascii="Arial" w:cs="Arial" w:eastAsia="Arial" w:hAnsi="Arial"/>
                  <w:sz w:val="18"/>
                  <w:szCs w:val="18"/>
                  <w:color w:val="0E32E1"/>
                  <w:w w:val="99"/>
                </w:rPr>
                <w:t>32</w:t>
              </w:r>
            </w:hyperlink>
          </w:p>
        </w:tc>
      </w:tr>
      <w:tr>
        <w:trPr>
          <w:trHeight w:val="420"/>
        </w:trPr>
        <w:tc>
          <w:tcPr>
            <w:tcW w:w="920" w:type="dxa"/>
            <w:vAlign w:val="bottom"/>
            <w:gridSpan w:val="4"/>
          </w:tcPr>
          <w:p>
            <w:pPr>
              <w:ind w:left="20"/>
              <w:spacing w:after="0"/>
              <w:rPr>
                <w:rFonts w:ascii="Arial" w:cs="Arial" w:eastAsia="Arial" w:hAnsi="Arial"/>
                <w:sz w:val="18"/>
                <w:szCs w:val="18"/>
                <w:color w:val="0E32E1"/>
              </w:rPr>
            </w:pPr>
            <w:hyperlink w:anchor="page34">
              <w:r>
                <w:rPr>
                  <w:rFonts w:ascii="Arial" w:cs="Arial" w:eastAsia="Arial" w:hAnsi="Arial"/>
                  <w:sz w:val="18"/>
                  <w:szCs w:val="18"/>
                  <w:color w:val="0E32E1"/>
                </w:rPr>
                <w:t>Signatures</w:t>
              </w:r>
            </w:hyperlink>
          </w:p>
        </w:tc>
        <w:tc>
          <w:tcPr>
            <w:tcW w:w="540" w:type="dxa"/>
            <w:vAlign w:val="bottom"/>
            <w:tcBorders>
              <w:top w:val="single" w:sz="8" w:color="0E32E1"/>
            </w:tcBorders>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 w:type="dxa"/>
            <w:vAlign w:val="bottom"/>
            <w:tcBorders>
              <w:top w:val="single" w:sz="8" w:color="0E32E1"/>
            </w:tcBorders>
          </w:tcPr>
          <w:p>
            <w:pPr>
              <w:spacing w:after="0"/>
              <w:rPr>
                <w:sz w:val="24"/>
                <w:szCs w:val="24"/>
                <w:color w:val="auto"/>
              </w:rPr>
            </w:pPr>
          </w:p>
        </w:tc>
        <w:tc>
          <w:tcPr>
            <w:tcW w:w="60" w:type="dxa"/>
            <w:vAlign w:val="bottom"/>
            <w:tcBorders>
              <w:top w:val="single" w:sz="8" w:color="0E32E1"/>
            </w:tcBorders>
          </w:tcPr>
          <w:p>
            <w:pPr>
              <w:spacing w:after="0"/>
              <w:rPr>
                <w:sz w:val="24"/>
                <w:szCs w:val="24"/>
                <w:color w:val="auto"/>
              </w:rPr>
            </w:pPr>
          </w:p>
        </w:tc>
        <w:tc>
          <w:tcPr>
            <w:tcW w:w="160" w:type="dxa"/>
            <w:vAlign w:val="bottom"/>
            <w:tcBorders>
              <w:top w:val="single" w:sz="8" w:color="0E32E1"/>
            </w:tcBorders>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Borders>
              <w:top w:val="single" w:sz="8" w:color="0E32E1"/>
            </w:tcBorders>
          </w:tcPr>
          <w:p>
            <w:pPr>
              <w:jc w:val="center"/>
              <w:spacing w:after="0"/>
              <w:rPr>
                <w:rFonts w:ascii="Arial" w:cs="Arial" w:eastAsia="Arial" w:hAnsi="Arial"/>
                <w:sz w:val="17"/>
                <w:szCs w:val="17"/>
                <w:color w:val="0E32E1"/>
                <w:w w:val="73"/>
              </w:rPr>
            </w:pPr>
            <w:hyperlink w:anchor="page34">
              <w:r>
                <w:rPr>
                  <w:rFonts w:ascii="Arial" w:cs="Arial" w:eastAsia="Arial" w:hAnsi="Arial"/>
                  <w:sz w:val="17"/>
                  <w:szCs w:val="17"/>
                  <w:color w:val="0E32E1"/>
                  <w:w w:val="73"/>
                </w:rPr>
                <w:t>33</w:t>
              </w:r>
            </w:hyperlink>
          </w:p>
        </w:tc>
        <w:tc>
          <w:tcPr>
            <w:tcW w:w="220" w:type="dxa"/>
            <w:vAlign w:val="bottom"/>
          </w:tcPr>
          <w:p>
            <w:pPr>
              <w:spacing w:after="0"/>
              <w:rPr>
                <w:sz w:val="24"/>
                <w:szCs w:val="24"/>
                <w:color w:val="auto"/>
              </w:rPr>
            </w:pPr>
          </w:p>
        </w:tc>
      </w:tr>
      <w:tr>
        <w:trPr>
          <w:trHeight w:val="1001"/>
        </w:trPr>
        <w:tc>
          <w:tcPr>
            <w:tcW w:w="20" w:type="dxa"/>
            <w:vAlign w:val="bottom"/>
            <w:tcBorders>
              <w:bottom w:val="single" w:sz="8" w:color="9A9A9A"/>
            </w:tcBorders>
          </w:tcPr>
          <w:p>
            <w:pPr>
              <w:spacing w:after="0"/>
              <w:rPr>
                <w:sz w:val="24"/>
                <w:szCs w:val="24"/>
                <w:color w:val="auto"/>
              </w:rPr>
            </w:pPr>
          </w:p>
        </w:tc>
        <w:tc>
          <w:tcPr>
            <w:tcW w:w="480" w:type="dxa"/>
            <w:vAlign w:val="bottom"/>
            <w:tcBorders>
              <w:top w:val="single" w:sz="8" w:color="0E32E1"/>
              <w:bottom w:val="single" w:sz="8" w:color="9A9A9A"/>
            </w:tcBorders>
          </w:tcPr>
          <w:p>
            <w:pPr>
              <w:spacing w:after="0"/>
              <w:rPr>
                <w:sz w:val="24"/>
                <w:szCs w:val="24"/>
                <w:color w:val="auto"/>
              </w:rPr>
            </w:pPr>
          </w:p>
        </w:tc>
        <w:tc>
          <w:tcPr>
            <w:tcW w:w="380" w:type="dxa"/>
            <w:vAlign w:val="bottom"/>
            <w:tcBorders>
              <w:top w:val="single" w:sz="8" w:color="0E32E1"/>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54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760" w:type="dxa"/>
            <w:vAlign w:val="bottom"/>
            <w:tcBorders>
              <w:bottom w:val="single" w:sz="8" w:color="9A9A9A"/>
            </w:tcBorders>
          </w:tcPr>
          <w:p>
            <w:pPr>
              <w:spacing w:after="0"/>
              <w:rPr>
                <w:sz w:val="24"/>
                <w:szCs w:val="24"/>
                <w:color w:val="auto"/>
              </w:rPr>
            </w:pPr>
          </w:p>
        </w:tc>
        <w:tc>
          <w:tcPr>
            <w:tcW w:w="480" w:type="dxa"/>
            <w:vAlign w:val="bottom"/>
            <w:tcBorders>
              <w:bottom w:val="single" w:sz="8" w:color="9A9A9A"/>
            </w:tcBorders>
          </w:tcPr>
          <w:p>
            <w:pPr>
              <w:spacing w:after="0"/>
              <w:rPr>
                <w:sz w:val="24"/>
                <w:szCs w:val="24"/>
                <w:color w:val="auto"/>
              </w:rPr>
            </w:pPr>
          </w:p>
        </w:tc>
        <w:tc>
          <w:tcPr>
            <w:tcW w:w="680" w:type="dxa"/>
            <w:vAlign w:val="bottom"/>
            <w:tcBorders>
              <w:bottom w:val="single" w:sz="8" w:color="9A9A9A"/>
            </w:tcBorders>
          </w:tcPr>
          <w:p>
            <w:pPr>
              <w:spacing w:after="0"/>
              <w:rPr>
                <w:sz w:val="24"/>
                <w:szCs w:val="24"/>
                <w:color w:val="auto"/>
              </w:rPr>
            </w:pPr>
          </w:p>
        </w:tc>
        <w:tc>
          <w:tcPr>
            <w:tcW w:w="202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216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146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00" w:type="dxa"/>
            <w:vAlign w:val="bottom"/>
            <w:tcBorders>
              <w:top w:val="single" w:sz="8" w:color="0E32E1"/>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-29210</wp:posOffset>
            </wp:positionV>
            <wp:extent cx="33655"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094"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Financial Statements</w:t>
      </w:r>
    </w:p>
    <w:p>
      <w:pPr>
        <w:spacing w:after="0" w:line="22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WORLD FUEL SERVICES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CONDENSED CONSOLIDATED BALANCE SHEETS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(Unaudited - In millions, except per share data)</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40" w:type="dxa"/>
            <w:vAlign w:val="bottom"/>
            <w:gridSpan w:val="2"/>
          </w:tcPr>
          <w:p>
            <w:pPr>
              <w:ind w:left="180"/>
              <w:spacing w:after="0"/>
              <w:rPr>
                <w:sz w:val="20"/>
                <w:szCs w:val="20"/>
                <w:color w:val="auto"/>
              </w:rPr>
            </w:pPr>
            <w:r>
              <w:rPr>
                <w:rFonts w:ascii="Arial" w:cs="Arial" w:eastAsia="Arial" w:hAnsi="Arial"/>
                <w:sz w:val="18"/>
                <w:szCs w:val="18"/>
                <w:b w:val="1"/>
                <w:bCs w:val="1"/>
                <w:color w:val="auto"/>
              </w:rPr>
              <w:t>March 31, 2022</w:t>
            </w:r>
          </w:p>
        </w:tc>
        <w:tc>
          <w:tcPr>
            <w:tcW w:w="200" w:type="dxa"/>
            <w:vAlign w:val="bottom"/>
          </w:tcPr>
          <w:p>
            <w:pPr>
              <w:spacing w:after="0"/>
              <w:rPr>
                <w:sz w:val="20"/>
                <w:szCs w:val="20"/>
                <w:color w:val="auto"/>
              </w:rPr>
            </w:pPr>
          </w:p>
        </w:tc>
        <w:tc>
          <w:tcPr>
            <w:tcW w:w="2000" w:type="dxa"/>
            <w:vAlign w:val="bottom"/>
          </w:tcPr>
          <w:p>
            <w:pPr>
              <w:jc w:val="right"/>
              <w:ind w:right="211"/>
              <w:spacing w:after="0"/>
              <w:rPr>
                <w:sz w:val="20"/>
                <w:szCs w:val="20"/>
                <w:color w:val="auto"/>
              </w:rPr>
            </w:pPr>
            <w:r>
              <w:rPr>
                <w:rFonts w:ascii="Arial" w:cs="Arial" w:eastAsia="Arial" w:hAnsi="Arial"/>
                <w:sz w:val="18"/>
                <w:szCs w:val="18"/>
                <w:b w:val="1"/>
                <w:bCs w:val="1"/>
                <w:color w:val="auto"/>
              </w:rPr>
              <w:t>December 31, 2021</w:t>
            </w:r>
          </w:p>
        </w:tc>
      </w:tr>
      <w:tr>
        <w:trPr>
          <w:trHeight w:val="221"/>
        </w:trPr>
        <w:tc>
          <w:tcPr>
            <w:tcW w:w="6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Assets:</w:t>
            </w:r>
          </w:p>
        </w:tc>
        <w:tc>
          <w:tcPr>
            <w:tcW w:w="280" w:type="dxa"/>
            <w:vAlign w:val="bottom"/>
            <w:tcBorders>
              <w:top w:val="single" w:sz="8" w:color="auto"/>
            </w:tcBorders>
            <w:shd w:val="clear" w:color="auto" w:fill="CCEEFF"/>
          </w:tcPr>
          <w:p>
            <w:pPr>
              <w:spacing w:after="0"/>
              <w:rPr>
                <w:sz w:val="19"/>
                <w:szCs w:val="19"/>
                <w:color w:val="auto"/>
              </w:rPr>
            </w:pPr>
          </w:p>
        </w:tc>
        <w:tc>
          <w:tcPr>
            <w:tcW w:w="190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spacing w:after="0"/>
              <w:rPr>
                <w:sz w:val="19"/>
                <w:szCs w:val="19"/>
                <w:color w:val="auto"/>
              </w:rPr>
            </w:pPr>
          </w:p>
        </w:tc>
        <w:tc>
          <w:tcPr>
            <w:tcW w:w="2000" w:type="dxa"/>
            <w:vAlign w:val="bottom"/>
            <w:tcBorders>
              <w:top w:val="single" w:sz="8" w:color="auto"/>
            </w:tcBorders>
            <w:shd w:val="clear" w:color="auto" w:fill="CCEEFF"/>
          </w:tcPr>
          <w:p>
            <w:pPr>
              <w:spacing w:after="0"/>
              <w:rPr>
                <w:sz w:val="19"/>
                <w:szCs w:val="19"/>
                <w:color w:val="auto"/>
              </w:rPr>
            </w:pP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Current assets:</w:t>
            </w:r>
          </w:p>
        </w:tc>
        <w:tc>
          <w:tcPr>
            <w:tcW w:w="28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spacing w:after="0"/>
              <w:rPr>
                <w:sz w:val="19"/>
                <w:szCs w:val="19"/>
                <w:color w:val="auto"/>
              </w:rPr>
            </w:pP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Cash and cash equivalents</w:t>
            </w:r>
          </w:p>
        </w:tc>
        <w:tc>
          <w:tcPr>
            <w:tcW w:w="28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266.2</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652.2</w:t>
            </w:r>
          </w:p>
        </w:tc>
      </w:tr>
      <w:tr>
        <w:trPr>
          <w:trHeight w:val="186"/>
        </w:trPr>
        <w:tc>
          <w:tcPr>
            <w:tcW w:w="6720" w:type="dxa"/>
            <w:vAlign w:val="bottom"/>
          </w:tcPr>
          <w:p>
            <w:pPr>
              <w:ind w:left="140"/>
              <w:spacing w:after="0" w:line="186" w:lineRule="exact"/>
              <w:rPr>
                <w:sz w:val="20"/>
                <w:szCs w:val="20"/>
                <w:color w:val="auto"/>
              </w:rPr>
            </w:pPr>
            <w:r>
              <w:rPr>
                <w:rFonts w:ascii="Arial" w:cs="Arial" w:eastAsia="Arial" w:hAnsi="Arial"/>
                <w:sz w:val="18"/>
                <w:szCs w:val="18"/>
                <w:color w:val="auto"/>
              </w:rPr>
              <w:t>Accounts receivable, net of allowance for credit losses of $17.2 million and $26.1</w:t>
            </w:r>
          </w:p>
        </w:tc>
        <w:tc>
          <w:tcPr>
            <w:tcW w:w="2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0" w:type="dxa"/>
            <w:vAlign w:val="bottom"/>
          </w:tcPr>
          <w:p>
            <w:pPr>
              <w:spacing w:after="0"/>
              <w:rPr>
                <w:sz w:val="16"/>
                <w:szCs w:val="16"/>
                <w:color w:val="auto"/>
              </w:rPr>
            </w:pPr>
          </w:p>
        </w:tc>
      </w:tr>
      <w:tr>
        <w:trPr>
          <w:trHeight w:val="214"/>
        </w:trPr>
        <w:tc>
          <w:tcPr>
            <w:tcW w:w="6720" w:type="dxa"/>
            <w:vAlign w:val="bottom"/>
          </w:tcPr>
          <w:p>
            <w:pPr>
              <w:ind w:left="140"/>
              <w:spacing w:after="0"/>
              <w:rPr>
                <w:sz w:val="20"/>
                <w:szCs w:val="20"/>
                <w:color w:val="auto"/>
              </w:rPr>
            </w:pPr>
            <w:r>
              <w:rPr>
                <w:rFonts w:ascii="Arial" w:cs="Arial" w:eastAsia="Arial" w:hAnsi="Arial"/>
                <w:sz w:val="18"/>
                <w:szCs w:val="18"/>
                <w:color w:val="auto"/>
              </w:rPr>
              <w:t>million as of March 31, 2022 and December 31, 2021, respectively</w:t>
            </w:r>
          </w:p>
        </w:tc>
        <w:tc>
          <w:tcPr>
            <w:tcW w:w="280" w:type="dxa"/>
            <w:vAlign w:val="bottom"/>
          </w:tcPr>
          <w:p>
            <w:pPr>
              <w:spacing w:after="0"/>
              <w:rPr>
                <w:sz w:val="18"/>
                <w:szCs w:val="18"/>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3,510.2</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2,355.3</w:t>
            </w: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Inventories</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680.5</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477.9</w:t>
            </w:r>
          </w:p>
        </w:tc>
      </w:tr>
      <w:tr>
        <w:trPr>
          <w:trHeight w:val="226"/>
        </w:trPr>
        <w:tc>
          <w:tcPr>
            <w:tcW w:w="6720" w:type="dxa"/>
            <w:vAlign w:val="bottom"/>
          </w:tcPr>
          <w:p>
            <w:pPr>
              <w:ind w:left="140"/>
              <w:spacing w:after="0"/>
              <w:rPr>
                <w:sz w:val="20"/>
                <w:szCs w:val="20"/>
                <w:color w:val="auto"/>
              </w:rPr>
            </w:pPr>
            <w:r>
              <w:rPr>
                <w:rFonts w:ascii="Arial" w:cs="Arial" w:eastAsia="Arial" w:hAnsi="Arial"/>
                <w:sz w:val="18"/>
                <w:szCs w:val="18"/>
                <w:color w:val="auto"/>
              </w:rPr>
              <w:t>Prepaid expenses</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59.3</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59.2</w:t>
            </w: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Short-term derivative assets, net</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293.8</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169.2</w:t>
            </w:r>
          </w:p>
        </w:tc>
      </w:tr>
      <w:tr>
        <w:trPr>
          <w:trHeight w:val="226"/>
        </w:trPr>
        <w:tc>
          <w:tcPr>
            <w:tcW w:w="672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Other current assets</w:t>
            </w:r>
          </w:p>
        </w:tc>
        <w:tc>
          <w:tcPr>
            <w:tcW w:w="28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215.3</w:t>
            </w:r>
          </w:p>
        </w:tc>
        <w:tc>
          <w:tcPr>
            <w:tcW w:w="1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305.9</w:t>
            </w:r>
          </w:p>
        </w:tc>
      </w:tr>
      <w:tr>
        <w:trPr>
          <w:trHeight w:val="221"/>
        </w:trPr>
        <w:tc>
          <w:tcPr>
            <w:tcW w:w="6720" w:type="dxa"/>
            <w:vAlign w:val="bottom"/>
            <w:shd w:val="clear" w:color="auto" w:fill="CCEEFF"/>
          </w:tcPr>
          <w:p>
            <w:pPr>
              <w:ind w:left="220"/>
              <w:spacing w:after="0"/>
              <w:rPr>
                <w:sz w:val="20"/>
                <w:szCs w:val="20"/>
                <w:color w:val="auto"/>
              </w:rPr>
            </w:pPr>
            <w:r>
              <w:rPr>
                <w:rFonts w:ascii="Arial" w:cs="Arial" w:eastAsia="Arial" w:hAnsi="Arial"/>
                <w:sz w:val="18"/>
                <w:szCs w:val="18"/>
                <w:color w:val="auto"/>
              </w:rPr>
              <w:t>Total current assets</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5,025.3</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4,019.7</w:t>
            </w: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Property and equipment, net</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473.9</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348.9</w:t>
            </w:r>
          </w:p>
        </w:tc>
      </w:tr>
      <w:tr>
        <w:trPr>
          <w:trHeight w:val="228"/>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1,244.6</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861.9</w:t>
            </w: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Identifiable intangible assets, net</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369.5</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189.1</w:t>
            </w:r>
          </w:p>
        </w:tc>
      </w:tr>
      <w:tr>
        <w:trPr>
          <w:trHeight w:val="227"/>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non-current assets</w:t>
            </w:r>
          </w:p>
        </w:tc>
        <w:tc>
          <w:tcPr>
            <w:tcW w:w="280" w:type="dxa"/>
            <w:vAlign w:val="bottom"/>
            <w:tcBorders>
              <w:bottom w:val="single" w:sz="8" w:color="auto"/>
            </w:tcBorders>
            <w:shd w:val="clear" w:color="auto" w:fill="CCEEFF"/>
          </w:tcPr>
          <w:p>
            <w:pPr>
              <w:spacing w:after="0"/>
              <w:rPr>
                <w:sz w:val="19"/>
                <w:szCs w:val="19"/>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854.7</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522.8</w:t>
            </w:r>
          </w:p>
        </w:tc>
      </w:tr>
      <w:tr>
        <w:trPr>
          <w:trHeight w:val="221"/>
        </w:trPr>
        <w:tc>
          <w:tcPr>
            <w:tcW w:w="6720" w:type="dxa"/>
            <w:vAlign w:val="bottom"/>
          </w:tcPr>
          <w:p>
            <w:pPr>
              <w:ind w:left="12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auto"/>
            </w:tcBorders>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7,968.0</w:t>
            </w:r>
          </w:p>
        </w:tc>
        <w:tc>
          <w:tcPr>
            <w:tcW w:w="14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5,942.4</w:t>
            </w:r>
          </w:p>
        </w:tc>
      </w:tr>
      <w:tr>
        <w:trPr>
          <w:trHeight w:val="20"/>
        </w:trPr>
        <w:tc>
          <w:tcPr>
            <w:tcW w:w="67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r>
      <w:tr>
        <w:trPr>
          <w:trHeight w:val="220"/>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Liabilities:</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spacing w:after="0"/>
              <w:rPr>
                <w:sz w:val="19"/>
                <w:szCs w:val="19"/>
                <w:color w:val="auto"/>
              </w:rPr>
            </w:pP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Current liabilities:</w:t>
            </w:r>
          </w:p>
        </w:tc>
        <w:tc>
          <w:tcPr>
            <w:tcW w:w="28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spacing w:after="0"/>
              <w:rPr>
                <w:sz w:val="19"/>
                <w:szCs w:val="19"/>
                <w:color w:val="auto"/>
              </w:rPr>
            </w:pP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Current maturities of long-term debt</w:t>
            </w:r>
          </w:p>
        </w:tc>
        <w:tc>
          <w:tcPr>
            <w:tcW w:w="280" w:type="dxa"/>
            <w:vAlign w:val="bottom"/>
            <w:shd w:val="clear" w:color="auto" w:fill="CCEEFF"/>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w:t>
            </w:r>
          </w:p>
        </w:tc>
      </w:tr>
      <w:tr>
        <w:trPr>
          <w:trHeight w:val="226"/>
        </w:trPr>
        <w:tc>
          <w:tcPr>
            <w:tcW w:w="6720" w:type="dxa"/>
            <w:vAlign w:val="bottom"/>
          </w:tcPr>
          <w:p>
            <w:pPr>
              <w:ind w:left="140"/>
              <w:spacing w:after="0"/>
              <w:rPr>
                <w:sz w:val="20"/>
                <w:szCs w:val="20"/>
                <w:color w:val="auto"/>
              </w:rPr>
            </w:pPr>
            <w:r>
              <w:rPr>
                <w:rFonts w:ascii="Arial" w:cs="Arial" w:eastAsia="Arial" w:hAnsi="Arial"/>
                <w:sz w:val="18"/>
                <w:szCs w:val="18"/>
                <w:color w:val="auto"/>
              </w:rPr>
              <w:t>Accounts payable</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3,447.5</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2,399.6</w:t>
            </w: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Short-term derivative liabilities, net</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317.1</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168.4</w:t>
            </w:r>
          </w:p>
        </w:tc>
      </w:tr>
      <w:tr>
        <w:trPr>
          <w:trHeight w:val="226"/>
        </w:trPr>
        <w:tc>
          <w:tcPr>
            <w:tcW w:w="6720" w:type="dxa"/>
            <w:vAlign w:val="bottom"/>
          </w:tcPr>
          <w:p>
            <w:pPr>
              <w:ind w:left="140"/>
              <w:spacing w:after="0"/>
              <w:rPr>
                <w:sz w:val="20"/>
                <w:szCs w:val="20"/>
                <w:color w:val="auto"/>
              </w:rPr>
            </w:pPr>
            <w:r>
              <w:rPr>
                <w:rFonts w:ascii="Arial" w:cs="Arial" w:eastAsia="Arial" w:hAnsi="Arial"/>
                <w:sz w:val="18"/>
                <w:szCs w:val="18"/>
                <w:color w:val="auto"/>
              </w:rPr>
              <w:t>Customer deposits</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234.9</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205.5</w:t>
            </w:r>
          </w:p>
        </w:tc>
      </w:tr>
      <w:tr>
        <w:trPr>
          <w:trHeight w:val="227"/>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Accrued expenses and other current liabilities</w:t>
            </w:r>
          </w:p>
        </w:tc>
        <w:tc>
          <w:tcPr>
            <w:tcW w:w="280" w:type="dxa"/>
            <w:vAlign w:val="bottom"/>
            <w:tcBorders>
              <w:bottom w:val="single" w:sz="8" w:color="auto"/>
            </w:tcBorders>
            <w:shd w:val="clear" w:color="auto" w:fill="CCEEFF"/>
          </w:tcPr>
          <w:p>
            <w:pPr>
              <w:spacing w:after="0"/>
              <w:rPr>
                <w:sz w:val="19"/>
                <w:szCs w:val="19"/>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398.0</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292.7</w:t>
            </w:r>
          </w:p>
        </w:tc>
      </w:tr>
      <w:tr>
        <w:trPr>
          <w:trHeight w:val="220"/>
        </w:trPr>
        <w:tc>
          <w:tcPr>
            <w:tcW w:w="6720" w:type="dxa"/>
            <w:vAlign w:val="bottom"/>
          </w:tcPr>
          <w:p>
            <w:pPr>
              <w:ind w:left="220"/>
              <w:spacing w:after="0"/>
              <w:rPr>
                <w:sz w:val="20"/>
                <w:szCs w:val="20"/>
                <w:color w:val="auto"/>
              </w:rPr>
            </w:pPr>
            <w:r>
              <w:rPr>
                <w:rFonts w:ascii="Arial" w:cs="Arial" w:eastAsia="Arial" w:hAnsi="Arial"/>
                <w:sz w:val="18"/>
                <w:szCs w:val="18"/>
                <w:color w:val="auto"/>
              </w:rPr>
              <w:t>Total current liabilities</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4,412.5</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3,096.7</w:t>
            </w:r>
          </w:p>
        </w:tc>
      </w:tr>
      <w:tr>
        <w:trPr>
          <w:trHeight w:val="228"/>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Long-term debt</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869.1</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478.1</w:t>
            </w: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Non-current income tax liabilities, net</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208.4</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213.9</w:t>
            </w:r>
          </w:p>
        </w:tc>
      </w:tr>
      <w:tr>
        <w:trPr>
          <w:trHeight w:val="227"/>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long-term liabilities</w:t>
            </w:r>
          </w:p>
        </w:tc>
        <w:tc>
          <w:tcPr>
            <w:tcW w:w="280" w:type="dxa"/>
            <w:vAlign w:val="bottom"/>
            <w:tcBorders>
              <w:bottom w:val="single" w:sz="8" w:color="auto"/>
            </w:tcBorders>
            <w:shd w:val="clear" w:color="auto" w:fill="CCEEFF"/>
          </w:tcPr>
          <w:p>
            <w:pPr>
              <w:spacing w:after="0"/>
              <w:rPr>
                <w:sz w:val="19"/>
                <w:szCs w:val="19"/>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532.5</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236.8</w:t>
            </w:r>
          </w:p>
        </w:tc>
      </w:tr>
      <w:tr>
        <w:trPr>
          <w:trHeight w:val="220"/>
        </w:trPr>
        <w:tc>
          <w:tcPr>
            <w:tcW w:w="6720" w:type="dxa"/>
            <w:vAlign w:val="bottom"/>
            <w:tcBorders>
              <w:bottom w:val="single" w:sz="8" w:color="CCEEFF"/>
            </w:tcBorders>
          </w:tcPr>
          <w:p>
            <w:pPr>
              <w:ind w:left="120"/>
              <w:spacing w:after="0"/>
              <w:rPr>
                <w:sz w:val="20"/>
                <w:szCs w:val="20"/>
                <w:color w:val="auto"/>
              </w:rPr>
            </w:pPr>
            <w:r>
              <w:rPr>
                <w:rFonts w:ascii="Arial" w:cs="Arial" w:eastAsia="Arial" w:hAnsi="Arial"/>
                <w:sz w:val="18"/>
                <w:szCs w:val="18"/>
                <w:color w:val="auto"/>
              </w:rPr>
              <w:t>Total liabilities</w:t>
            </w:r>
          </w:p>
        </w:tc>
        <w:tc>
          <w:tcPr>
            <w:tcW w:w="28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6,022.6</w:t>
            </w:r>
          </w:p>
        </w:tc>
        <w:tc>
          <w:tcPr>
            <w:tcW w:w="1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4,025.6</w:t>
            </w:r>
          </w:p>
        </w:tc>
      </w:tr>
      <w:tr>
        <w:trPr>
          <w:trHeight w:val="221"/>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Equity:</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spacing w:after="0"/>
              <w:rPr>
                <w:sz w:val="19"/>
                <w:szCs w:val="19"/>
                <w:color w:val="auto"/>
              </w:rPr>
            </w:pP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World Fuel shareholders' equity:</w:t>
            </w:r>
          </w:p>
        </w:tc>
        <w:tc>
          <w:tcPr>
            <w:tcW w:w="28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spacing w:after="0"/>
              <w:rPr>
                <w:sz w:val="19"/>
                <w:szCs w:val="19"/>
                <w:color w:val="auto"/>
              </w:rPr>
            </w:pP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Preferred stock, $1.00 par value; 0.1 shares authorized, none issued</w:t>
            </w:r>
          </w:p>
        </w:tc>
        <w:tc>
          <w:tcPr>
            <w:tcW w:w="280" w:type="dxa"/>
            <w:vAlign w:val="bottom"/>
            <w:shd w:val="clear" w:color="auto" w:fill="CCEEFF"/>
          </w:tcPr>
          <w:p>
            <w:pPr>
              <w:spacing w:after="0"/>
              <w:rPr>
                <w:sz w:val="19"/>
                <w:szCs w:val="19"/>
                <w:color w:val="auto"/>
              </w:rPr>
            </w:pPr>
          </w:p>
        </w:tc>
        <w:tc>
          <w:tcPr>
            <w:tcW w:w="20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186"/>
        </w:trPr>
        <w:tc>
          <w:tcPr>
            <w:tcW w:w="6720" w:type="dxa"/>
            <w:vAlign w:val="bottom"/>
          </w:tcPr>
          <w:p>
            <w:pPr>
              <w:ind w:left="140"/>
              <w:spacing w:after="0" w:line="186" w:lineRule="exact"/>
              <w:rPr>
                <w:sz w:val="20"/>
                <w:szCs w:val="20"/>
                <w:color w:val="auto"/>
              </w:rPr>
            </w:pPr>
            <w:r>
              <w:rPr>
                <w:rFonts w:ascii="Arial" w:cs="Arial" w:eastAsia="Arial" w:hAnsi="Arial"/>
                <w:sz w:val="18"/>
                <w:szCs w:val="18"/>
                <w:color w:val="auto"/>
              </w:rPr>
              <w:t>Common stock, $0.01 par value; 100.0 shares authorized, 63.0 and 61.7 issued</w:t>
            </w:r>
          </w:p>
        </w:tc>
        <w:tc>
          <w:tcPr>
            <w:tcW w:w="2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0" w:type="dxa"/>
            <w:vAlign w:val="bottom"/>
          </w:tcPr>
          <w:p>
            <w:pPr>
              <w:spacing w:after="0"/>
              <w:rPr>
                <w:sz w:val="16"/>
                <w:szCs w:val="16"/>
                <w:color w:val="auto"/>
              </w:rPr>
            </w:pPr>
          </w:p>
        </w:tc>
      </w:tr>
      <w:tr>
        <w:trPr>
          <w:trHeight w:val="214"/>
        </w:trPr>
        <w:tc>
          <w:tcPr>
            <w:tcW w:w="6720" w:type="dxa"/>
            <w:vAlign w:val="bottom"/>
          </w:tcPr>
          <w:p>
            <w:pPr>
              <w:ind w:left="140"/>
              <w:spacing w:after="0"/>
              <w:rPr>
                <w:sz w:val="20"/>
                <w:szCs w:val="20"/>
                <w:color w:val="auto"/>
              </w:rPr>
            </w:pPr>
            <w:r>
              <w:rPr>
                <w:rFonts w:ascii="Arial" w:cs="Arial" w:eastAsia="Arial" w:hAnsi="Arial"/>
                <w:sz w:val="18"/>
                <w:szCs w:val="18"/>
                <w:color w:val="auto"/>
              </w:rPr>
              <w:t>and outstanding as of March 31, 2022 and December 31, 2021, respectively</w:t>
            </w:r>
          </w:p>
        </w:tc>
        <w:tc>
          <w:tcPr>
            <w:tcW w:w="280" w:type="dxa"/>
            <w:vAlign w:val="bottom"/>
          </w:tcPr>
          <w:p>
            <w:pPr>
              <w:spacing w:after="0"/>
              <w:rPr>
                <w:sz w:val="18"/>
                <w:szCs w:val="18"/>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0.6</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0.6</w:t>
            </w: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Capital in excess of par value</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206.7</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168.1</w:t>
            </w:r>
          </w:p>
        </w:tc>
      </w:tr>
      <w:tr>
        <w:trPr>
          <w:trHeight w:val="226"/>
        </w:trPr>
        <w:tc>
          <w:tcPr>
            <w:tcW w:w="6720" w:type="dxa"/>
            <w:vAlign w:val="bottom"/>
          </w:tcPr>
          <w:p>
            <w:pPr>
              <w:ind w:left="140"/>
              <w:spacing w:after="0"/>
              <w:rPr>
                <w:sz w:val="20"/>
                <w:szCs w:val="20"/>
                <w:color w:val="auto"/>
              </w:rPr>
            </w:pPr>
            <w:r>
              <w:rPr>
                <w:rFonts w:ascii="Arial" w:cs="Arial" w:eastAsia="Arial" w:hAnsi="Arial"/>
                <w:sz w:val="18"/>
                <w:szCs w:val="18"/>
                <w:color w:val="auto"/>
              </w:rPr>
              <w:t>Retained earnings</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1,899.4</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1,880.6</w:t>
            </w:r>
          </w:p>
        </w:tc>
      </w:tr>
      <w:tr>
        <w:trPr>
          <w:trHeight w:val="227"/>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Accumulated other comprehensive income (loss)</w:t>
            </w:r>
          </w:p>
        </w:tc>
        <w:tc>
          <w:tcPr>
            <w:tcW w:w="280" w:type="dxa"/>
            <w:vAlign w:val="bottom"/>
            <w:tcBorders>
              <w:bottom w:val="single" w:sz="8" w:color="auto"/>
            </w:tcBorders>
            <w:shd w:val="clear" w:color="auto" w:fill="CCEEFF"/>
          </w:tcPr>
          <w:p>
            <w:pPr>
              <w:spacing w:after="0"/>
              <w:rPr>
                <w:sz w:val="19"/>
                <w:szCs w:val="19"/>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(165.4)</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(136.7)</w:t>
            </w:r>
          </w:p>
        </w:tc>
      </w:tr>
      <w:tr>
        <w:trPr>
          <w:trHeight w:val="220"/>
        </w:trPr>
        <w:tc>
          <w:tcPr>
            <w:tcW w:w="6720" w:type="dxa"/>
            <w:vAlign w:val="bottom"/>
          </w:tcPr>
          <w:p>
            <w:pPr>
              <w:ind w:left="220"/>
              <w:spacing w:after="0"/>
              <w:rPr>
                <w:sz w:val="20"/>
                <w:szCs w:val="20"/>
                <w:color w:val="auto"/>
              </w:rPr>
            </w:pPr>
            <w:r>
              <w:rPr>
                <w:rFonts w:ascii="Arial" w:cs="Arial" w:eastAsia="Arial" w:hAnsi="Arial"/>
                <w:sz w:val="18"/>
                <w:szCs w:val="18"/>
                <w:color w:val="auto"/>
              </w:rPr>
              <w:t>Total World Fuel shareholders' equity</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1,941.4</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1,912.7</w:t>
            </w:r>
          </w:p>
        </w:tc>
      </w:tr>
      <w:tr>
        <w:trPr>
          <w:trHeight w:val="227"/>
        </w:trPr>
        <w:tc>
          <w:tcPr>
            <w:tcW w:w="6720" w:type="dxa"/>
            <w:vAlign w:val="bottom"/>
            <w:shd w:val="clear" w:color="auto" w:fill="CCEEFF"/>
          </w:tcPr>
          <w:p>
            <w:pPr>
              <w:ind w:left="40"/>
              <w:spacing w:after="0"/>
              <w:rPr>
                <w:sz w:val="20"/>
                <w:szCs w:val="20"/>
                <w:color w:val="auto"/>
              </w:rPr>
            </w:pPr>
            <w:r>
              <w:rPr>
                <w:rFonts w:ascii="Arial" w:cs="Arial" w:eastAsia="Arial" w:hAnsi="Arial"/>
                <w:sz w:val="18"/>
                <w:szCs w:val="18"/>
                <w:color w:val="auto"/>
              </w:rPr>
              <w:t>Noncontrolling interest</w:t>
            </w:r>
          </w:p>
        </w:tc>
        <w:tc>
          <w:tcPr>
            <w:tcW w:w="280" w:type="dxa"/>
            <w:vAlign w:val="bottom"/>
            <w:tcBorders>
              <w:bottom w:val="single" w:sz="8" w:color="auto"/>
            </w:tcBorders>
            <w:shd w:val="clear" w:color="auto" w:fill="CCEEFF"/>
          </w:tcPr>
          <w:p>
            <w:pPr>
              <w:spacing w:after="0"/>
              <w:rPr>
                <w:sz w:val="19"/>
                <w:szCs w:val="19"/>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w:t>
            </w:r>
          </w:p>
        </w:tc>
      </w:tr>
      <w:tr>
        <w:trPr>
          <w:trHeight w:val="220"/>
        </w:trPr>
        <w:tc>
          <w:tcPr>
            <w:tcW w:w="6720" w:type="dxa"/>
            <w:vAlign w:val="bottom"/>
            <w:tcBorders>
              <w:bottom w:val="single" w:sz="8" w:color="CCEEFF"/>
            </w:tcBorders>
          </w:tcPr>
          <w:p>
            <w:pPr>
              <w:ind w:left="120"/>
              <w:spacing w:after="0"/>
              <w:rPr>
                <w:sz w:val="20"/>
                <w:szCs w:val="20"/>
                <w:color w:val="auto"/>
              </w:rPr>
            </w:pPr>
            <w:r>
              <w:rPr>
                <w:rFonts w:ascii="Arial" w:cs="Arial" w:eastAsia="Arial" w:hAnsi="Arial"/>
                <w:sz w:val="18"/>
                <w:szCs w:val="18"/>
                <w:color w:val="auto"/>
              </w:rPr>
              <w:t>Total equity</w:t>
            </w:r>
          </w:p>
        </w:tc>
        <w:tc>
          <w:tcPr>
            <w:tcW w:w="28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1,945.5</w:t>
            </w:r>
          </w:p>
        </w:tc>
        <w:tc>
          <w:tcPr>
            <w:tcW w:w="1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1,916.8</w:t>
            </w:r>
          </w:p>
        </w:tc>
      </w:tr>
      <w:tr>
        <w:trPr>
          <w:trHeight w:val="246"/>
        </w:trPr>
        <w:tc>
          <w:tcPr>
            <w:tcW w:w="67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8"/>
                <w:szCs w:val="18"/>
                <w:color w:val="auto"/>
              </w:rPr>
              <w:t>Total liabilities and equity</w:t>
            </w:r>
          </w:p>
        </w:tc>
        <w:tc>
          <w:tcPr>
            <w:tcW w:w="28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7,968.0</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5,942.4</w:t>
            </w:r>
          </w:p>
        </w:tc>
      </w:tr>
      <w:tr>
        <w:trPr>
          <w:trHeight w:val="20"/>
        </w:trPr>
        <w:tc>
          <w:tcPr>
            <w:tcW w:w="67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2000" w:type="dxa"/>
            <w:vAlign w:val="bottom"/>
            <w:tcBorders>
              <w:top w:val="single" w:sz="8" w:color="CCEEFF"/>
              <w:bottom w:val="single" w:sz="8" w:color="auto"/>
            </w:tcBorders>
          </w:tcPr>
          <w:p>
            <w:pPr>
              <w:spacing w:after="0" w:line="20" w:lineRule="exact"/>
              <w:rPr>
                <w:sz w:val="1"/>
                <w:szCs w:val="1"/>
                <w:color w:val="auto"/>
              </w:rPr>
            </w:pPr>
          </w:p>
        </w:tc>
      </w:tr>
    </w:tbl>
    <w:p>
      <w:pPr>
        <w:spacing w:after="0" w:line="28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3" w:name="page4"/>
    <w:bookmarkEnd w:id="3"/>
    <w:p>
      <w:pPr>
        <w:spacing w:after="0"/>
        <w:rPr>
          <w:sz w:val="20"/>
          <w:szCs w:val="20"/>
          <w:color w:val="auto"/>
        </w:rPr>
      </w:pPr>
      <w:r>
        <w:rPr>
          <w:rFonts w:ascii="Arial" w:cs="Arial" w:eastAsia="Arial" w:hAnsi="Arial"/>
          <w:sz w:val="21"/>
          <w:szCs w:val="21"/>
          <w:b w:val="1"/>
          <w:bCs w:val="1"/>
          <w:color w:val="auto"/>
        </w:rPr>
        <w:t>WORLD FUEL SERVICES CORPORATION</w:t>
      </w:r>
    </w:p>
    <w:p>
      <w:pPr>
        <w:spacing w:after="0" w:line="3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CONDENSED CONSOLIDATED STATEMENTS OF INCOME AND</w:t>
      </w:r>
    </w:p>
    <w:p>
      <w:pPr>
        <w:spacing w:after="0" w:line="1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COMPREHENSIVE INCOME</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(Unaudited – In millions, except per share data)</w:t>
      </w:r>
    </w:p>
    <w:p>
      <w:pPr>
        <w:spacing w:after="0" w:line="25"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758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3500" w:type="dxa"/>
            <w:vAlign w:val="bottom"/>
            <w:tcBorders>
              <w:bottom w:val="single" w:sz="8" w:color="auto"/>
            </w:tcBorders>
            <w:gridSpan w:val="4"/>
          </w:tcPr>
          <w:p>
            <w:pPr>
              <w:jc w:val="right"/>
              <w:ind w:right="91"/>
              <w:spacing w:after="0"/>
              <w:rPr>
                <w:sz w:val="20"/>
                <w:szCs w:val="20"/>
                <w:color w:val="auto"/>
              </w:rPr>
            </w:pPr>
            <w:r>
              <w:rPr>
                <w:rFonts w:ascii="Arial" w:cs="Arial" w:eastAsia="Arial" w:hAnsi="Arial"/>
                <w:sz w:val="18"/>
                <w:szCs w:val="18"/>
                <w:b w:val="1"/>
                <w:bCs w:val="1"/>
                <w:color w:val="auto"/>
                <w:w w:val="99"/>
              </w:rPr>
              <w:t>For the Three Months Ended March 31,</w:t>
            </w:r>
          </w:p>
        </w:tc>
      </w:tr>
      <w:tr>
        <w:trPr>
          <w:trHeight w:val="221"/>
        </w:trPr>
        <w:tc>
          <w:tcPr>
            <w:tcW w:w="75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ind w:right="591"/>
              <w:spacing w:after="0"/>
              <w:rPr>
                <w:sz w:val="20"/>
                <w:szCs w:val="20"/>
                <w:color w:val="auto"/>
              </w:rPr>
            </w:pPr>
            <w:r>
              <w:rPr>
                <w:rFonts w:ascii="Arial" w:cs="Arial" w:eastAsia="Arial" w:hAnsi="Arial"/>
                <w:sz w:val="18"/>
                <w:szCs w:val="18"/>
                <w:b w:val="1"/>
                <w:bCs w:val="1"/>
                <w:color w:val="auto"/>
              </w:rPr>
              <w:t>2022</w:t>
            </w:r>
          </w:p>
        </w:tc>
        <w:tc>
          <w:tcPr>
            <w:tcW w:w="1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591"/>
              <w:spacing w:after="0"/>
              <w:rPr>
                <w:sz w:val="20"/>
                <w:szCs w:val="20"/>
                <w:color w:val="auto"/>
              </w:rPr>
            </w:pPr>
            <w:r>
              <w:rPr>
                <w:rFonts w:ascii="Arial" w:cs="Arial" w:eastAsia="Arial" w:hAnsi="Arial"/>
                <w:sz w:val="18"/>
                <w:szCs w:val="18"/>
                <w:b w:val="1"/>
                <w:bCs w:val="1"/>
                <w:color w:val="auto"/>
              </w:rPr>
              <w:t>2021</w:t>
            </w:r>
          </w:p>
        </w:tc>
      </w:tr>
      <w:tr>
        <w:trPr>
          <w:trHeight w:val="220"/>
        </w:trPr>
        <w:tc>
          <w:tcPr>
            <w:tcW w:w="7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12,382.0</w:t>
            </w:r>
          </w:p>
        </w:tc>
        <w:tc>
          <w:tcPr>
            <w:tcW w:w="14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5,957.9</w:t>
            </w:r>
          </w:p>
        </w:tc>
      </w:tr>
      <w:tr>
        <w:trPr>
          <w:trHeight w:val="226"/>
        </w:trPr>
        <w:tc>
          <w:tcPr>
            <w:tcW w:w="75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revenue</w:t>
            </w: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12,151.1</w:t>
            </w:r>
          </w:p>
        </w:tc>
        <w:tc>
          <w:tcPr>
            <w:tcW w:w="1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5,766.3</w:t>
            </w:r>
          </w:p>
        </w:tc>
      </w:tr>
      <w:tr>
        <w:trPr>
          <w:trHeight w:val="221"/>
        </w:trPr>
        <w:tc>
          <w:tcPr>
            <w:tcW w:w="7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230.9</w:t>
            </w:r>
          </w:p>
        </w:tc>
        <w:tc>
          <w:tcPr>
            <w:tcW w:w="14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191.6</w:t>
            </w:r>
          </w:p>
        </w:tc>
      </w:tr>
      <w:tr>
        <w:trPr>
          <w:trHeight w:val="219"/>
        </w:trPr>
        <w:tc>
          <w:tcPr>
            <w:tcW w:w="758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1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spacing w:after="0"/>
              <w:rPr>
                <w:sz w:val="19"/>
                <w:szCs w:val="19"/>
                <w:color w:val="auto"/>
              </w:rPr>
            </w:pPr>
          </w:p>
        </w:tc>
      </w:tr>
      <w:tr>
        <w:trPr>
          <w:trHeight w:val="228"/>
        </w:trPr>
        <w:tc>
          <w:tcPr>
            <w:tcW w:w="75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Compensation and employee benefits</w:t>
            </w: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114.9</w:t>
            </w:r>
          </w:p>
        </w:tc>
        <w:tc>
          <w:tcPr>
            <w:tcW w:w="1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92.5</w:t>
            </w:r>
          </w:p>
        </w:tc>
      </w:tr>
      <w:tr>
        <w:trPr>
          <w:trHeight w:val="226"/>
        </w:trPr>
        <w:tc>
          <w:tcPr>
            <w:tcW w:w="7580" w:type="dxa"/>
            <w:vAlign w:val="bottom"/>
          </w:tcPr>
          <w:p>
            <w:pPr>
              <w:ind w:left="140"/>
              <w:spacing w:after="0"/>
              <w:rPr>
                <w:sz w:val="20"/>
                <w:szCs w:val="20"/>
                <w:color w:val="auto"/>
              </w:rPr>
            </w:pPr>
            <w:r>
              <w:rPr>
                <w:rFonts w:ascii="Arial" w:cs="Arial" w:eastAsia="Arial" w:hAnsi="Arial"/>
                <w:sz w:val="18"/>
                <w:szCs w:val="18"/>
                <w:color w:val="auto"/>
              </w:rPr>
              <w:t>General and administrative</w:t>
            </w: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74.7</w:t>
            </w: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59.4</w:t>
            </w:r>
          </w:p>
        </w:tc>
      </w:tr>
      <w:tr>
        <w:trPr>
          <w:trHeight w:val="227"/>
        </w:trPr>
        <w:tc>
          <w:tcPr>
            <w:tcW w:w="75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Restructuring charges</w:t>
            </w:r>
          </w:p>
        </w:tc>
        <w:tc>
          <w:tcPr>
            <w:tcW w:w="16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r>
      <w:tr>
        <w:trPr>
          <w:trHeight w:val="220"/>
        </w:trPr>
        <w:tc>
          <w:tcPr>
            <w:tcW w:w="758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Total operating expenses</w:t>
            </w:r>
          </w:p>
        </w:tc>
        <w:tc>
          <w:tcPr>
            <w:tcW w:w="160" w:type="dxa"/>
            <w:vAlign w:val="bottom"/>
            <w:tcBorders>
              <w:top w:val="single" w:sz="8" w:color="auto"/>
              <w:bottom w:val="single" w:sz="8" w:color="auto"/>
            </w:tcBorders>
          </w:tcPr>
          <w:p>
            <w:pPr>
              <w:spacing w:after="0"/>
              <w:rPr>
                <w:sz w:val="19"/>
                <w:szCs w:val="19"/>
                <w:color w:val="auto"/>
              </w:rPr>
            </w:pPr>
          </w:p>
        </w:tc>
        <w:tc>
          <w:tcPr>
            <w:tcW w:w="1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189.6</w:t>
            </w:r>
          </w:p>
        </w:tc>
        <w:tc>
          <w:tcPr>
            <w:tcW w:w="140" w:type="dxa"/>
            <w:vAlign w:val="bottom"/>
            <w:tcBorders>
              <w:bottom w:val="single" w:sz="8" w:color="CCEEFF"/>
            </w:tcBorders>
          </w:tcPr>
          <w:p>
            <w:pPr>
              <w:spacing w:after="0"/>
              <w:rPr>
                <w:sz w:val="19"/>
                <w:szCs w:val="19"/>
                <w:color w:val="auto"/>
              </w:rPr>
            </w:pPr>
          </w:p>
        </w:tc>
        <w:tc>
          <w:tcPr>
            <w:tcW w:w="40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154.0</w:t>
            </w:r>
          </w:p>
        </w:tc>
      </w:tr>
      <w:tr>
        <w:trPr>
          <w:trHeight w:val="221"/>
        </w:trPr>
        <w:tc>
          <w:tcPr>
            <w:tcW w:w="7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from operations</w:t>
            </w: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41.3</w:t>
            </w:r>
          </w:p>
        </w:tc>
        <w:tc>
          <w:tcPr>
            <w:tcW w:w="14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37.6</w:t>
            </w:r>
          </w:p>
        </w:tc>
      </w:tr>
      <w:tr>
        <w:trPr>
          <w:trHeight w:val="219"/>
        </w:trPr>
        <w:tc>
          <w:tcPr>
            <w:tcW w:w="7580" w:type="dxa"/>
            <w:vAlign w:val="bottom"/>
          </w:tcPr>
          <w:p>
            <w:pPr>
              <w:ind w:left="20"/>
              <w:spacing w:after="0"/>
              <w:rPr>
                <w:sz w:val="20"/>
                <w:szCs w:val="20"/>
                <w:color w:val="auto"/>
              </w:rPr>
            </w:pPr>
            <w:r>
              <w:rPr>
                <w:rFonts w:ascii="Arial" w:cs="Arial" w:eastAsia="Arial" w:hAnsi="Arial"/>
                <w:sz w:val="18"/>
                <w:szCs w:val="18"/>
                <w:color w:val="auto"/>
              </w:rPr>
              <w:t>Non-operating income (expenses), net:</w:t>
            </w:r>
          </w:p>
        </w:tc>
        <w:tc>
          <w:tcPr>
            <w:tcW w:w="16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spacing w:after="0"/>
              <w:rPr>
                <w:sz w:val="19"/>
                <w:szCs w:val="19"/>
                <w:color w:val="auto"/>
              </w:rPr>
            </w:pPr>
          </w:p>
        </w:tc>
      </w:tr>
      <w:tr>
        <w:trPr>
          <w:trHeight w:val="228"/>
        </w:trPr>
        <w:tc>
          <w:tcPr>
            <w:tcW w:w="75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Interest expense and other financing costs, net</w:t>
            </w: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w:t>
            </w:r>
          </w:p>
        </w:tc>
        <w:tc>
          <w:tcPr>
            <w:tcW w:w="1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r>
      <w:tr>
        <w:trPr>
          <w:trHeight w:val="226"/>
        </w:trPr>
        <w:tc>
          <w:tcPr>
            <w:tcW w:w="758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Other income (expense), net</w:t>
            </w: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w:t>
            </w:r>
          </w:p>
        </w:tc>
        <w:tc>
          <w:tcPr>
            <w:tcW w:w="1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w:t>
            </w:r>
          </w:p>
        </w:tc>
      </w:tr>
      <w:tr>
        <w:trPr>
          <w:trHeight w:val="220"/>
        </w:trPr>
        <w:tc>
          <w:tcPr>
            <w:tcW w:w="75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Total non-operating income (expense), net</w:t>
            </w: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14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r>
      <w:tr>
        <w:trPr>
          <w:trHeight w:val="220"/>
        </w:trPr>
        <w:tc>
          <w:tcPr>
            <w:tcW w:w="7580" w:type="dxa"/>
            <w:vAlign w:val="bottom"/>
          </w:tcPr>
          <w:p>
            <w:pPr>
              <w:ind w:left="20"/>
              <w:spacing w:after="0"/>
              <w:rPr>
                <w:sz w:val="20"/>
                <w:szCs w:val="20"/>
                <w:color w:val="auto"/>
              </w:rPr>
            </w:pPr>
            <w:r>
              <w:rPr>
                <w:rFonts w:ascii="Arial" w:cs="Arial" w:eastAsia="Arial" w:hAnsi="Arial"/>
                <w:sz w:val="18"/>
                <w:szCs w:val="18"/>
                <w:color w:val="auto"/>
              </w:rPr>
              <w:t>Income (loss) before income taxes</w:t>
            </w: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32.6</w:t>
            </w: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27.6</w:t>
            </w:r>
          </w:p>
        </w:tc>
      </w:tr>
      <w:tr>
        <w:trPr>
          <w:trHeight w:val="227"/>
        </w:trPr>
        <w:tc>
          <w:tcPr>
            <w:tcW w:w="7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Provision for income taxes</w:t>
            </w: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14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w:t>
            </w:r>
          </w:p>
        </w:tc>
      </w:tr>
      <w:tr>
        <w:trPr>
          <w:trHeight w:val="220"/>
        </w:trPr>
        <w:tc>
          <w:tcPr>
            <w:tcW w:w="7580" w:type="dxa"/>
            <w:vAlign w:val="bottom"/>
          </w:tcPr>
          <w:p>
            <w:pPr>
              <w:ind w:left="20"/>
              <w:spacing w:after="0"/>
              <w:rPr>
                <w:sz w:val="20"/>
                <w:szCs w:val="20"/>
                <w:color w:val="auto"/>
              </w:rPr>
            </w:pPr>
            <w:r>
              <w:rPr>
                <w:rFonts w:ascii="Arial" w:cs="Arial" w:eastAsia="Arial" w:hAnsi="Arial"/>
                <w:sz w:val="18"/>
                <w:szCs w:val="18"/>
                <w:color w:val="auto"/>
              </w:rPr>
              <w:t>Net income (loss) including noncontrolling interest</w:t>
            </w: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18.8</w:t>
            </w:r>
          </w:p>
        </w:tc>
      </w:tr>
      <w:tr>
        <w:trPr>
          <w:trHeight w:val="227"/>
        </w:trPr>
        <w:tc>
          <w:tcPr>
            <w:tcW w:w="7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 (loss) attributable to noncontrolling interest</w:t>
            </w: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4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1"/>
        </w:trPr>
        <w:tc>
          <w:tcPr>
            <w:tcW w:w="7580" w:type="dxa"/>
            <w:vAlign w:val="bottom"/>
          </w:tcPr>
          <w:p>
            <w:pPr>
              <w:ind w:left="20"/>
              <w:spacing w:after="0"/>
              <w:rPr>
                <w:sz w:val="20"/>
                <w:szCs w:val="20"/>
                <w:color w:val="auto"/>
              </w:rPr>
            </w:pPr>
            <w:r>
              <w:rPr>
                <w:rFonts w:ascii="Arial" w:cs="Arial" w:eastAsia="Arial" w:hAnsi="Arial"/>
                <w:sz w:val="18"/>
                <w:szCs w:val="18"/>
                <w:color w:val="auto"/>
              </w:rPr>
              <w:t>Net income (loss) attributable to World Fuel</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Pr>
          <w:p>
            <w:pPr>
              <w:spacing w:after="0"/>
              <w:rPr>
                <w:sz w:val="19"/>
                <w:szCs w:val="19"/>
                <w:color w:val="auto"/>
              </w:rPr>
            </w:pPr>
          </w:p>
        </w:tc>
        <w:tc>
          <w:tcPr>
            <w:tcW w:w="400" w:type="dxa"/>
            <w:vAlign w:val="bottom"/>
            <w:tcBorders>
              <w:bottom w:val="single" w:sz="8" w:color="auto"/>
            </w:tcBorders>
          </w:tcPr>
          <w:p>
            <w:pPr>
              <w:jc w:val="right"/>
              <w:ind w:right="191"/>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18.9</w:t>
            </w:r>
          </w:p>
        </w:tc>
      </w:tr>
      <w:tr>
        <w:trPr>
          <w:trHeight w:val="20"/>
        </w:trPr>
        <w:tc>
          <w:tcPr>
            <w:tcW w:w="75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r>
        <w:trPr>
          <w:trHeight w:val="245"/>
        </w:trPr>
        <w:tc>
          <w:tcPr>
            <w:tcW w:w="7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Basic earnings (loss) per common share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14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0.30</w:t>
            </w:r>
          </w:p>
        </w:tc>
      </w:tr>
      <w:tr>
        <w:trPr>
          <w:trHeight w:val="20"/>
        </w:trPr>
        <w:tc>
          <w:tcPr>
            <w:tcW w:w="75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r>
      <w:tr>
        <w:trPr>
          <w:trHeight w:val="200"/>
        </w:trPr>
        <w:tc>
          <w:tcPr>
            <w:tcW w:w="7580" w:type="dxa"/>
            <w:vAlign w:val="bottom"/>
          </w:tcPr>
          <w:p>
            <w:pPr>
              <w:ind w:left="20"/>
              <w:spacing w:after="0" w:line="201" w:lineRule="exact"/>
              <w:rPr>
                <w:sz w:val="20"/>
                <w:szCs w:val="20"/>
                <w:color w:val="auto"/>
              </w:rPr>
            </w:pPr>
            <w:r>
              <w:rPr>
                <w:rFonts w:ascii="Arial" w:cs="Arial" w:eastAsia="Arial" w:hAnsi="Arial"/>
                <w:sz w:val="18"/>
                <w:szCs w:val="18"/>
                <w:color w:val="auto"/>
              </w:rPr>
              <w:t>Basic weighted average common shares</w:t>
            </w:r>
          </w:p>
        </w:tc>
        <w:tc>
          <w:tcPr>
            <w:tcW w:w="160" w:type="dxa"/>
            <w:vAlign w:val="bottom"/>
            <w:tcBorders>
              <w:bottom w:val="single" w:sz="8" w:color="auto"/>
            </w:tcBorders>
          </w:tcPr>
          <w:p>
            <w:pPr>
              <w:spacing w:after="0"/>
              <w:rPr>
                <w:sz w:val="17"/>
                <w:szCs w:val="17"/>
                <w:color w:val="auto"/>
              </w:rPr>
            </w:pPr>
          </w:p>
        </w:tc>
        <w:tc>
          <w:tcPr>
            <w:tcW w:w="1600" w:type="dxa"/>
            <w:vAlign w:val="bottom"/>
            <w:tcBorders>
              <w:bottom w:val="single" w:sz="8" w:color="auto"/>
            </w:tcBorders>
          </w:tcPr>
          <w:p>
            <w:pPr>
              <w:jc w:val="right"/>
              <w:spacing w:after="0" w:line="201" w:lineRule="exact"/>
              <w:rPr>
                <w:sz w:val="20"/>
                <w:szCs w:val="20"/>
                <w:color w:val="auto"/>
              </w:rPr>
            </w:pPr>
            <w:r>
              <w:rPr>
                <w:rFonts w:ascii="Arial" w:cs="Arial" w:eastAsia="Arial" w:hAnsi="Arial"/>
                <w:sz w:val="18"/>
                <w:szCs w:val="18"/>
                <w:color w:val="auto"/>
              </w:rPr>
              <w:t>63.4</w:t>
            </w:r>
          </w:p>
        </w:tc>
        <w:tc>
          <w:tcPr>
            <w:tcW w:w="14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line="201" w:lineRule="exact"/>
              <w:rPr>
                <w:sz w:val="20"/>
                <w:szCs w:val="20"/>
                <w:color w:val="auto"/>
              </w:rPr>
            </w:pPr>
            <w:r>
              <w:rPr>
                <w:rFonts w:ascii="Arial" w:cs="Arial" w:eastAsia="Arial" w:hAnsi="Arial"/>
                <w:sz w:val="18"/>
                <w:szCs w:val="18"/>
                <w:color w:val="auto"/>
              </w:rPr>
              <w:t>63.0</w:t>
            </w:r>
          </w:p>
        </w:tc>
      </w:tr>
      <w:tr>
        <w:trPr>
          <w:trHeight w:val="20"/>
        </w:trPr>
        <w:tc>
          <w:tcPr>
            <w:tcW w:w="75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r>
        <w:trPr>
          <w:trHeight w:val="245"/>
        </w:trPr>
        <w:tc>
          <w:tcPr>
            <w:tcW w:w="7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Diluted earnings (loss) per common share</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0.41</w:t>
            </w:r>
          </w:p>
        </w:tc>
        <w:tc>
          <w:tcPr>
            <w:tcW w:w="14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0.30</w:t>
            </w:r>
          </w:p>
        </w:tc>
      </w:tr>
      <w:tr>
        <w:trPr>
          <w:trHeight w:val="20"/>
        </w:trPr>
        <w:tc>
          <w:tcPr>
            <w:tcW w:w="75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r>
      <w:tr>
        <w:trPr>
          <w:trHeight w:val="200"/>
        </w:trPr>
        <w:tc>
          <w:tcPr>
            <w:tcW w:w="7580" w:type="dxa"/>
            <w:vAlign w:val="bottom"/>
          </w:tcPr>
          <w:p>
            <w:pPr>
              <w:ind w:left="20"/>
              <w:spacing w:after="0" w:line="201" w:lineRule="exact"/>
              <w:rPr>
                <w:sz w:val="20"/>
                <w:szCs w:val="20"/>
                <w:color w:val="auto"/>
              </w:rPr>
            </w:pPr>
            <w:r>
              <w:rPr>
                <w:rFonts w:ascii="Arial" w:cs="Arial" w:eastAsia="Arial" w:hAnsi="Arial"/>
                <w:sz w:val="18"/>
                <w:szCs w:val="18"/>
                <w:color w:val="auto"/>
              </w:rPr>
              <w:t>Diluted weighted average common shares</w:t>
            </w:r>
          </w:p>
        </w:tc>
        <w:tc>
          <w:tcPr>
            <w:tcW w:w="160" w:type="dxa"/>
            <w:vAlign w:val="bottom"/>
            <w:tcBorders>
              <w:bottom w:val="single" w:sz="8" w:color="auto"/>
            </w:tcBorders>
          </w:tcPr>
          <w:p>
            <w:pPr>
              <w:spacing w:after="0"/>
              <w:rPr>
                <w:sz w:val="17"/>
                <w:szCs w:val="17"/>
                <w:color w:val="auto"/>
              </w:rPr>
            </w:pPr>
          </w:p>
        </w:tc>
        <w:tc>
          <w:tcPr>
            <w:tcW w:w="1600" w:type="dxa"/>
            <w:vAlign w:val="bottom"/>
            <w:tcBorders>
              <w:bottom w:val="single" w:sz="8" w:color="auto"/>
            </w:tcBorders>
          </w:tcPr>
          <w:p>
            <w:pPr>
              <w:jc w:val="right"/>
              <w:spacing w:after="0" w:line="201" w:lineRule="exact"/>
              <w:rPr>
                <w:sz w:val="20"/>
                <w:szCs w:val="20"/>
                <w:color w:val="auto"/>
              </w:rPr>
            </w:pPr>
            <w:r>
              <w:rPr>
                <w:rFonts w:ascii="Arial" w:cs="Arial" w:eastAsia="Arial" w:hAnsi="Arial"/>
                <w:sz w:val="18"/>
                <w:szCs w:val="18"/>
                <w:color w:val="auto"/>
              </w:rPr>
              <w:t>63.7</w:t>
            </w:r>
          </w:p>
        </w:tc>
        <w:tc>
          <w:tcPr>
            <w:tcW w:w="140" w:type="dxa"/>
            <w:vAlign w:val="bottom"/>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1360" w:type="dxa"/>
            <w:vAlign w:val="bottom"/>
            <w:tcBorders>
              <w:bottom w:val="single" w:sz="8" w:color="auto"/>
            </w:tcBorders>
          </w:tcPr>
          <w:p>
            <w:pPr>
              <w:jc w:val="right"/>
              <w:spacing w:after="0" w:line="201" w:lineRule="exact"/>
              <w:rPr>
                <w:sz w:val="20"/>
                <w:szCs w:val="20"/>
                <w:color w:val="auto"/>
              </w:rPr>
            </w:pPr>
            <w:r>
              <w:rPr>
                <w:rFonts w:ascii="Arial" w:cs="Arial" w:eastAsia="Arial" w:hAnsi="Arial"/>
                <w:sz w:val="18"/>
                <w:szCs w:val="18"/>
                <w:color w:val="auto"/>
              </w:rPr>
              <w:t>63.6</w:t>
            </w:r>
          </w:p>
        </w:tc>
      </w:tr>
      <w:tr>
        <w:trPr>
          <w:trHeight w:val="20"/>
        </w:trPr>
        <w:tc>
          <w:tcPr>
            <w:tcW w:w="758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r>
        <w:trPr>
          <w:trHeight w:val="220"/>
        </w:trPr>
        <w:tc>
          <w:tcPr>
            <w:tcW w:w="7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Comprehensive income:</w:t>
            </w: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r>
      <w:tr>
        <w:trPr>
          <w:trHeight w:val="226"/>
        </w:trPr>
        <w:tc>
          <w:tcPr>
            <w:tcW w:w="75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Net income (loss) including noncontrolling interest</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jc w:val="right"/>
              <w:ind w:right="191"/>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18.8</w:t>
            </w:r>
          </w:p>
        </w:tc>
      </w:tr>
      <w:tr>
        <w:trPr>
          <w:trHeight w:val="221"/>
        </w:trPr>
        <w:tc>
          <w:tcPr>
            <w:tcW w:w="7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comprehensive income (loss):</w:t>
            </w: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r>
      <w:tr>
        <w:trPr>
          <w:trHeight w:val="226"/>
        </w:trPr>
        <w:tc>
          <w:tcPr>
            <w:tcW w:w="7580" w:type="dxa"/>
            <w:vAlign w:val="bottom"/>
          </w:tcPr>
          <w:p>
            <w:pPr>
              <w:ind w:left="140"/>
              <w:spacing w:after="0"/>
              <w:rPr>
                <w:sz w:val="20"/>
                <w:szCs w:val="20"/>
                <w:color w:val="auto"/>
              </w:rPr>
            </w:pPr>
            <w:r>
              <w:rPr>
                <w:rFonts w:ascii="Arial" w:cs="Arial" w:eastAsia="Arial" w:hAnsi="Arial"/>
                <w:sz w:val="18"/>
                <w:szCs w:val="18"/>
                <w:color w:val="auto"/>
              </w:rPr>
              <w:t>Foreign currency translation adjustments</w:t>
            </w:r>
          </w:p>
        </w:tc>
        <w:tc>
          <w:tcPr>
            <w:tcW w:w="16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(9.4)</w:t>
            </w:r>
          </w:p>
        </w:tc>
        <w:tc>
          <w:tcPr>
            <w:tcW w:w="1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187"/>
        </w:trPr>
        <w:tc>
          <w:tcPr>
            <w:tcW w:w="7580" w:type="dxa"/>
            <w:vAlign w:val="bottom"/>
            <w:shd w:val="clear" w:color="auto" w:fill="CCEEFF"/>
          </w:tcPr>
          <w:p>
            <w:pPr>
              <w:ind w:left="140"/>
              <w:spacing w:after="0" w:line="187" w:lineRule="exact"/>
              <w:rPr>
                <w:sz w:val="20"/>
                <w:szCs w:val="20"/>
                <w:color w:val="auto"/>
              </w:rPr>
            </w:pPr>
            <w:r>
              <w:rPr>
                <w:rFonts w:ascii="Arial" w:cs="Arial" w:eastAsia="Arial" w:hAnsi="Arial"/>
                <w:sz w:val="18"/>
                <w:szCs w:val="18"/>
                <w:color w:val="auto"/>
              </w:rPr>
              <w:t>Cash flow hedges, net of income tax expense (benefit) of ($7.0) and $5.6 for the three</w:t>
            </w:r>
          </w:p>
        </w:tc>
        <w:tc>
          <w:tcPr>
            <w:tcW w:w="160" w:type="dxa"/>
            <w:vAlign w:val="bottom"/>
            <w:shd w:val="clear" w:color="auto" w:fill="CCEEFF"/>
          </w:tcPr>
          <w:p>
            <w:pPr>
              <w:spacing w:after="0"/>
              <w:rPr>
                <w:sz w:val="16"/>
                <w:szCs w:val="16"/>
                <w:color w:val="auto"/>
              </w:rPr>
            </w:pPr>
          </w:p>
        </w:tc>
        <w:tc>
          <w:tcPr>
            <w:tcW w:w="16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360" w:type="dxa"/>
            <w:vAlign w:val="bottom"/>
            <w:shd w:val="clear" w:color="auto" w:fill="CCEEFF"/>
          </w:tcPr>
          <w:p>
            <w:pPr>
              <w:spacing w:after="0"/>
              <w:rPr>
                <w:sz w:val="16"/>
                <w:szCs w:val="16"/>
                <w:color w:val="auto"/>
              </w:rPr>
            </w:pPr>
          </w:p>
        </w:tc>
      </w:tr>
      <w:tr>
        <w:trPr>
          <w:trHeight w:val="214"/>
        </w:trPr>
        <w:tc>
          <w:tcPr>
            <w:tcW w:w="7580" w:type="dxa"/>
            <w:vAlign w:val="bottom"/>
            <w:shd w:val="clear" w:color="auto" w:fill="CCEEFF"/>
          </w:tcPr>
          <w:p>
            <w:pPr>
              <w:ind w:left="140"/>
              <w:spacing w:after="0"/>
              <w:rPr>
                <w:sz w:val="20"/>
                <w:szCs w:val="20"/>
                <w:color w:val="auto"/>
              </w:rPr>
            </w:pPr>
            <w:r>
              <w:rPr>
                <w:rFonts w:ascii="Arial" w:cs="Arial" w:eastAsia="Arial" w:hAnsi="Arial"/>
                <w:sz w:val="18"/>
                <w:szCs w:val="18"/>
                <w:color w:val="auto"/>
              </w:rPr>
              <w:t>months ended March 31, 2022 and 2021, respectively</w:t>
            </w:r>
          </w:p>
        </w:tc>
        <w:tc>
          <w:tcPr>
            <w:tcW w:w="160" w:type="dxa"/>
            <w:vAlign w:val="bottom"/>
            <w:tcBorders>
              <w:bottom w:val="single" w:sz="8" w:color="auto"/>
            </w:tcBorders>
            <w:shd w:val="clear" w:color="auto" w:fill="CCEEFF"/>
          </w:tcPr>
          <w:p>
            <w:pPr>
              <w:spacing w:after="0"/>
              <w:rPr>
                <w:sz w:val="18"/>
                <w:szCs w:val="18"/>
                <w:color w:val="auto"/>
              </w:rPr>
            </w:pP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(19.3)</w:t>
            </w:r>
          </w:p>
        </w:tc>
        <w:tc>
          <w:tcPr>
            <w:tcW w:w="14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w:t>
            </w:r>
          </w:p>
        </w:tc>
      </w:tr>
      <w:tr>
        <w:trPr>
          <w:trHeight w:val="220"/>
        </w:trPr>
        <w:tc>
          <w:tcPr>
            <w:tcW w:w="758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Total other comprehensive income (loss)</w:t>
            </w: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(28.7)</w:t>
            </w:r>
          </w:p>
        </w:tc>
        <w:tc>
          <w:tcPr>
            <w:tcW w:w="1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w:t>
            </w:r>
          </w:p>
        </w:tc>
      </w:tr>
      <w:tr>
        <w:trPr>
          <w:trHeight w:val="221"/>
        </w:trPr>
        <w:tc>
          <w:tcPr>
            <w:tcW w:w="75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Comprehensive income (loss) including noncontrolling interest</w:t>
            </w: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31.2</w:t>
            </w:r>
          </w:p>
        </w:tc>
      </w:tr>
      <w:tr>
        <w:trPr>
          <w:trHeight w:val="226"/>
        </w:trPr>
        <w:tc>
          <w:tcPr>
            <w:tcW w:w="75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Comprehensive income (loss) attributable to noncontrolling interest</w:t>
            </w: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(0.1)</w:t>
            </w:r>
          </w:p>
        </w:tc>
        <w:tc>
          <w:tcPr>
            <w:tcW w:w="1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r>
      <w:tr>
        <w:trPr>
          <w:trHeight w:val="246"/>
        </w:trPr>
        <w:tc>
          <w:tcPr>
            <w:tcW w:w="7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Comprehensive income (loss) attributable to World Fuel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4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31.2</w:t>
            </w:r>
          </w:p>
        </w:tc>
      </w:tr>
      <w:tr>
        <w:trPr>
          <w:trHeight w:val="20"/>
        </w:trPr>
        <w:tc>
          <w:tcPr>
            <w:tcW w:w="75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r>
    </w:tbl>
    <w:p>
      <w:pPr>
        <w:spacing w:after="0" w:line="378"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4" w:right="339" w:bottom="1440" w:gutter="0" w:footer="0" w:header="0"/>
        </w:sectPr>
      </w:pPr>
    </w:p>
    <w:bookmarkStart w:id="4" w:name="page5"/>
    <w:bookmarkEnd w:id="4"/>
    <w:p>
      <w:pPr>
        <w:spacing w:after="0"/>
        <w:rPr>
          <w:sz w:val="20"/>
          <w:szCs w:val="20"/>
          <w:color w:val="auto"/>
        </w:rPr>
      </w:pPr>
      <w:r>
        <w:rPr>
          <w:rFonts w:ascii="Arial" w:cs="Arial" w:eastAsia="Arial" w:hAnsi="Arial"/>
          <w:sz w:val="21"/>
          <w:szCs w:val="21"/>
          <w:b w:val="1"/>
          <w:bCs w:val="1"/>
          <w:color w:val="auto"/>
        </w:rPr>
        <w:t>WORLD FUEL SERVICES CORPORATION</w:t>
      </w:r>
    </w:p>
    <w:p>
      <w:pPr>
        <w:spacing w:after="0" w:line="38" w:lineRule="exact"/>
        <w:rPr>
          <w:sz w:val="20"/>
          <w:szCs w:val="20"/>
          <w:color w:val="auto"/>
        </w:rPr>
      </w:pPr>
    </w:p>
    <w:p>
      <w:pPr>
        <w:ind w:right="3540"/>
        <w:spacing w:after="0" w:line="227" w:lineRule="auto"/>
        <w:rPr>
          <w:sz w:val="20"/>
          <w:szCs w:val="20"/>
          <w:color w:val="auto"/>
        </w:rPr>
      </w:pPr>
      <w:r>
        <w:rPr>
          <w:rFonts w:ascii="Arial" w:cs="Arial" w:eastAsia="Arial" w:hAnsi="Arial"/>
          <w:sz w:val="21"/>
          <w:szCs w:val="21"/>
          <w:b w:val="1"/>
          <w:bCs w:val="1"/>
          <w:color w:val="auto"/>
        </w:rPr>
        <w:t xml:space="preserve">CONDENSED CONSOLIDATED STATEMENTS OF SHAREHOLDERS' EQUITY </w:t>
      </w:r>
      <w:r>
        <w:rPr>
          <w:rFonts w:ascii="Arial" w:cs="Arial" w:eastAsia="Arial" w:hAnsi="Arial"/>
          <w:sz w:val="17"/>
          <w:szCs w:val="17"/>
          <w:color w:val="auto"/>
        </w:rPr>
        <w:t>(Unaudited - In millions)</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00" w:type="dxa"/>
            <w:vAlign w:val="bottom"/>
            <w:gridSpan w:val="8"/>
            <w:vMerge w:val="restart"/>
          </w:tcPr>
          <w:p>
            <w:pPr>
              <w:ind w:left="240"/>
              <w:spacing w:after="0"/>
              <w:rPr>
                <w:sz w:val="20"/>
                <w:szCs w:val="20"/>
                <w:color w:val="auto"/>
              </w:rPr>
            </w:pPr>
            <w:r>
              <w:rPr>
                <w:rFonts w:ascii="Arial" w:cs="Arial" w:eastAsia="Arial" w:hAnsi="Arial"/>
                <w:sz w:val="14"/>
                <w:szCs w:val="14"/>
                <w:b w:val="1"/>
                <w:bCs w:val="1"/>
                <w:color w:val="auto"/>
              </w:rPr>
              <w:t>Common Stock</w:t>
            </w:r>
          </w:p>
        </w:tc>
        <w:tc>
          <w:tcPr>
            <w:tcW w:w="40" w:type="dxa"/>
            <w:vAlign w:val="bottom"/>
          </w:tcPr>
          <w:p>
            <w:pPr>
              <w:spacing w:after="0"/>
              <w:rPr>
                <w:sz w:val="14"/>
                <w:szCs w:val="14"/>
                <w:color w:val="auto"/>
              </w:rPr>
            </w:pPr>
          </w:p>
        </w:tc>
        <w:tc>
          <w:tcPr>
            <w:tcW w:w="1000" w:type="dxa"/>
            <w:vAlign w:val="bottom"/>
            <w:gridSpan w:val="4"/>
            <w:vMerge w:val="restart"/>
          </w:tcPr>
          <w:p>
            <w:pPr>
              <w:ind w:left="100"/>
              <w:spacing w:after="0"/>
              <w:rPr>
                <w:sz w:val="20"/>
                <w:szCs w:val="20"/>
                <w:color w:val="auto"/>
              </w:rPr>
            </w:pPr>
            <w:r>
              <w:rPr>
                <w:rFonts w:ascii="Arial" w:cs="Arial" w:eastAsia="Arial" w:hAnsi="Arial"/>
                <w:sz w:val="14"/>
                <w:szCs w:val="14"/>
                <w:b w:val="1"/>
                <w:bCs w:val="1"/>
                <w:color w:val="auto"/>
              </w:rPr>
              <w:t>Capital in</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rPr>
              <w:t>Accumulated</w:t>
            </w:r>
          </w:p>
        </w:tc>
        <w:tc>
          <w:tcPr>
            <w:tcW w:w="120" w:type="dxa"/>
            <w:vAlign w:val="bottom"/>
          </w:tcPr>
          <w:p>
            <w:pPr>
              <w:spacing w:after="0"/>
              <w:rPr>
                <w:sz w:val="14"/>
                <w:szCs w:val="14"/>
                <w:color w:val="auto"/>
              </w:rPr>
            </w:pPr>
          </w:p>
        </w:tc>
        <w:tc>
          <w:tcPr>
            <w:tcW w:w="1260" w:type="dxa"/>
            <w:vAlign w:val="bottom"/>
            <w:gridSpan w:val="4"/>
          </w:tcPr>
          <w:p>
            <w:pPr>
              <w:jc w:val="center"/>
              <w:ind w:right="240"/>
              <w:spacing w:after="0"/>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4"/>
                <w:szCs w:val="14"/>
                <w:color w:val="auto"/>
              </w:rPr>
            </w:pPr>
          </w:p>
        </w:tc>
        <w:tc>
          <w:tcPr>
            <w:tcW w:w="132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rPr>
              <w:t>Noncontrolling</w:t>
            </w:r>
          </w:p>
        </w:tc>
        <w:tc>
          <w:tcPr>
            <w:tcW w:w="2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7"/>
        </w:trPr>
        <w:tc>
          <w:tcPr>
            <w:tcW w:w="2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700" w:type="dxa"/>
            <w:vAlign w:val="bottom"/>
            <w:gridSpan w:val="8"/>
            <w:vMerge w:val="continue"/>
          </w:tcPr>
          <w:p>
            <w:pPr>
              <w:spacing w:after="0"/>
              <w:rPr>
                <w:sz w:val="12"/>
                <w:szCs w:val="12"/>
                <w:color w:val="auto"/>
              </w:rPr>
            </w:pPr>
          </w:p>
        </w:tc>
        <w:tc>
          <w:tcPr>
            <w:tcW w:w="40" w:type="dxa"/>
            <w:vAlign w:val="bottom"/>
          </w:tcPr>
          <w:p>
            <w:pPr>
              <w:spacing w:after="0"/>
              <w:rPr>
                <w:sz w:val="12"/>
                <w:szCs w:val="12"/>
                <w:color w:val="auto"/>
              </w:rPr>
            </w:pPr>
          </w:p>
        </w:tc>
        <w:tc>
          <w:tcPr>
            <w:tcW w:w="1000" w:type="dxa"/>
            <w:vAlign w:val="bottom"/>
            <w:gridSpan w:val="4"/>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gridSpan w:val="3"/>
          </w:tcPr>
          <w:p>
            <w:pPr>
              <w:jc w:val="center"/>
              <w:ind w:right="260"/>
              <w:spacing w:after="0" w:line="147" w:lineRule="exact"/>
              <w:rPr>
                <w:sz w:val="20"/>
                <w:szCs w:val="20"/>
                <w:color w:val="auto"/>
              </w:rPr>
            </w:pPr>
            <w:r>
              <w:rPr>
                <w:rFonts w:ascii="Arial" w:cs="Arial" w:eastAsia="Arial" w:hAnsi="Arial"/>
                <w:sz w:val="14"/>
                <w:szCs w:val="14"/>
                <w:b w:val="1"/>
                <w:bCs w:val="1"/>
                <w:color w:val="auto"/>
              </w:rPr>
              <w:t>Other</w:t>
            </w:r>
          </w:p>
        </w:tc>
        <w:tc>
          <w:tcPr>
            <w:tcW w:w="120" w:type="dxa"/>
            <w:vAlign w:val="bottom"/>
          </w:tcPr>
          <w:p>
            <w:pPr>
              <w:spacing w:after="0"/>
              <w:rPr>
                <w:sz w:val="12"/>
                <w:szCs w:val="12"/>
                <w:color w:val="auto"/>
              </w:rPr>
            </w:pPr>
          </w:p>
        </w:tc>
        <w:tc>
          <w:tcPr>
            <w:tcW w:w="1260" w:type="dxa"/>
            <w:vAlign w:val="bottom"/>
            <w:gridSpan w:val="4"/>
          </w:tcPr>
          <w:p>
            <w:pPr>
              <w:jc w:val="center"/>
              <w:ind w:right="240"/>
              <w:spacing w:after="0" w:line="147" w:lineRule="exact"/>
              <w:rPr>
                <w:sz w:val="20"/>
                <w:szCs w:val="20"/>
                <w:color w:val="auto"/>
              </w:rPr>
            </w:pPr>
            <w:r>
              <w:rPr>
                <w:rFonts w:ascii="Arial" w:cs="Arial" w:eastAsia="Arial" w:hAnsi="Arial"/>
                <w:sz w:val="14"/>
                <w:szCs w:val="14"/>
                <w:b w:val="1"/>
                <w:bCs w:val="1"/>
                <w:color w:val="auto"/>
              </w:rPr>
              <w:t>World Fuel</w:t>
            </w:r>
          </w:p>
        </w:tc>
        <w:tc>
          <w:tcPr>
            <w:tcW w:w="140" w:type="dxa"/>
            <w:vAlign w:val="bottom"/>
          </w:tcPr>
          <w:p>
            <w:pPr>
              <w:spacing w:after="0"/>
              <w:rPr>
                <w:sz w:val="12"/>
                <w:szCs w:val="12"/>
                <w:color w:val="auto"/>
              </w:rPr>
            </w:pPr>
          </w:p>
        </w:tc>
        <w:tc>
          <w:tcPr>
            <w:tcW w:w="1320" w:type="dxa"/>
            <w:vAlign w:val="bottom"/>
            <w:gridSpan w:val="3"/>
            <w:vMerge w:val="continue"/>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60" w:type="dxa"/>
            <w:vAlign w:val="bottom"/>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vMerge w:val="restart"/>
          </w:tcPr>
          <w:p>
            <w:pPr>
              <w:spacing w:after="0"/>
              <w:rPr>
                <w:sz w:val="3"/>
                <w:szCs w:val="3"/>
                <w:color w:val="auto"/>
              </w:rPr>
            </w:pPr>
          </w:p>
        </w:tc>
        <w:tc>
          <w:tcPr>
            <w:tcW w:w="1000" w:type="dxa"/>
            <w:vAlign w:val="bottom"/>
            <w:gridSpan w:val="4"/>
            <w:vMerge w:val="restart"/>
          </w:tcPr>
          <w:p>
            <w:pPr>
              <w:ind w:left="100"/>
              <w:spacing w:after="0" w:line="120" w:lineRule="exact"/>
              <w:rPr>
                <w:sz w:val="20"/>
                <w:szCs w:val="20"/>
                <w:color w:val="auto"/>
              </w:rPr>
            </w:pPr>
            <w:r>
              <w:rPr>
                <w:rFonts w:ascii="Arial" w:cs="Arial" w:eastAsia="Arial" w:hAnsi="Arial"/>
                <w:sz w:val="13"/>
                <w:szCs w:val="13"/>
                <w:b w:val="1"/>
                <w:bCs w:val="1"/>
                <w:color w:val="auto"/>
              </w:rPr>
              <w:t>Excess of</w:t>
            </w: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60" w:type="dxa"/>
            <w:vAlign w:val="bottom"/>
            <w:gridSpan w:val="3"/>
            <w:vMerge w:val="restart"/>
          </w:tcPr>
          <w:p>
            <w:pPr>
              <w:spacing w:after="0" w:line="120" w:lineRule="exact"/>
              <w:rPr>
                <w:sz w:val="20"/>
                <w:szCs w:val="20"/>
                <w:color w:val="auto"/>
              </w:rPr>
            </w:pPr>
            <w:r>
              <w:rPr>
                <w:rFonts w:ascii="Arial" w:cs="Arial" w:eastAsia="Arial" w:hAnsi="Arial"/>
                <w:sz w:val="13"/>
                <w:szCs w:val="13"/>
                <w:b w:val="1"/>
                <w:bCs w:val="1"/>
                <w:color w:val="auto"/>
              </w:rPr>
              <w:t>Retained</w:t>
            </w: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40" w:type="dxa"/>
            <w:vAlign w:val="bottom"/>
            <w:gridSpan w:val="3"/>
            <w:vMerge w:val="restart"/>
          </w:tcPr>
          <w:p>
            <w:pPr>
              <w:jc w:val="center"/>
              <w:ind w:right="260"/>
              <w:spacing w:after="0" w:line="120" w:lineRule="exact"/>
              <w:rPr>
                <w:sz w:val="20"/>
                <w:szCs w:val="20"/>
                <w:color w:val="auto"/>
              </w:rPr>
            </w:pPr>
            <w:r>
              <w:rPr>
                <w:rFonts w:ascii="Arial" w:cs="Arial" w:eastAsia="Arial" w:hAnsi="Arial"/>
                <w:sz w:val="13"/>
                <w:szCs w:val="13"/>
                <w:b w:val="1"/>
                <w:bCs w:val="1"/>
                <w:color w:val="auto"/>
              </w:rPr>
              <w:t>Comprehensive</w:t>
            </w:r>
          </w:p>
        </w:tc>
        <w:tc>
          <w:tcPr>
            <w:tcW w:w="120" w:type="dxa"/>
            <w:vAlign w:val="bottom"/>
          </w:tcPr>
          <w:p>
            <w:pPr>
              <w:spacing w:after="0"/>
              <w:rPr>
                <w:sz w:val="3"/>
                <w:szCs w:val="3"/>
                <w:color w:val="auto"/>
              </w:rPr>
            </w:pPr>
          </w:p>
        </w:tc>
        <w:tc>
          <w:tcPr>
            <w:tcW w:w="1260" w:type="dxa"/>
            <w:vAlign w:val="bottom"/>
            <w:gridSpan w:val="4"/>
            <w:vMerge w:val="restart"/>
          </w:tcPr>
          <w:p>
            <w:pPr>
              <w:jc w:val="center"/>
              <w:ind w:right="240"/>
              <w:spacing w:after="0" w:line="120" w:lineRule="exact"/>
              <w:rPr>
                <w:sz w:val="20"/>
                <w:szCs w:val="20"/>
                <w:color w:val="auto"/>
              </w:rPr>
            </w:pPr>
            <w:r>
              <w:rPr>
                <w:rFonts w:ascii="Arial" w:cs="Arial" w:eastAsia="Arial" w:hAnsi="Arial"/>
                <w:sz w:val="13"/>
                <w:szCs w:val="13"/>
                <w:b w:val="1"/>
                <w:bCs w:val="1"/>
                <w:color w:val="auto"/>
              </w:rPr>
              <w:t>Shareholders'</w:t>
            </w:r>
          </w:p>
        </w:tc>
        <w:tc>
          <w:tcPr>
            <w:tcW w:w="140" w:type="dxa"/>
            <w:vAlign w:val="bottom"/>
          </w:tcPr>
          <w:p>
            <w:pPr>
              <w:spacing w:after="0"/>
              <w:rPr>
                <w:sz w:val="3"/>
                <w:szCs w:val="3"/>
                <w:color w:val="auto"/>
              </w:rPr>
            </w:pPr>
          </w:p>
        </w:tc>
        <w:tc>
          <w:tcPr>
            <w:tcW w:w="1320" w:type="dxa"/>
            <w:vAlign w:val="bottom"/>
            <w:gridSpan w:val="3"/>
            <w:vMerge w:val="restart"/>
          </w:tcPr>
          <w:p>
            <w:pPr>
              <w:jc w:val="center"/>
              <w:ind w:right="280"/>
              <w:spacing w:after="0" w:line="120" w:lineRule="exact"/>
              <w:rPr>
                <w:sz w:val="20"/>
                <w:szCs w:val="20"/>
                <w:color w:val="auto"/>
              </w:rPr>
            </w:pPr>
            <w:r>
              <w:rPr>
                <w:rFonts w:ascii="Arial" w:cs="Arial" w:eastAsia="Arial" w:hAnsi="Arial"/>
                <w:sz w:val="13"/>
                <w:szCs w:val="13"/>
                <w:b w:val="1"/>
                <w:bCs w:val="1"/>
                <w:color w:val="auto"/>
              </w:rPr>
              <w:t>Interest</w:t>
            </w:r>
          </w:p>
        </w:tc>
        <w:tc>
          <w:tcPr>
            <w:tcW w:w="240" w:type="dxa"/>
            <w:vAlign w:val="bottom"/>
          </w:tcPr>
          <w:p>
            <w:pPr>
              <w:spacing w:after="0"/>
              <w:rPr>
                <w:sz w:val="3"/>
                <w:szCs w:val="3"/>
                <w:color w:val="auto"/>
              </w:rPr>
            </w:pPr>
          </w:p>
        </w:tc>
        <w:tc>
          <w:tcPr>
            <w:tcW w:w="6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0"/>
        </w:trPr>
        <w:tc>
          <w:tcPr>
            <w:tcW w:w="206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vMerge w:val="restart"/>
          </w:tcPr>
          <w:p>
            <w:pPr>
              <w:jc w:val="right"/>
              <w:ind w:right="69"/>
              <w:spacing w:after="0"/>
              <w:rPr>
                <w:sz w:val="20"/>
                <w:szCs w:val="20"/>
                <w:color w:val="auto"/>
              </w:rPr>
            </w:pPr>
            <w:r>
              <w:rPr>
                <w:rFonts w:ascii="Arial" w:cs="Arial" w:eastAsia="Arial" w:hAnsi="Arial"/>
                <w:sz w:val="14"/>
                <w:szCs w:val="14"/>
                <w:b w:val="1"/>
                <w:bCs w:val="1"/>
                <w:color w:val="auto"/>
              </w:rPr>
              <w:t>Shares</w:t>
            </w:r>
          </w:p>
        </w:tc>
        <w:tc>
          <w:tcPr>
            <w:tcW w:w="100" w:type="dxa"/>
            <w:vAlign w:val="bottom"/>
            <w:gridSpan w:val="2"/>
            <w:vMerge w:val="restart"/>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gridSpan w:val="2"/>
            <w:vMerge w:val="restart"/>
          </w:tcPr>
          <w:p>
            <w:pPr>
              <w:jc w:val="right"/>
              <w:ind w:right="69"/>
              <w:spacing w:after="0"/>
              <w:rPr>
                <w:sz w:val="20"/>
                <w:szCs w:val="20"/>
                <w:color w:val="auto"/>
              </w:rPr>
            </w:pPr>
            <w:r>
              <w:rPr>
                <w:rFonts w:ascii="Arial" w:cs="Arial" w:eastAsia="Arial" w:hAnsi="Arial"/>
                <w:sz w:val="14"/>
                <w:szCs w:val="14"/>
                <w:b w:val="1"/>
                <w:bCs w:val="1"/>
                <w:color w:val="auto"/>
              </w:rPr>
              <w:t>Amount</w:t>
            </w:r>
          </w:p>
        </w:tc>
        <w:tc>
          <w:tcPr>
            <w:tcW w:w="120" w:type="dxa"/>
            <w:vAlign w:val="bottom"/>
            <w:gridSpan w:val="2"/>
            <w:vMerge w:val="restart"/>
          </w:tcPr>
          <w:p>
            <w:pPr>
              <w:spacing w:after="0"/>
              <w:rPr>
                <w:sz w:val="5"/>
                <w:szCs w:val="5"/>
                <w:color w:val="auto"/>
              </w:rPr>
            </w:pPr>
          </w:p>
        </w:tc>
        <w:tc>
          <w:tcPr>
            <w:tcW w:w="40" w:type="dxa"/>
            <w:vAlign w:val="bottom"/>
            <w:vMerge w:val="continue"/>
          </w:tcPr>
          <w:p>
            <w:pPr>
              <w:spacing w:after="0"/>
              <w:rPr>
                <w:sz w:val="5"/>
                <w:szCs w:val="5"/>
                <w:color w:val="auto"/>
              </w:rPr>
            </w:pPr>
          </w:p>
        </w:tc>
        <w:tc>
          <w:tcPr>
            <w:tcW w:w="1000" w:type="dxa"/>
            <w:vAlign w:val="bottom"/>
            <w:gridSpan w:val="4"/>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40" w:type="dxa"/>
            <w:vAlign w:val="bottom"/>
            <w:gridSpan w:val="3"/>
            <w:vMerge w:val="continue"/>
          </w:tcPr>
          <w:p>
            <w:pPr>
              <w:spacing w:after="0"/>
              <w:rPr>
                <w:sz w:val="5"/>
                <w:szCs w:val="5"/>
                <w:color w:val="auto"/>
              </w:rPr>
            </w:pPr>
          </w:p>
        </w:tc>
        <w:tc>
          <w:tcPr>
            <w:tcW w:w="12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140" w:type="dxa"/>
            <w:vAlign w:val="bottom"/>
          </w:tcPr>
          <w:p>
            <w:pPr>
              <w:spacing w:after="0"/>
              <w:rPr>
                <w:sz w:val="5"/>
                <w:szCs w:val="5"/>
                <w:color w:val="auto"/>
              </w:rPr>
            </w:pPr>
          </w:p>
        </w:tc>
        <w:tc>
          <w:tcPr>
            <w:tcW w:w="1320" w:type="dxa"/>
            <w:vAlign w:val="bottom"/>
            <w:gridSpan w:val="3"/>
            <w:vMerge w:val="continue"/>
          </w:tcPr>
          <w:p>
            <w:pPr>
              <w:spacing w:after="0"/>
              <w:rPr>
                <w:sz w:val="5"/>
                <w:szCs w:val="5"/>
                <w:color w:val="auto"/>
              </w:rPr>
            </w:pPr>
          </w:p>
        </w:tc>
        <w:tc>
          <w:tcPr>
            <w:tcW w:w="9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Total Equity</w:t>
            </w:r>
          </w:p>
        </w:tc>
        <w:tc>
          <w:tcPr>
            <w:tcW w:w="0" w:type="dxa"/>
            <w:vAlign w:val="bottom"/>
          </w:tcPr>
          <w:p>
            <w:pPr>
              <w:spacing w:after="0"/>
              <w:rPr>
                <w:sz w:val="1"/>
                <w:szCs w:val="1"/>
                <w:color w:val="auto"/>
              </w:rPr>
            </w:pPr>
          </w:p>
        </w:tc>
      </w:tr>
      <w:tr>
        <w:trPr>
          <w:trHeight w:val="173"/>
        </w:trPr>
        <w:tc>
          <w:tcPr>
            <w:tcW w:w="206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vMerge w:val="continue"/>
          </w:tcPr>
          <w:p>
            <w:pPr>
              <w:spacing w:after="0"/>
              <w:rPr>
                <w:sz w:val="15"/>
                <w:szCs w:val="15"/>
                <w:color w:val="auto"/>
              </w:rPr>
            </w:pPr>
          </w:p>
        </w:tc>
        <w:tc>
          <w:tcPr>
            <w:tcW w:w="100" w:type="dxa"/>
            <w:vAlign w:val="bottom"/>
            <w:tcBorders>
              <w:bottom w:val="single" w:sz="8" w:color="CCEEFF"/>
            </w:tcBorders>
            <w:gridSpan w:val="2"/>
            <w:vMerge w:val="continue"/>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gridSpan w:val="2"/>
            <w:vMerge w:val="continue"/>
          </w:tcPr>
          <w:p>
            <w:pPr>
              <w:spacing w:after="0"/>
              <w:rPr>
                <w:sz w:val="15"/>
                <w:szCs w:val="15"/>
                <w:color w:val="auto"/>
              </w:rPr>
            </w:pPr>
          </w:p>
        </w:tc>
        <w:tc>
          <w:tcPr>
            <w:tcW w:w="120" w:type="dxa"/>
            <w:vAlign w:val="bottom"/>
            <w:tcBorders>
              <w:bottom w:val="single" w:sz="8" w:color="CCEEFF"/>
            </w:tcBorders>
            <w:gridSpan w:val="2"/>
            <w:vMerge w:val="continue"/>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gridSpan w:val="2"/>
          </w:tcPr>
          <w:p>
            <w:pPr>
              <w:ind w:left="100"/>
              <w:spacing w:after="0"/>
              <w:rPr>
                <w:sz w:val="20"/>
                <w:szCs w:val="20"/>
                <w:color w:val="auto"/>
              </w:rPr>
            </w:pPr>
            <w:r>
              <w:rPr>
                <w:rFonts w:ascii="Arial" w:cs="Arial" w:eastAsia="Arial" w:hAnsi="Arial"/>
                <w:sz w:val="14"/>
                <w:szCs w:val="14"/>
                <w:b w:val="1"/>
                <w:bCs w:val="1"/>
                <w:color w:val="auto"/>
              </w:rPr>
              <w:t>Par Value</w:t>
            </w:r>
          </w:p>
        </w:tc>
        <w:tc>
          <w:tcPr>
            <w:tcW w:w="100" w:type="dxa"/>
            <w:vAlign w:val="bottom"/>
            <w:tcBorders>
              <w:bottom w:val="single" w:sz="8" w:color="CCEEFF"/>
            </w:tcBorders>
            <w:gridSpan w:val="2"/>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Earnings</w:t>
            </w:r>
          </w:p>
        </w:tc>
        <w:tc>
          <w:tcPr>
            <w:tcW w:w="100" w:type="dxa"/>
            <w:vAlign w:val="bottom"/>
            <w:tcBorders>
              <w:bottom w:val="single" w:sz="8" w:color="CCEEFF"/>
            </w:tcBorders>
            <w:gridSpan w:val="2"/>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jc w:val="center"/>
              <w:ind w:right="89"/>
              <w:spacing w:after="0"/>
              <w:rPr>
                <w:sz w:val="20"/>
                <w:szCs w:val="20"/>
                <w:color w:val="auto"/>
              </w:rPr>
            </w:pPr>
            <w:r>
              <w:rPr>
                <w:rFonts w:ascii="Arial" w:cs="Arial" w:eastAsia="Arial" w:hAnsi="Arial"/>
                <w:sz w:val="14"/>
                <w:szCs w:val="14"/>
                <w:b w:val="1"/>
                <w:bCs w:val="1"/>
                <w:color w:val="auto"/>
              </w:rPr>
              <w:t>Income (Loss)</w:t>
            </w:r>
          </w:p>
        </w:tc>
        <w:tc>
          <w:tcPr>
            <w:tcW w:w="120" w:type="dxa"/>
            <w:vAlign w:val="bottom"/>
            <w:tcBorders>
              <w:bottom w:val="single" w:sz="8" w:color="CCEEFF"/>
            </w:tcBorders>
            <w:gridSpan w:val="2"/>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98"/>
              </w:rPr>
              <w:t>Equity</w:t>
            </w:r>
          </w:p>
        </w:tc>
        <w:tc>
          <w:tcPr>
            <w:tcW w:w="100" w:type="dxa"/>
            <w:vAlign w:val="bottom"/>
            <w:tcBorders>
              <w:bottom w:val="single" w:sz="8" w:color="CCEEFF"/>
            </w:tcBorders>
            <w:gridSpan w:val="2"/>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00" w:type="dxa"/>
            <w:vAlign w:val="bottom"/>
            <w:tcBorders>
              <w:bottom w:val="single" w:sz="8" w:color="auto"/>
            </w:tcBorders>
          </w:tcPr>
          <w:p>
            <w:pPr>
              <w:jc w:val="center"/>
              <w:ind w:right="49"/>
              <w:spacing w:after="0"/>
              <w:rPr>
                <w:sz w:val="20"/>
                <w:szCs w:val="20"/>
                <w:color w:val="auto"/>
              </w:rPr>
            </w:pPr>
            <w:r>
              <w:rPr>
                <w:rFonts w:ascii="Arial" w:cs="Arial" w:eastAsia="Arial" w:hAnsi="Arial"/>
                <w:sz w:val="14"/>
                <w:szCs w:val="14"/>
                <w:b w:val="1"/>
                <w:bCs w:val="1"/>
                <w:color w:val="auto"/>
              </w:rPr>
              <w:t>Equity</w:t>
            </w:r>
          </w:p>
        </w:tc>
        <w:tc>
          <w:tcPr>
            <w:tcW w:w="120" w:type="dxa"/>
            <w:vAlign w:val="bottom"/>
            <w:tcBorders>
              <w:bottom w:val="single" w:sz="8" w:color="CCEEFF"/>
            </w:tcBorders>
            <w:gridSpan w:val="2"/>
          </w:tcPr>
          <w:p>
            <w:pPr>
              <w:spacing w:after="0"/>
              <w:rPr>
                <w:sz w:val="15"/>
                <w:szCs w:val="15"/>
                <w:color w:val="auto"/>
              </w:rPr>
            </w:pPr>
          </w:p>
        </w:tc>
        <w:tc>
          <w:tcPr>
            <w:tcW w:w="900" w:type="dxa"/>
            <w:vAlign w:val="bottom"/>
            <w:tcBorders>
              <w:bottom w:val="single" w:sz="8" w:color="auto"/>
            </w:tcBorders>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140" w:type="dxa"/>
            <w:vAlign w:val="bottom"/>
            <w:gridSpan w:val="2"/>
            <w:shd w:val="clear" w:color="auto" w:fill="CCEEFF"/>
          </w:tcPr>
          <w:p>
            <w:pPr>
              <w:ind w:left="20"/>
              <w:spacing w:after="0" w:line="131" w:lineRule="exact"/>
              <w:rPr>
                <w:sz w:val="20"/>
                <w:szCs w:val="20"/>
                <w:color w:val="auto"/>
              </w:rPr>
            </w:pPr>
            <w:r>
              <w:rPr>
                <w:rFonts w:ascii="Arial" w:cs="Arial" w:eastAsia="Arial" w:hAnsi="Arial"/>
                <w:sz w:val="14"/>
                <w:szCs w:val="14"/>
                <w:color w:val="auto"/>
              </w:rPr>
              <w:t>Balance as of December 31,</w:t>
            </w:r>
          </w:p>
        </w:tc>
        <w:tc>
          <w:tcPr>
            <w:tcW w:w="66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61.7</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80" w:type="dxa"/>
            <w:vAlign w:val="bottom"/>
            <w:gridSpan w:val="2"/>
            <w:vMerge w:val="restart"/>
            <w:shd w:val="clear" w:color="auto" w:fill="CCEEFF"/>
          </w:tcPr>
          <w:p>
            <w:pPr>
              <w:jc w:val="center"/>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168.1</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1,880.6</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gridSpan w:val="2"/>
            <w:vMerge w:val="restart"/>
            <w:shd w:val="clear" w:color="auto" w:fill="CCEEFF"/>
          </w:tcPr>
          <w:p>
            <w:pPr>
              <w:jc w:val="right"/>
              <w:ind w:right="60"/>
              <w:spacing w:after="0"/>
              <w:rPr>
                <w:sz w:val="20"/>
                <w:szCs w:val="20"/>
                <w:color w:val="auto"/>
              </w:rPr>
            </w:pPr>
            <w:r>
              <w:rPr>
                <w:rFonts w:ascii="Arial" w:cs="Arial" w:eastAsia="Arial" w:hAnsi="Arial"/>
                <w:sz w:val="14"/>
                <w:szCs w:val="14"/>
                <w:color w:val="auto"/>
              </w:rPr>
              <w:t>$</w:t>
            </w: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(136.7)</w:t>
            </w: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1,912.7</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4.1</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1,916.8</w:t>
            </w:r>
          </w:p>
        </w:tc>
        <w:tc>
          <w:tcPr>
            <w:tcW w:w="0" w:type="dxa"/>
            <w:vAlign w:val="bottom"/>
          </w:tcPr>
          <w:p>
            <w:pPr>
              <w:spacing w:after="0"/>
              <w:rPr>
                <w:sz w:val="1"/>
                <w:szCs w:val="1"/>
                <w:color w:val="auto"/>
              </w:rPr>
            </w:pPr>
          </w:p>
        </w:tc>
      </w:tr>
      <w:tr>
        <w:trPr>
          <w:trHeight w:val="169"/>
        </w:trPr>
        <w:tc>
          <w:tcPr>
            <w:tcW w:w="206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2021</w:t>
            </w:r>
          </w:p>
        </w:tc>
        <w:tc>
          <w:tcPr>
            <w:tcW w:w="80" w:type="dxa"/>
            <w:vAlign w:val="bottom"/>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80" w:type="dxa"/>
            <w:vAlign w:val="bottom"/>
            <w:gridSpan w:val="2"/>
            <w:vMerge w:val="continue"/>
            <w:shd w:val="clear" w:color="auto" w:fill="CCEEFF"/>
          </w:tcPr>
          <w:p>
            <w:pPr>
              <w:spacing w:after="0"/>
              <w:rPr>
                <w:sz w:val="14"/>
                <w:szCs w:val="14"/>
                <w:color w:val="auto"/>
              </w:rPr>
            </w:pPr>
          </w:p>
        </w:tc>
        <w:tc>
          <w:tcPr>
            <w:tcW w:w="640" w:type="dxa"/>
            <w:vAlign w:val="bottom"/>
            <w:vMerge w:val="continue"/>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gridSpan w:val="2"/>
            <w:vMerge w:val="continue"/>
            <w:shd w:val="clear" w:color="auto" w:fill="CCEEFF"/>
          </w:tcPr>
          <w:p>
            <w:pPr>
              <w:spacing w:after="0"/>
              <w:rPr>
                <w:sz w:val="14"/>
                <w:szCs w:val="14"/>
                <w:color w:val="auto"/>
              </w:rPr>
            </w:pPr>
          </w:p>
        </w:tc>
        <w:tc>
          <w:tcPr>
            <w:tcW w:w="780" w:type="dxa"/>
            <w:vAlign w:val="bottom"/>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gridSpan w:val="2"/>
            <w:vMerge w:val="continue"/>
            <w:shd w:val="clear" w:color="auto" w:fill="CCEEFF"/>
          </w:tcPr>
          <w:p>
            <w:pPr>
              <w:spacing w:after="0"/>
              <w:rPr>
                <w:sz w:val="14"/>
                <w:szCs w:val="14"/>
                <w:color w:val="auto"/>
              </w:rPr>
            </w:pPr>
          </w:p>
        </w:tc>
        <w:tc>
          <w:tcPr>
            <w:tcW w:w="76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gridSpan w:val="2"/>
            <w:vMerge w:val="continue"/>
            <w:shd w:val="clear" w:color="auto" w:fill="CCEEFF"/>
          </w:tcPr>
          <w:p>
            <w:pPr>
              <w:spacing w:after="0"/>
              <w:rPr>
                <w:sz w:val="14"/>
                <w:szCs w:val="14"/>
                <w:color w:val="auto"/>
              </w:rPr>
            </w:pPr>
          </w:p>
        </w:tc>
        <w:tc>
          <w:tcPr>
            <w:tcW w:w="13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vMerge w:val="continue"/>
            <w:shd w:val="clear" w:color="auto" w:fill="CCEEFF"/>
          </w:tcPr>
          <w:p>
            <w:pPr>
              <w:spacing w:after="0"/>
              <w:rPr>
                <w:sz w:val="14"/>
                <w:szCs w:val="14"/>
                <w:color w:val="auto"/>
              </w:rPr>
            </w:pPr>
          </w:p>
        </w:tc>
        <w:tc>
          <w:tcPr>
            <w:tcW w:w="11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vMerge w:val="continue"/>
            <w:shd w:val="clear" w:color="auto" w:fill="CCEEFF"/>
          </w:tcPr>
          <w:p>
            <w:pPr>
              <w:spacing w:after="0"/>
              <w:rPr>
                <w:sz w:val="14"/>
                <w:szCs w:val="14"/>
                <w:color w:val="auto"/>
              </w:rPr>
            </w:pPr>
          </w:p>
        </w:tc>
        <w:tc>
          <w:tcPr>
            <w:tcW w:w="120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vMerge w:val="continue"/>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2140" w:type="dxa"/>
            <w:vAlign w:val="bottom"/>
            <w:gridSpan w:val="2"/>
          </w:tcPr>
          <w:p>
            <w:pPr>
              <w:ind w:left="40"/>
              <w:spacing w:after="0"/>
              <w:rPr>
                <w:sz w:val="20"/>
                <w:szCs w:val="20"/>
                <w:color w:val="auto"/>
              </w:rPr>
            </w:pPr>
            <w:r>
              <w:rPr>
                <w:rFonts w:ascii="Arial" w:cs="Arial" w:eastAsia="Arial" w:hAnsi="Arial"/>
                <w:sz w:val="14"/>
                <w:szCs w:val="14"/>
                <w:color w:val="auto"/>
              </w:rPr>
              <w:t>Net income (loss)</w:t>
            </w:r>
          </w:p>
        </w:tc>
        <w:tc>
          <w:tcPr>
            <w:tcW w:w="76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26.3</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40" w:type="dxa"/>
            <w:vAlign w:val="bottom"/>
            <w:gridSpan w:val="3"/>
          </w:tcPr>
          <w:p>
            <w:pPr>
              <w:ind w:left="11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26.3</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(0.1)</w:t>
            </w: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26.3</w:t>
            </w:r>
          </w:p>
        </w:tc>
        <w:tc>
          <w:tcPr>
            <w:tcW w:w="0" w:type="dxa"/>
            <w:vAlign w:val="bottom"/>
          </w:tcPr>
          <w:p>
            <w:pPr>
              <w:spacing w:after="0"/>
              <w:rPr>
                <w:sz w:val="1"/>
                <w:szCs w:val="1"/>
                <w:color w:val="auto"/>
              </w:rPr>
            </w:pPr>
          </w:p>
        </w:tc>
      </w:tr>
      <w:tr>
        <w:trPr>
          <w:trHeight w:val="187"/>
        </w:trPr>
        <w:tc>
          <w:tcPr>
            <w:tcW w:w="21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dividends declared</w:t>
            </w: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60" w:type="dxa"/>
            <w:vAlign w:val="bottom"/>
            <w:gridSpan w:val="3"/>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gridSpan w:val="3"/>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40" w:type="dxa"/>
            <w:vAlign w:val="bottom"/>
            <w:gridSpan w:val="3"/>
            <w:shd w:val="clear" w:color="auto" w:fill="CCEEFF"/>
          </w:tcPr>
          <w:p>
            <w:pPr>
              <w:ind w:left="11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320" w:type="dxa"/>
            <w:vAlign w:val="bottom"/>
            <w:gridSpan w:val="3"/>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w:t>
            </w:r>
          </w:p>
        </w:tc>
        <w:tc>
          <w:tcPr>
            <w:tcW w:w="0" w:type="dxa"/>
            <w:vAlign w:val="bottom"/>
          </w:tcPr>
          <w:p>
            <w:pPr>
              <w:spacing w:after="0"/>
              <w:rPr>
                <w:sz w:val="1"/>
                <w:szCs w:val="1"/>
                <w:color w:val="auto"/>
              </w:rPr>
            </w:pPr>
          </w:p>
        </w:tc>
      </w:tr>
      <w:tr>
        <w:trPr>
          <w:trHeight w:val="151"/>
        </w:trPr>
        <w:tc>
          <w:tcPr>
            <w:tcW w:w="2140" w:type="dxa"/>
            <w:vAlign w:val="bottom"/>
            <w:gridSpan w:val="2"/>
          </w:tcPr>
          <w:p>
            <w:pPr>
              <w:ind w:left="40"/>
              <w:spacing w:after="0" w:line="151" w:lineRule="exact"/>
              <w:rPr>
                <w:sz w:val="20"/>
                <w:szCs w:val="20"/>
                <w:color w:val="auto"/>
              </w:rPr>
            </w:pPr>
            <w:r>
              <w:rPr>
                <w:rFonts w:ascii="Arial" w:cs="Arial" w:eastAsia="Arial" w:hAnsi="Arial"/>
                <w:sz w:val="14"/>
                <w:szCs w:val="14"/>
                <w:color w:val="auto"/>
              </w:rPr>
              <w:t>Amortization of share-based</w:t>
            </w:r>
          </w:p>
        </w:tc>
        <w:tc>
          <w:tcPr>
            <w:tcW w:w="760" w:type="dxa"/>
            <w:vAlign w:val="bottom"/>
            <w:gridSpan w:val="3"/>
            <w:vMerge w:val="restart"/>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gridSpan w:val="3"/>
            <w:vMerge w:val="restart"/>
          </w:tcPr>
          <w:p>
            <w:pPr>
              <w:jc w:val="right"/>
              <w:ind w:right="18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vMerge w:val="restart"/>
          </w:tcPr>
          <w:p>
            <w:pPr>
              <w:jc w:val="right"/>
              <w:ind w:right="9"/>
              <w:spacing w:after="0"/>
              <w:rPr>
                <w:sz w:val="20"/>
                <w:szCs w:val="20"/>
                <w:color w:val="auto"/>
              </w:rPr>
            </w:pPr>
            <w:r>
              <w:rPr>
                <w:rFonts w:ascii="Arial" w:cs="Arial" w:eastAsia="Arial" w:hAnsi="Arial"/>
                <w:sz w:val="14"/>
                <w:szCs w:val="14"/>
                <w:color w:val="auto"/>
              </w:rPr>
              <w:t>3.7</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3"/>
            <w:vMerge w:val="restart"/>
          </w:tcPr>
          <w:p>
            <w:pPr>
              <w:jc w:val="right"/>
              <w:ind w:right="16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40" w:type="dxa"/>
            <w:vAlign w:val="bottom"/>
            <w:gridSpan w:val="3"/>
            <w:vMerge w:val="restart"/>
          </w:tcPr>
          <w:p>
            <w:pPr>
              <w:ind w:left="11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3.7</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20" w:type="dxa"/>
            <w:vAlign w:val="bottom"/>
            <w:gridSpan w:val="3"/>
            <w:vMerge w:val="restart"/>
          </w:tcPr>
          <w:p>
            <w:pPr>
              <w:jc w:val="right"/>
              <w:ind w:right="18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3.7</w:t>
            </w:r>
          </w:p>
        </w:tc>
        <w:tc>
          <w:tcPr>
            <w:tcW w:w="0" w:type="dxa"/>
            <w:vAlign w:val="bottom"/>
          </w:tcPr>
          <w:p>
            <w:pPr>
              <w:spacing w:after="0"/>
              <w:rPr>
                <w:sz w:val="1"/>
                <w:szCs w:val="1"/>
                <w:color w:val="auto"/>
              </w:rPr>
            </w:pPr>
          </w:p>
        </w:tc>
      </w:tr>
      <w:tr>
        <w:trPr>
          <w:trHeight w:val="169"/>
        </w:trPr>
        <w:tc>
          <w:tcPr>
            <w:tcW w:w="2140" w:type="dxa"/>
            <w:vAlign w:val="bottom"/>
            <w:gridSpan w:val="2"/>
          </w:tcPr>
          <w:p>
            <w:pPr>
              <w:ind w:left="40"/>
              <w:spacing w:after="0"/>
              <w:rPr>
                <w:sz w:val="20"/>
                <w:szCs w:val="20"/>
                <w:color w:val="auto"/>
              </w:rPr>
            </w:pPr>
            <w:r>
              <w:rPr>
                <w:rFonts w:ascii="Arial" w:cs="Arial" w:eastAsia="Arial" w:hAnsi="Arial"/>
                <w:sz w:val="14"/>
                <w:szCs w:val="14"/>
                <w:color w:val="auto"/>
              </w:rPr>
              <w:t>payment awards</w:t>
            </w:r>
          </w:p>
        </w:tc>
        <w:tc>
          <w:tcPr>
            <w:tcW w:w="76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2140" w:type="dxa"/>
            <w:vAlign w:val="bottom"/>
            <w:gridSpan w:val="2"/>
            <w:shd w:val="clear" w:color="auto" w:fill="CCEEFF"/>
          </w:tcPr>
          <w:p>
            <w:pPr>
              <w:ind w:left="40"/>
              <w:spacing w:after="0" w:line="151" w:lineRule="exact"/>
              <w:rPr>
                <w:sz w:val="20"/>
                <w:szCs w:val="20"/>
                <w:color w:val="auto"/>
              </w:rPr>
            </w:pPr>
            <w:r>
              <w:rPr>
                <w:rFonts w:ascii="Arial" w:cs="Arial" w:eastAsia="Arial" w:hAnsi="Arial"/>
                <w:sz w:val="14"/>
                <w:szCs w:val="14"/>
                <w:color w:val="auto"/>
              </w:rPr>
              <w:t>Issuance (cancellation) of</w:t>
            </w:r>
          </w:p>
        </w:tc>
        <w:tc>
          <w:tcPr>
            <w:tcW w:w="6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3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2140" w:type="dxa"/>
            <w:vAlign w:val="bottom"/>
            <w:gridSpan w:val="2"/>
            <w:shd w:val="clear" w:color="auto" w:fill="CCEEFF"/>
          </w:tcPr>
          <w:p>
            <w:pPr>
              <w:ind w:left="40"/>
              <w:spacing w:after="0" w:line="133" w:lineRule="exact"/>
              <w:rPr>
                <w:sz w:val="20"/>
                <w:szCs w:val="20"/>
                <w:color w:val="auto"/>
              </w:rPr>
            </w:pPr>
            <w:r>
              <w:rPr>
                <w:rFonts w:ascii="Arial" w:cs="Arial" w:eastAsia="Arial" w:hAnsi="Arial"/>
                <w:sz w:val="14"/>
                <w:szCs w:val="14"/>
                <w:color w:val="auto"/>
              </w:rPr>
              <w:t>common stock related to share-</w:t>
            </w:r>
          </w:p>
        </w:tc>
        <w:tc>
          <w:tcPr>
            <w:tcW w:w="66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0.1</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3"/>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40" w:type="dxa"/>
            <w:vAlign w:val="bottom"/>
            <w:gridSpan w:val="3"/>
            <w:vMerge w:val="restart"/>
            <w:shd w:val="clear" w:color="auto" w:fill="CCEEFF"/>
          </w:tcPr>
          <w:p>
            <w:pPr>
              <w:ind w:left="11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1"/>
                <w:szCs w:val="11"/>
                <w:color w:val="auto"/>
              </w:rPr>
            </w:pPr>
          </w:p>
        </w:tc>
        <w:tc>
          <w:tcPr>
            <w:tcW w:w="1260" w:type="dxa"/>
            <w:vAlign w:val="bottom"/>
            <w:gridSpan w:val="4"/>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1"/>
                <w:szCs w:val="11"/>
                <w:color w:val="auto"/>
              </w:rPr>
            </w:pPr>
          </w:p>
        </w:tc>
        <w:tc>
          <w:tcPr>
            <w:tcW w:w="132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9"/>
        </w:trPr>
        <w:tc>
          <w:tcPr>
            <w:tcW w:w="21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based payment awards</w:t>
            </w:r>
          </w:p>
        </w:tc>
        <w:tc>
          <w:tcPr>
            <w:tcW w:w="660" w:type="dxa"/>
            <w:vAlign w:val="bottom"/>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60" w:type="dxa"/>
            <w:vAlign w:val="bottom"/>
            <w:gridSpan w:val="3"/>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gridSpan w:val="3"/>
            <w:vMerge w:val="continue"/>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40" w:type="dxa"/>
            <w:vAlign w:val="bottom"/>
            <w:gridSpan w:val="3"/>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60" w:type="dxa"/>
            <w:vAlign w:val="bottom"/>
            <w:gridSpan w:val="4"/>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20" w:type="dxa"/>
            <w:vAlign w:val="bottom"/>
            <w:gridSpan w:val="3"/>
            <w:vMerge w:val="continue"/>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2140" w:type="dxa"/>
            <w:vAlign w:val="bottom"/>
            <w:gridSpan w:val="2"/>
          </w:tcPr>
          <w:p>
            <w:pPr>
              <w:ind w:left="40"/>
              <w:spacing w:after="0" w:line="151" w:lineRule="exact"/>
              <w:rPr>
                <w:sz w:val="20"/>
                <w:szCs w:val="20"/>
                <w:color w:val="auto"/>
              </w:rPr>
            </w:pPr>
            <w:r>
              <w:rPr>
                <w:rFonts w:ascii="Arial" w:cs="Arial" w:eastAsia="Arial" w:hAnsi="Arial"/>
                <w:sz w:val="14"/>
                <w:szCs w:val="14"/>
                <w:color w:val="auto"/>
              </w:rPr>
              <w:t>Issuance of common stock for</w:t>
            </w:r>
          </w:p>
        </w:tc>
        <w:tc>
          <w:tcPr>
            <w:tcW w:w="660" w:type="dxa"/>
            <w:vAlign w:val="bottom"/>
            <w:vMerge w:val="restart"/>
          </w:tcPr>
          <w:p>
            <w:pPr>
              <w:jc w:val="right"/>
              <w:ind w:right="9"/>
              <w:spacing w:after="0"/>
              <w:rPr>
                <w:sz w:val="20"/>
                <w:szCs w:val="20"/>
                <w:color w:val="auto"/>
              </w:rPr>
            </w:pPr>
            <w:r>
              <w:rPr>
                <w:rFonts w:ascii="Arial" w:cs="Arial" w:eastAsia="Arial" w:hAnsi="Arial"/>
                <w:sz w:val="14"/>
                <w:szCs w:val="14"/>
                <w:color w:val="auto"/>
              </w:rPr>
              <w:t>1.8</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gridSpan w:val="3"/>
            <w:vMerge w:val="restart"/>
          </w:tcPr>
          <w:p>
            <w:pPr>
              <w:jc w:val="right"/>
              <w:ind w:right="18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vMerge w:val="restart"/>
          </w:tcPr>
          <w:p>
            <w:pPr>
              <w:jc w:val="right"/>
              <w:ind w:right="9"/>
              <w:spacing w:after="0"/>
              <w:rPr>
                <w:sz w:val="20"/>
                <w:szCs w:val="20"/>
                <w:color w:val="auto"/>
              </w:rPr>
            </w:pPr>
            <w:r>
              <w:rPr>
                <w:rFonts w:ascii="Arial" w:cs="Arial" w:eastAsia="Arial" w:hAnsi="Arial"/>
                <w:sz w:val="14"/>
                <w:szCs w:val="14"/>
                <w:color w:val="auto"/>
              </w:rPr>
              <w:t>50.0</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3"/>
            <w:vMerge w:val="restart"/>
          </w:tcPr>
          <w:p>
            <w:pPr>
              <w:jc w:val="right"/>
              <w:ind w:right="16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40" w:type="dxa"/>
            <w:vAlign w:val="bottom"/>
            <w:gridSpan w:val="3"/>
            <w:vMerge w:val="restart"/>
          </w:tcPr>
          <w:p>
            <w:pPr>
              <w:ind w:left="11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50.0</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20" w:type="dxa"/>
            <w:vAlign w:val="bottom"/>
            <w:gridSpan w:val="3"/>
            <w:vMerge w:val="restart"/>
          </w:tcPr>
          <w:p>
            <w:pPr>
              <w:jc w:val="right"/>
              <w:ind w:right="18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50.0</w:t>
            </w:r>
          </w:p>
        </w:tc>
        <w:tc>
          <w:tcPr>
            <w:tcW w:w="0" w:type="dxa"/>
            <w:vAlign w:val="bottom"/>
          </w:tcPr>
          <w:p>
            <w:pPr>
              <w:spacing w:after="0"/>
              <w:rPr>
                <w:sz w:val="1"/>
                <w:szCs w:val="1"/>
                <w:color w:val="auto"/>
              </w:rPr>
            </w:pPr>
          </w:p>
        </w:tc>
      </w:tr>
      <w:tr>
        <w:trPr>
          <w:trHeight w:val="169"/>
        </w:trPr>
        <w:tc>
          <w:tcPr>
            <w:tcW w:w="2140" w:type="dxa"/>
            <w:vAlign w:val="bottom"/>
            <w:gridSpan w:val="2"/>
          </w:tcPr>
          <w:p>
            <w:pPr>
              <w:ind w:left="40"/>
              <w:spacing w:after="0"/>
              <w:rPr>
                <w:sz w:val="20"/>
                <w:szCs w:val="20"/>
                <w:color w:val="auto"/>
              </w:rPr>
            </w:pPr>
            <w:r>
              <w:rPr>
                <w:rFonts w:ascii="Arial" w:cs="Arial" w:eastAsia="Arial" w:hAnsi="Arial"/>
                <w:sz w:val="14"/>
                <w:szCs w:val="14"/>
                <w:color w:val="auto"/>
              </w:rPr>
              <w:t>acquisition of a business</w:t>
            </w:r>
          </w:p>
        </w:tc>
        <w:tc>
          <w:tcPr>
            <w:tcW w:w="66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2140" w:type="dxa"/>
            <w:vAlign w:val="bottom"/>
            <w:gridSpan w:val="2"/>
            <w:shd w:val="clear" w:color="auto" w:fill="CCEEFF"/>
          </w:tcPr>
          <w:p>
            <w:pPr>
              <w:ind w:left="40"/>
              <w:spacing w:after="0" w:line="151" w:lineRule="exact"/>
              <w:rPr>
                <w:sz w:val="20"/>
                <w:szCs w:val="20"/>
                <w:color w:val="auto"/>
              </w:rPr>
            </w:pPr>
            <w:r>
              <w:rPr>
                <w:rFonts w:ascii="Arial" w:cs="Arial" w:eastAsia="Arial" w:hAnsi="Arial"/>
                <w:sz w:val="14"/>
                <w:szCs w:val="14"/>
                <w:color w:val="auto"/>
              </w:rPr>
              <w:t>Purchases of common stock</w:t>
            </w:r>
          </w:p>
        </w:tc>
        <w:tc>
          <w:tcPr>
            <w:tcW w:w="6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3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2140" w:type="dxa"/>
            <w:vAlign w:val="bottom"/>
            <w:gridSpan w:val="2"/>
            <w:shd w:val="clear" w:color="auto" w:fill="CCEEFF"/>
          </w:tcPr>
          <w:p>
            <w:pPr>
              <w:ind w:left="40"/>
              <w:spacing w:after="0" w:line="133" w:lineRule="exact"/>
              <w:rPr>
                <w:sz w:val="20"/>
                <w:szCs w:val="20"/>
                <w:color w:val="auto"/>
              </w:rPr>
            </w:pPr>
            <w:r>
              <w:rPr>
                <w:rFonts w:ascii="Arial" w:cs="Arial" w:eastAsia="Arial" w:hAnsi="Arial"/>
                <w:sz w:val="14"/>
                <w:szCs w:val="14"/>
                <w:color w:val="auto"/>
              </w:rPr>
              <w:t>tendered by employees to</w:t>
            </w:r>
          </w:p>
        </w:tc>
        <w:tc>
          <w:tcPr>
            <w:tcW w:w="6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140" w:type="dxa"/>
            <w:vAlign w:val="bottom"/>
            <w:gridSpan w:val="2"/>
            <w:shd w:val="clear" w:color="auto" w:fill="CCEEFF"/>
          </w:tcPr>
          <w:p>
            <w:pPr>
              <w:ind w:left="40"/>
              <w:spacing w:after="0" w:line="133" w:lineRule="exact"/>
              <w:rPr>
                <w:sz w:val="20"/>
                <w:szCs w:val="20"/>
                <w:color w:val="auto"/>
              </w:rPr>
            </w:pPr>
            <w:r>
              <w:rPr>
                <w:rFonts w:ascii="Arial" w:cs="Arial" w:eastAsia="Arial" w:hAnsi="Arial"/>
                <w:sz w:val="14"/>
                <w:szCs w:val="14"/>
                <w:color w:val="auto"/>
              </w:rPr>
              <w:t>satisfy the required withholding</w:t>
            </w:r>
          </w:p>
        </w:tc>
        <w:tc>
          <w:tcPr>
            <w:tcW w:w="6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3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14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140" w:type="dxa"/>
            <w:vAlign w:val="bottom"/>
            <w:gridSpan w:val="2"/>
            <w:shd w:val="clear" w:color="auto" w:fill="CCEEFF"/>
          </w:tcPr>
          <w:p>
            <w:pPr>
              <w:ind w:left="40"/>
              <w:spacing w:after="0" w:line="133" w:lineRule="exact"/>
              <w:rPr>
                <w:sz w:val="20"/>
                <w:szCs w:val="20"/>
                <w:color w:val="auto"/>
              </w:rPr>
            </w:pPr>
            <w:r>
              <w:rPr>
                <w:rFonts w:ascii="Arial" w:cs="Arial" w:eastAsia="Arial" w:hAnsi="Arial"/>
                <w:sz w:val="14"/>
                <w:szCs w:val="14"/>
                <w:color w:val="auto"/>
              </w:rPr>
              <w:t>taxes related to share-based</w:t>
            </w:r>
          </w:p>
        </w:tc>
        <w:tc>
          <w:tcPr>
            <w:tcW w:w="76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3"/>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40" w:type="dxa"/>
            <w:vAlign w:val="bottom"/>
            <w:gridSpan w:val="3"/>
            <w:vMerge w:val="restart"/>
            <w:shd w:val="clear" w:color="auto" w:fill="CCEEFF"/>
          </w:tcPr>
          <w:p>
            <w:pPr>
              <w:ind w:left="11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1"/>
                <w:szCs w:val="11"/>
                <w:color w:val="auto"/>
              </w:rPr>
            </w:pP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320" w:type="dxa"/>
            <w:vAlign w:val="bottom"/>
            <w:gridSpan w:val="3"/>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0" w:type="dxa"/>
            <w:vAlign w:val="bottom"/>
          </w:tcPr>
          <w:p>
            <w:pPr>
              <w:spacing w:after="0"/>
              <w:rPr>
                <w:sz w:val="1"/>
                <w:szCs w:val="1"/>
                <w:color w:val="auto"/>
              </w:rPr>
            </w:pPr>
          </w:p>
        </w:tc>
      </w:tr>
      <w:tr>
        <w:trPr>
          <w:trHeight w:val="169"/>
        </w:trPr>
        <w:tc>
          <w:tcPr>
            <w:tcW w:w="21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payment awards</w:t>
            </w:r>
          </w:p>
        </w:tc>
        <w:tc>
          <w:tcPr>
            <w:tcW w:w="760" w:type="dxa"/>
            <w:vAlign w:val="bottom"/>
            <w:gridSpan w:val="3"/>
            <w:vMerge w:val="continue"/>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60" w:type="dxa"/>
            <w:vAlign w:val="bottom"/>
            <w:gridSpan w:val="3"/>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80" w:type="dxa"/>
            <w:vAlign w:val="bottom"/>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40" w:type="dxa"/>
            <w:vAlign w:val="bottom"/>
            <w:gridSpan w:val="3"/>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1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20" w:type="dxa"/>
            <w:vAlign w:val="bottom"/>
            <w:gridSpan w:val="3"/>
            <w:vMerge w:val="continue"/>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2140" w:type="dxa"/>
            <w:vAlign w:val="bottom"/>
            <w:gridSpan w:val="2"/>
          </w:tcPr>
          <w:p>
            <w:pPr>
              <w:ind w:left="40"/>
              <w:spacing w:after="0"/>
              <w:rPr>
                <w:sz w:val="20"/>
                <w:szCs w:val="20"/>
                <w:color w:val="auto"/>
              </w:rPr>
            </w:pPr>
            <w:r>
              <w:rPr>
                <w:rFonts w:ascii="Arial" w:cs="Arial" w:eastAsia="Arial" w:hAnsi="Arial"/>
                <w:sz w:val="14"/>
                <w:szCs w:val="14"/>
                <w:color w:val="auto"/>
              </w:rPr>
              <w:t>Purchases of common stock</w:t>
            </w:r>
          </w:p>
        </w:tc>
        <w:tc>
          <w:tcPr>
            <w:tcW w:w="660" w:type="dxa"/>
            <w:vAlign w:val="bottom"/>
          </w:tcPr>
          <w:p>
            <w:pPr>
              <w:jc w:val="right"/>
              <w:spacing w:after="0"/>
              <w:rPr>
                <w:sz w:val="20"/>
                <w:szCs w:val="20"/>
                <w:color w:val="auto"/>
              </w:rPr>
            </w:pPr>
            <w:r>
              <w:rPr>
                <w:rFonts w:ascii="Arial" w:cs="Arial" w:eastAsia="Arial" w:hAnsi="Arial"/>
                <w:sz w:val="14"/>
                <w:szCs w:val="14"/>
                <w:color w:val="auto"/>
              </w:rPr>
              <w:t>(0.5)</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(13.7)</w:t>
            </w: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gridSpan w:val="3"/>
          </w:tcPr>
          <w:p>
            <w:pPr>
              <w:jc w:val="right"/>
              <w:ind w:right="16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40" w:type="dxa"/>
            <w:vAlign w:val="bottom"/>
            <w:gridSpan w:val="3"/>
          </w:tcPr>
          <w:p>
            <w:pPr>
              <w:ind w:left="11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(13.7)</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gridSpan w:val="3"/>
          </w:tcPr>
          <w:p>
            <w:pPr>
              <w:jc w:val="right"/>
              <w:ind w:right="18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(13.7)</w:t>
            </w:r>
          </w:p>
        </w:tc>
        <w:tc>
          <w:tcPr>
            <w:tcW w:w="0" w:type="dxa"/>
            <w:vAlign w:val="bottom"/>
          </w:tcPr>
          <w:p>
            <w:pPr>
              <w:spacing w:after="0"/>
              <w:rPr>
                <w:sz w:val="1"/>
                <w:szCs w:val="1"/>
                <w:color w:val="auto"/>
              </w:rPr>
            </w:pPr>
          </w:p>
        </w:tc>
      </w:tr>
      <w:tr>
        <w:trPr>
          <w:trHeight w:val="151"/>
        </w:trPr>
        <w:tc>
          <w:tcPr>
            <w:tcW w:w="2140" w:type="dxa"/>
            <w:vAlign w:val="bottom"/>
            <w:gridSpan w:val="2"/>
            <w:shd w:val="clear" w:color="auto" w:fill="CCEEFF"/>
          </w:tcPr>
          <w:p>
            <w:pPr>
              <w:ind w:left="40"/>
              <w:spacing w:after="0" w:line="151" w:lineRule="exact"/>
              <w:rPr>
                <w:sz w:val="20"/>
                <w:szCs w:val="20"/>
                <w:color w:val="auto"/>
              </w:rPr>
            </w:pPr>
            <w:r>
              <w:rPr>
                <w:rFonts w:ascii="Arial" w:cs="Arial" w:eastAsia="Arial" w:hAnsi="Arial"/>
                <w:sz w:val="14"/>
                <w:szCs w:val="14"/>
                <w:color w:val="auto"/>
              </w:rPr>
              <w:t>Other comprehensive income</w:t>
            </w:r>
          </w:p>
        </w:tc>
        <w:tc>
          <w:tcPr>
            <w:tcW w:w="66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100" w:type="dxa"/>
            <w:vAlign w:val="bottom"/>
            <w:gridSpan w:val="2"/>
            <w:vMerge w:val="restart"/>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gridSpan w:val="2"/>
            <w:vMerge w:val="restart"/>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100" w:type="dxa"/>
            <w:vAlign w:val="bottom"/>
            <w:gridSpan w:val="2"/>
            <w:vMerge w:val="restart"/>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 w:type="dxa"/>
            <w:vAlign w:val="bottom"/>
            <w:gridSpan w:val="2"/>
            <w:vMerge w:val="restart"/>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(28.7)</w:t>
            </w: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(28.7)</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20" w:type="dxa"/>
            <w:vAlign w:val="bottom"/>
            <w:gridSpan w:val="2"/>
            <w:vMerge w:val="restart"/>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(28.7)</w:t>
            </w:r>
          </w:p>
        </w:tc>
        <w:tc>
          <w:tcPr>
            <w:tcW w:w="0" w:type="dxa"/>
            <w:vAlign w:val="bottom"/>
          </w:tcPr>
          <w:p>
            <w:pPr>
              <w:spacing w:after="0"/>
              <w:rPr>
                <w:sz w:val="1"/>
                <w:szCs w:val="1"/>
                <w:color w:val="auto"/>
              </w:rPr>
            </w:pPr>
          </w:p>
        </w:tc>
      </w:tr>
      <w:tr>
        <w:trPr>
          <w:trHeight w:val="169"/>
        </w:trPr>
        <w:tc>
          <w:tcPr>
            <w:tcW w:w="2060" w:type="dxa"/>
            <w:vAlign w:val="bottom"/>
            <w:shd w:val="clear" w:color="auto" w:fill="CCEEFF"/>
          </w:tcPr>
          <w:p>
            <w:pPr>
              <w:ind w:left="40"/>
              <w:spacing w:after="0"/>
              <w:rPr>
                <w:sz w:val="20"/>
                <w:szCs w:val="20"/>
                <w:color w:val="auto"/>
              </w:rPr>
            </w:pPr>
            <w:r>
              <w:rPr>
                <w:rFonts w:ascii="Arial" w:cs="Arial" w:eastAsia="Arial" w:hAnsi="Arial"/>
                <w:sz w:val="14"/>
                <w:szCs w:val="14"/>
                <w:color w:val="auto"/>
              </w:rPr>
              <w:t>(loss)</w:t>
            </w:r>
          </w:p>
        </w:tc>
        <w:tc>
          <w:tcPr>
            <w:tcW w:w="80" w:type="dxa"/>
            <w:vAlign w:val="bottom"/>
            <w:tcBorders>
              <w:bottom w:val="single" w:sz="8" w:color="auto"/>
            </w:tcBorders>
            <w:shd w:val="clear" w:color="auto" w:fill="CCEEFF"/>
          </w:tcPr>
          <w:p>
            <w:pPr>
              <w:spacing w:after="0"/>
              <w:rPr>
                <w:sz w:val="14"/>
                <w:szCs w:val="14"/>
                <w:color w:val="auto"/>
              </w:rPr>
            </w:pPr>
          </w:p>
        </w:tc>
        <w:tc>
          <w:tcPr>
            <w:tcW w:w="66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gridSpan w:val="2"/>
            <w:vMerge w:val="continue"/>
            <w:shd w:val="clear" w:color="auto" w:fill="CCEEFF"/>
          </w:tcPr>
          <w:p>
            <w:pPr>
              <w:spacing w:after="0"/>
              <w:rPr>
                <w:sz w:val="14"/>
                <w:szCs w:val="14"/>
                <w:color w:val="auto"/>
              </w:rPr>
            </w:pPr>
          </w:p>
        </w:tc>
        <w:tc>
          <w:tcPr>
            <w:tcW w:w="60" w:type="dxa"/>
            <w:vAlign w:val="bottom"/>
            <w:tcBorders>
              <w:bottom w:val="single" w:sz="8" w:color="auto"/>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640" w:type="dxa"/>
            <w:vAlign w:val="bottom"/>
            <w:tcBorders>
              <w:bottom w:val="single" w:sz="8" w:color="auto"/>
            </w:tcBorders>
            <w:vMerge w:val="continue"/>
            <w:shd w:val="clear" w:color="auto" w:fill="CCEEFF"/>
          </w:tcPr>
          <w:p>
            <w:pPr>
              <w:spacing w:after="0"/>
              <w:rPr>
                <w:sz w:val="14"/>
                <w:szCs w:val="14"/>
                <w:color w:val="auto"/>
              </w:rPr>
            </w:pPr>
          </w:p>
        </w:tc>
        <w:tc>
          <w:tcPr>
            <w:tcW w:w="120" w:type="dxa"/>
            <w:vAlign w:val="bottom"/>
            <w:gridSpan w:val="2"/>
            <w:vMerge w:val="continue"/>
            <w:shd w:val="clear" w:color="auto" w:fill="CCEEFF"/>
          </w:tcPr>
          <w:p>
            <w:pPr>
              <w:spacing w:after="0"/>
              <w:rPr>
                <w:sz w:val="14"/>
                <w:szCs w:val="14"/>
                <w:color w:val="auto"/>
              </w:rPr>
            </w:pPr>
          </w:p>
        </w:tc>
        <w:tc>
          <w:tcPr>
            <w:tcW w:w="40" w:type="dxa"/>
            <w:vAlign w:val="bottom"/>
            <w:tcBorders>
              <w:bottom w:val="single" w:sz="8" w:color="auto"/>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78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gridSpan w:val="2"/>
            <w:vMerge w:val="continue"/>
            <w:shd w:val="clear" w:color="auto" w:fill="CCEEFF"/>
          </w:tcPr>
          <w:p>
            <w:pPr>
              <w:spacing w:after="0"/>
              <w:rPr>
                <w:sz w:val="14"/>
                <w:szCs w:val="14"/>
                <w:color w:val="auto"/>
              </w:rPr>
            </w:pPr>
          </w:p>
        </w:tc>
        <w:tc>
          <w:tcPr>
            <w:tcW w:w="60" w:type="dxa"/>
            <w:vAlign w:val="bottom"/>
            <w:tcBorders>
              <w:bottom w:val="single" w:sz="8" w:color="auto"/>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gridSpan w:val="2"/>
            <w:vMerge w:val="continue"/>
            <w:shd w:val="clear" w:color="auto" w:fill="CCEEFF"/>
          </w:tcPr>
          <w:p>
            <w:pPr>
              <w:spacing w:after="0"/>
              <w:rPr>
                <w:sz w:val="14"/>
                <w:szCs w:val="14"/>
                <w:color w:val="auto"/>
              </w:rPr>
            </w:pPr>
          </w:p>
        </w:tc>
        <w:tc>
          <w:tcPr>
            <w:tcW w:w="40" w:type="dxa"/>
            <w:vAlign w:val="bottom"/>
            <w:tcBorders>
              <w:bottom w:val="single" w:sz="8" w:color="auto"/>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132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1140" w:type="dxa"/>
            <w:vAlign w:val="bottom"/>
            <w:tcBorders>
              <w:bottom w:val="single" w:sz="8" w:color="auto"/>
            </w:tcBorders>
            <w:vMerge w:val="continue"/>
            <w:shd w:val="clear" w:color="auto" w:fill="CCEEFF"/>
          </w:tcPr>
          <w:p>
            <w:pPr>
              <w:spacing w:after="0"/>
              <w:rPr>
                <w:sz w:val="14"/>
                <w:szCs w:val="14"/>
                <w:color w:val="auto"/>
              </w:rPr>
            </w:pPr>
          </w:p>
        </w:tc>
        <w:tc>
          <w:tcPr>
            <w:tcW w:w="20" w:type="dxa"/>
            <w:vAlign w:val="bottom"/>
            <w:tcBorders>
              <w:bottom w:val="single" w:sz="8" w:color="auto"/>
            </w:tcBorders>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tcBorders>
              <w:bottom w:val="single" w:sz="8" w:color="auto"/>
            </w:tcBorders>
            <w:shd w:val="clear" w:color="auto" w:fill="CCEEFF"/>
          </w:tcPr>
          <w:p>
            <w:pPr>
              <w:spacing w:after="0"/>
              <w:rPr>
                <w:sz w:val="14"/>
                <w:szCs w:val="14"/>
                <w:color w:val="auto"/>
              </w:rPr>
            </w:pPr>
          </w:p>
        </w:tc>
        <w:tc>
          <w:tcPr>
            <w:tcW w:w="1200" w:type="dxa"/>
            <w:vAlign w:val="bottom"/>
            <w:tcBorders>
              <w:bottom w:val="single" w:sz="8" w:color="auto"/>
            </w:tcBorders>
            <w:vMerge w:val="continue"/>
            <w:shd w:val="clear" w:color="auto" w:fill="CCEEFF"/>
          </w:tcPr>
          <w:p>
            <w:pPr>
              <w:spacing w:after="0"/>
              <w:rPr>
                <w:sz w:val="14"/>
                <w:szCs w:val="14"/>
                <w:color w:val="auto"/>
              </w:rPr>
            </w:pPr>
          </w:p>
        </w:tc>
        <w:tc>
          <w:tcPr>
            <w:tcW w:w="120" w:type="dxa"/>
            <w:vAlign w:val="bottom"/>
            <w:gridSpan w:val="2"/>
            <w:vMerge w:val="continue"/>
            <w:shd w:val="clear" w:color="auto" w:fill="CCEEFF"/>
          </w:tcPr>
          <w:p>
            <w:pPr>
              <w:spacing w:after="0"/>
              <w:rPr>
                <w:sz w:val="14"/>
                <w:szCs w:val="14"/>
                <w:color w:val="auto"/>
              </w:rPr>
            </w:pPr>
          </w:p>
        </w:tc>
        <w:tc>
          <w:tcPr>
            <w:tcW w:w="240" w:type="dxa"/>
            <w:vAlign w:val="bottom"/>
            <w:tcBorders>
              <w:bottom w:val="single" w:sz="8" w:color="auto"/>
            </w:tcBorders>
            <w:shd w:val="clear" w:color="auto" w:fill="CCEEFF"/>
          </w:tcPr>
          <w:p>
            <w:pPr>
              <w:spacing w:after="0"/>
              <w:rPr>
                <w:sz w:val="14"/>
                <w:szCs w:val="14"/>
                <w:color w:val="auto"/>
              </w:rPr>
            </w:pPr>
          </w:p>
        </w:tc>
        <w:tc>
          <w:tcPr>
            <w:tcW w:w="660" w:type="dxa"/>
            <w:vAlign w:val="bottom"/>
            <w:tcBorders>
              <w:bottom w:val="single" w:sz="8" w:color="auto"/>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0"/>
        </w:trPr>
        <w:tc>
          <w:tcPr>
            <w:tcW w:w="2140" w:type="dxa"/>
            <w:vAlign w:val="bottom"/>
            <w:gridSpan w:val="2"/>
          </w:tcPr>
          <w:p>
            <w:pPr>
              <w:ind w:left="20"/>
              <w:spacing w:after="0"/>
              <w:rPr>
                <w:sz w:val="20"/>
                <w:szCs w:val="20"/>
                <w:color w:val="auto"/>
              </w:rPr>
            </w:pPr>
            <w:r>
              <w:rPr>
                <w:rFonts w:ascii="Arial" w:cs="Arial" w:eastAsia="Arial" w:hAnsi="Arial"/>
                <w:sz w:val="14"/>
                <w:szCs w:val="14"/>
                <w:color w:val="auto"/>
              </w:rPr>
              <w:t>Balance as of March 31, 2022</w:t>
            </w:r>
          </w:p>
        </w:tc>
        <w:tc>
          <w:tcPr>
            <w:tcW w:w="660" w:type="dxa"/>
            <w:vAlign w:val="bottom"/>
          </w:tcPr>
          <w:p>
            <w:pPr>
              <w:jc w:val="right"/>
              <w:ind w:right="9"/>
              <w:spacing w:after="0"/>
              <w:rPr>
                <w:sz w:val="20"/>
                <w:szCs w:val="20"/>
                <w:color w:val="auto"/>
              </w:rPr>
            </w:pPr>
            <w:r>
              <w:rPr>
                <w:rFonts w:ascii="Arial" w:cs="Arial" w:eastAsia="Arial" w:hAnsi="Arial"/>
                <w:sz w:val="14"/>
                <w:szCs w:val="14"/>
                <w:color w:val="auto"/>
              </w:rPr>
              <w:t>63.0</w:t>
            </w: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gridSpan w:val="2"/>
          </w:tcPr>
          <w:p>
            <w:pPr>
              <w:jc w:val="center"/>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rPr>
              <w:t>0.6</w:t>
            </w: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9"/>
              <w:spacing w:after="0"/>
              <w:rPr>
                <w:sz w:val="20"/>
                <w:szCs w:val="20"/>
                <w:color w:val="auto"/>
              </w:rPr>
            </w:pPr>
            <w:r>
              <w:rPr>
                <w:rFonts w:ascii="Arial" w:cs="Arial" w:eastAsia="Arial" w:hAnsi="Arial"/>
                <w:sz w:val="14"/>
                <w:szCs w:val="14"/>
                <w:color w:val="auto"/>
              </w:rPr>
              <w:t>206.7</w:t>
            </w: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1,899.4</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60" w:type="dxa"/>
            <w:vAlign w:val="bottom"/>
            <w:gridSpan w:val="2"/>
          </w:tcPr>
          <w:p>
            <w:pPr>
              <w:jc w:val="right"/>
              <w:ind w:right="60"/>
              <w:spacing w:after="0"/>
              <w:rPr>
                <w:sz w:val="20"/>
                <w:szCs w:val="20"/>
                <w:color w:val="auto"/>
              </w:rPr>
            </w:pPr>
            <w:r>
              <w:rPr>
                <w:rFonts w:ascii="Arial" w:cs="Arial" w:eastAsia="Arial" w:hAnsi="Arial"/>
                <w:sz w:val="14"/>
                <w:szCs w:val="14"/>
                <w:color w:val="auto"/>
              </w:rPr>
              <w:t>$</w:t>
            </w:r>
          </w:p>
        </w:tc>
        <w:tc>
          <w:tcPr>
            <w:tcW w:w="1320" w:type="dxa"/>
            <w:vAlign w:val="bottom"/>
          </w:tcPr>
          <w:p>
            <w:pPr>
              <w:jc w:val="right"/>
              <w:spacing w:after="0"/>
              <w:rPr>
                <w:sz w:val="20"/>
                <w:szCs w:val="20"/>
                <w:color w:val="auto"/>
              </w:rPr>
            </w:pPr>
            <w:r>
              <w:rPr>
                <w:rFonts w:ascii="Arial" w:cs="Arial" w:eastAsia="Arial" w:hAnsi="Arial"/>
                <w:sz w:val="14"/>
                <w:szCs w:val="14"/>
                <w:color w:val="auto"/>
              </w:rPr>
              <w:t>(165.4)</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tcPr>
          <w:p>
            <w:pPr>
              <w:jc w:val="right"/>
              <w:spacing w:after="0"/>
              <w:rPr>
                <w:sz w:val="20"/>
                <w:szCs w:val="20"/>
                <w:color w:val="auto"/>
              </w:rPr>
            </w:pPr>
            <w:r>
              <w:rPr>
                <w:rFonts w:ascii="Arial" w:cs="Arial" w:eastAsia="Arial" w:hAnsi="Arial"/>
                <w:sz w:val="14"/>
                <w:szCs w:val="14"/>
                <w:color w:val="auto"/>
              </w:rPr>
              <w:t>1,941.4</w:t>
            </w: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200" w:type="dxa"/>
            <w:vAlign w:val="bottom"/>
          </w:tcPr>
          <w:p>
            <w:pPr>
              <w:jc w:val="right"/>
              <w:spacing w:after="0"/>
              <w:rPr>
                <w:sz w:val="20"/>
                <w:szCs w:val="20"/>
                <w:color w:val="auto"/>
              </w:rPr>
            </w:pPr>
            <w:r>
              <w:rPr>
                <w:rFonts w:ascii="Arial" w:cs="Arial" w:eastAsia="Arial" w:hAnsi="Arial"/>
                <w:sz w:val="14"/>
                <w:szCs w:val="14"/>
                <w:color w:val="auto"/>
              </w:rPr>
              <w:t>4.1</w:t>
            </w: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jc w:val="right"/>
              <w:ind w:right="69"/>
              <w:spacing w:after="0"/>
              <w:rPr>
                <w:sz w:val="20"/>
                <w:szCs w:val="20"/>
                <w:color w:val="auto"/>
              </w:rPr>
            </w:pPr>
            <w:r>
              <w:rPr>
                <w:rFonts w:ascii="Arial" w:cs="Arial" w:eastAsia="Arial" w:hAnsi="Arial"/>
                <w:sz w:val="14"/>
                <w:szCs w:val="14"/>
                <w:color w:val="auto"/>
              </w:rPr>
              <w:t>$</w:t>
            </w:r>
          </w:p>
        </w:tc>
        <w:tc>
          <w:tcPr>
            <w:tcW w:w="660" w:type="dxa"/>
            <w:vAlign w:val="bottom"/>
          </w:tcPr>
          <w:p>
            <w:pPr>
              <w:jc w:val="right"/>
              <w:spacing w:after="0"/>
              <w:rPr>
                <w:sz w:val="20"/>
                <w:szCs w:val="20"/>
                <w:color w:val="auto"/>
              </w:rPr>
            </w:pPr>
            <w:r>
              <w:rPr>
                <w:rFonts w:ascii="Arial" w:cs="Arial" w:eastAsia="Arial" w:hAnsi="Arial"/>
                <w:sz w:val="14"/>
                <w:szCs w:val="14"/>
                <w:color w:val="auto"/>
              </w:rPr>
              <w:t>1,945.5</w:t>
            </w:r>
          </w:p>
        </w:tc>
        <w:tc>
          <w:tcPr>
            <w:tcW w:w="0" w:type="dxa"/>
            <w:vAlign w:val="bottom"/>
          </w:tcPr>
          <w:p>
            <w:pPr>
              <w:spacing w:after="0"/>
              <w:rPr>
                <w:sz w:val="1"/>
                <w:szCs w:val="1"/>
                <w:color w:val="auto"/>
              </w:rPr>
            </w:pPr>
          </w:p>
        </w:tc>
      </w:tr>
      <w:tr>
        <w:trPr>
          <w:trHeight w:val="20"/>
        </w:trPr>
        <w:tc>
          <w:tcPr>
            <w:tcW w:w="20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94"/>
        </w:trPr>
        <w:tc>
          <w:tcPr>
            <w:tcW w:w="2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700" w:type="dxa"/>
            <w:vAlign w:val="bottom"/>
            <w:gridSpan w:val="8"/>
            <w:vMerge w:val="restart"/>
          </w:tcPr>
          <w:p>
            <w:pPr>
              <w:jc w:val="center"/>
              <w:ind w:right="60"/>
              <w:spacing w:after="0"/>
              <w:rPr>
                <w:sz w:val="20"/>
                <w:szCs w:val="20"/>
                <w:color w:val="auto"/>
              </w:rPr>
            </w:pPr>
            <w:r>
              <w:rPr>
                <w:rFonts w:ascii="Arial" w:cs="Arial" w:eastAsia="Arial" w:hAnsi="Arial"/>
                <w:sz w:val="14"/>
                <w:szCs w:val="14"/>
                <w:b w:val="1"/>
                <w:bCs w:val="1"/>
                <w:color w:val="auto"/>
              </w:rPr>
              <w:t>Common Stock</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Capital in</w:t>
            </w: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40" w:type="dxa"/>
            <w:vAlign w:val="bottom"/>
            <w:gridSpan w:val="3"/>
          </w:tcPr>
          <w:p>
            <w:pPr>
              <w:jc w:val="center"/>
              <w:ind w:right="260"/>
              <w:spacing w:after="0"/>
              <w:rPr>
                <w:sz w:val="20"/>
                <w:szCs w:val="20"/>
                <w:color w:val="auto"/>
              </w:rPr>
            </w:pPr>
            <w:r>
              <w:rPr>
                <w:rFonts w:ascii="Arial" w:cs="Arial" w:eastAsia="Arial" w:hAnsi="Arial"/>
                <w:sz w:val="14"/>
                <w:szCs w:val="14"/>
                <w:b w:val="1"/>
                <w:bCs w:val="1"/>
                <w:color w:val="auto"/>
              </w:rPr>
              <w:t>Accumulated</w:t>
            </w:r>
          </w:p>
        </w:tc>
        <w:tc>
          <w:tcPr>
            <w:tcW w:w="120" w:type="dxa"/>
            <w:vAlign w:val="bottom"/>
          </w:tcPr>
          <w:p>
            <w:pPr>
              <w:spacing w:after="0"/>
              <w:rPr>
                <w:sz w:val="24"/>
                <w:szCs w:val="24"/>
                <w:color w:val="auto"/>
              </w:rPr>
            </w:pPr>
          </w:p>
        </w:tc>
        <w:tc>
          <w:tcPr>
            <w:tcW w:w="1260" w:type="dxa"/>
            <w:vAlign w:val="bottom"/>
            <w:gridSpan w:val="4"/>
          </w:tcPr>
          <w:p>
            <w:pPr>
              <w:jc w:val="center"/>
              <w:ind w:right="260"/>
              <w:spacing w:after="0"/>
              <w:rPr>
                <w:sz w:val="20"/>
                <w:szCs w:val="20"/>
                <w:color w:val="auto"/>
              </w:rPr>
            </w:pPr>
            <w:r>
              <w:rPr>
                <w:rFonts w:ascii="Arial" w:cs="Arial" w:eastAsia="Arial" w:hAnsi="Arial"/>
                <w:sz w:val="14"/>
                <w:szCs w:val="14"/>
                <w:b w:val="1"/>
                <w:bCs w:val="1"/>
                <w:color w:val="auto"/>
                <w:w w:val="95"/>
              </w:rPr>
              <w:t>Total</w:t>
            </w:r>
          </w:p>
        </w:tc>
        <w:tc>
          <w:tcPr>
            <w:tcW w:w="140" w:type="dxa"/>
            <w:vAlign w:val="bottom"/>
          </w:tcPr>
          <w:p>
            <w:pPr>
              <w:spacing w:after="0"/>
              <w:rPr>
                <w:sz w:val="24"/>
                <w:szCs w:val="24"/>
                <w:color w:val="auto"/>
              </w:rPr>
            </w:pPr>
          </w:p>
        </w:tc>
        <w:tc>
          <w:tcPr>
            <w:tcW w:w="1320" w:type="dxa"/>
            <w:vAlign w:val="bottom"/>
            <w:gridSpan w:val="3"/>
            <w:vMerge w:val="restart"/>
          </w:tcPr>
          <w:p>
            <w:pPr>
              <w:jc w:val="center"/>
              <w:ind w:right="260"/>
              <w:spacing w:after="0"/>
              <w:rPr>
                <w:sz w:val="20"/>
                <w:szCs w:val="20"/>
                <w:color w:val="auto"/>
              </w:rPr>
            </w:pPr>
            <w:r>
              <w:rPr>
                <w:rFonts w:ascii="Arial" w:cs="Arial" w:eastAsia="Arial" w:hAnsi="Arial"/>
                <w:sz w:val="14"/>
                <w:szCs w:val="14"/>
                <w:b w:val="1"/>
                <w:bCs w:val="1"/>
                <w:color w:val="auto"/>
              </w:rPr>
              <w:t>Noncontrolling</w:t>
            </w: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7"/>
        </w:trPr>
        <w:tc>
          <w:tcPr>
            <w:tcW w:w="2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700" w:type="dxa"/>
            <w:vAlign w:val="bottom"/>
            <w:gridSpan w:val="8"/>
            <w:vMerge w:val="continue"/>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3"/>
            <w:vMerge w:val="continue"/>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gridSpan w:val="3"/>
          </w:tcPr>
          <w:p>
            <w:pPr>
              <w:jc w:val="center"/>
              <w:ind w:right="260"/>
              <w:spacing w:after="0" w:line="147" w:lineRule="exact"/>
              <w:rPr>
                <w:sz w:val="20"/>
                <w:szCs w:val="20"/>
                <w:color w:val="auto"/>
              </w:rPr>
            </w:pPr>
            <w:r>
              <w:rPr>
                <w:rFonts w:ascii="Arial" w:cs="Arial" w:eastAsia="Arial" w:hAnsi="Arial"/>
                <w:sz w:val="14"/>
                <w:szCs w:val="14"/>
                <w:b w:val="1"/>
                <w:bCs w:val="1"/>
                <w:color w:val="auto"/>
              </w:rPr>
              <w:t>Other</w:t>
            </w:r>
          </w:p>
        </w:tc>
        <w:tc>
          <w:tcPr>
            <w:tcW w:w="120" w:type="dxa"/>
            <w:vAlign w:val="bottom"/>
          </w:tcPr>
          <w:p>
            <w:pPr>
              <w:spacing w:after="0"/>
              <w:rPr>
                <w:sz w:val="12"/>
                <w:szCs w:val="12"/>
                <w:color w:val="auto"/>
              </w:rPr>
            </w:pPr>
          </w:p>
        </w:tc>
        <w:tc>
          <w:tcPr>
            <w:tcW w:w="1260" w:type="dxa"/>
            <w:vAlign w:val="bottom"/>
            <w:gridSpan w:val="4"/>
          </w:tcPr>
          <w:p>
            <w:pPr>
              <w:jc w:val="center"/>
              <w:ind w:right="260"/>
              <w:spacing w:after="0" w:line="147" w:lineRule="exact"/>
              <w:rPr>
                <w:sz w:val="20"/>
                <w:szCs w:val="20"/>
                <w:color w:val="auto"/>
              </w:rPr>
            </w:pPr>
            <w:r>
              <w:rPr>
                <w:rFonts w:ascii="Arial" w:cs="Arial" w:eastAsia="Arial" w:hAnsi="Arial"/>
                <w:sz w:val="14"/>
                <w:szCs w:val="14"/>
                <w:b w:val="1"/>
                <w:bCs w:val="1"/>
                <w:color w:val="auto"/>
                <w:w w:val="99"/>
              </w:rPr>
              <w:t>World Fuel</w:t>
            </w:r>
          </w:p>
        </w:tc>
        <w:tc>
          <w:tcPr>
            <w:tcW w:w="140" w:type="dxa"/>
            <w:vAlign w:val="bottom"/>
          </w:tcPr>
          <w:p>
            <w:pPr>
              <w:spacing w:after="0"/>
              <w:rPr>
                <w:sz w:val="12"/>
                <w:szCs w:val="12"/>
                <w:color w:val="auto"/>
              </w:rPr>
            </w:pPr>
          </w:p>
        </w:tc>
        <w:tc>
          <w:tcPr>
            <w:tcW w:w="1320" w:type="dxa"/>
            <w:vAlign w:val="bottom"/>
            <w:gridSpan w:val="3"/>
            <w:vMerge w:val="continue"/>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60" w:type="dxa"/>
            <w:vAlign w:val="bottom"/>
          </w:tcPr>
          <w:p>
            <w:pPr>
              <w:spacing w:after="0"/>
              <w:rPr>
                <w:sz w:val="3"/>
                <w:szCs w:val="3"/>
                <w:color w:val="auto"/>
              </w:rPr>
            </w:pPr>
          </w:p>
        </w:tc>
        <w:tc>
          <w:tcPr>
            <w:tcW w:w="80" w:type="dxa"/>
            <w:vAlign w:val="bottom"/>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80" w:type="dxa"/>
            <w:vAlign w:val="bottom"/>
            <w:gridSpan w:val="3"/>
            <w:vMerge w:val="restart"/>
          </w:tcPr>
          <w:p>
            <w:pPr>
              <w:ind w:left="20"/>
              <w:spacing w:after="0" w:line="120" w:lineRule="exact"/>
              <w:rPr>
                <w:sz w:val="20"/>
                <w:szCs w:val="20"/>
                <w:color w:val="auto"/>
              </w:rPr>
            </w:pPr>
            <w:r>
              <w:rPr>
                <w:rFonts w:ascii="Arial" w:cs="Arial" w:eastAsia="Arial" w:hAnsi="Arial"/>
                <w:sz w:val="13"/>
                <w:szCs w:val="13"/>
                <w:b w:val="1"/>
                <w:bCs w:val="1"/>
                <w:color w:val="auto"/>
              </w:rPr>
              <w:t>Excess of</w:t>
            </w: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860" w:type="dxa"/>
            <w:vAlign w:val="bottom"/>
            <w:gridSpan w:val="3"/>
            <w:vMerge w:val="restart"/>
          </w:tcPr>
          <w:p>
            <w:pPr>
              <w:ind w:left="40"/>
              <w:spacing w:after="0" w:line="120" w:lineRule="exact"/>
              <w:rPr>
                <w:sz w:val="20"/>
                <w:szCs w:val="20"/>
                <w:color w:val="auto"/>
              </w:rPr>
            </w:pPr>
            <w:r>
              <w:rPr>
                <w:rFonts w:ascii="Arial" w:cs="Arial" w:eastAsia="Arial" w:hAnsi="Arial"/>
                <w:sz w:val="13"/>
                <w:szCs w:val="13"/>
                <w:b w:val="1"/>
                <w:bCs w:val="1"/>
                <w:color w:val="auto"/>
              </w:rPr>
              <w:t>Retained</w:t>
            </w: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440" w:type="dxa"/>
            <w:vAlign w:val="bottom"/>
            <w:gridSpan w:val="3"/>
            <w:vMerge w:val="restart"/>
          </w:tcPr>
          <w:p>
            <w:pPr>
              <w:jc w:val="center"/>
              <w:ind w:right="260"/>
              <w:spacing w:after="0" w:line="120" w:lineRule="exact"/>
              <w:rPr>
                <w:sz w:val="20"/>
                <w:szCs w:val="20"/>
                <w:color w:val="auto"/>
              </w:rPr>
            </w:pPr>
            <w:r>
              <w:rPr>
                <w:rFonts w:ascii="Arial" w:cs="Arial" w:eastAsia="Arial" w:hAnsi="Arial"/>
                <w:sz w:val="13"/>
                <w:szCs w:val="13"/>
                <w:b w:val="1"/>
                <w:bCs w:val="1"/>
                <w:color w:val="auto"/>
              </w:rPr>
              <w:t>Comprehensive</w:t>
            </w:r>
          </w:p>
        </w:tc>
        <w:tc>
          <w:tcPr>
            <w:tcW w:w="120" w:type="dxa"/>
            <w:vAlign w:val="bottom"/>
          </w:tcPr>
          <w:p>
            <w:pPr>
              <w:spacing w:after="0"/>
              <w:rPr>
                <w:sz w:val="3"/>
                <w:szCs w:val="3"/>
                <w:color w:val="auto"/>
              </w:rPr>
            </w:pPr>
          </w:p>
        </w:tc>
        <w:tc>
          <w:tcPr>
            <w:tcW w:w="1260" w:type="dxa"/>
            <w:vAlign w:val="bottom"/>
            <w:gridSpan w:val="4"/>
            <w:vMerge w:val="restart"/>
          </w:tcPr>
          <w:p>
            <w:pPr>
              <w:jc w:val="center"/>
              <w:ind w:right="260"/>
              <w:spacing w:after="0" w:line="120" w:lineRule="exact"/>
              <w:rPr>
                <w:sz w:val="20"/>
                <w:szCs w:val="20"/>
                <w:color w:val="auto"/>
              </w:rPr>
            </w:pPr>
            <w:r>
              <w:rPr>
                <w:rFonts w:ascii="Arial" w:cs="Arial" w:eastAsia="Arial" w:hAnsi="Arial"/>
                <w:sz w:val="13"/>
                <w:szCs w:val="13"/>
                <w:b w:val="1"/>
                <w:bCs w:val="1"/>
                <w:color w:val="auto"/>
              </w:rPr>
              <w:t>Shareholders'</w:t>
            </w:r>
          </w:p>
        </w:tc>
        <w:tc>
          <w:tcPr>
            <w:tcW w:w="140" w:type="dxa"/>
            <w:vAlign w:val="bottom"/>
          </w:tcPr>
          <w:p>
            <w:pPr>
              <w:spacing w:after="0"/>
              <w:rPr>
                <w:sz w:val="3"/>
                <w:szCs w:val="3"/>
                <w:color w:val="auto"/>
              </w:rPr>
            </w:pPr>
          </w:p>
        </w:tc>
        <w:tc>
          <w:tcPr>
            <w:tcW w:w="1320" w:type="dxa"/>
            <w:vAlign w:val="bottom"/>
            <w:gridSpan w:val="3"/>
            <w:vMerge w:val="restart"/>
          </w:tcPr>
          <w:p>
            <w:pPr>
              <w:jc w:val="center"/>
              <w:ind w:right="280"/>
              <w:spacing w:after="0" w:line="120" w:lineRule="exact"/>
              <w:rPr>
                <w:sz w:val="20"/>
                <w:szCs w:val="20"/>
                <w:color w:val="auto"/>
              </w:rPr>
            </w:pPr>
            <w:r>
              <w:rPr>
                <w:rFonts w:ascii="Arial" w:cs="Arial" w:eastAsia="Arial" w:hAnsi="Arial"/>
                <w:sz w:val="13"/>
                <w:szCs w:val="13"/>
                <w:b w:val="1"/>
                <w:bCs w:val="1"/>
                <w:color w:val="auto"/>
              </w:rPr>
              <w:t>Interest</w:t>
            </w:r>
          </w:p>
        </w:tc>
        <w:tc>
          <w:tcPr>
            <w:tcW w:w="240" w:type="dxa"/>
            <w:vAlign w:val="bottom"/>
          </w:tcPr>
          <w:p>
            <w:pPr>
              <w:spacing w:after="0"/>
              <w:rPr>
                <w:sz w:val="3"/>
                <w:szCs w:val="3"/>
                <w:color w:val="auto"/>
              </w:rPr>
            </w:pPr>
          </w:p>
        </w:tc>
        <w:tc>
          <w:tcPr>
            <w:tcW w:w="6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0"/>
        </w:trPr>
        <w:tc>
          <w:tcPr>
            <w:tcW w:w="206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gridSpan w:val="2"/>
            <w:vMerge w:val="restart"/>
          </w:tcPr>
          <w:p>
            <w:pPr>
              <w:ind w:left="120"/>
              <w:spacing w:after="0"/>
              <w:rPr>
                <w:sz w:val="20"/>
                <w:szCs w:val="20"/>
                <w:color w:val="auto"/>
              </w:rPr>
            </w:pPr>
            <w:r>
              <w:rPr>
                <w:rFonts w:ascii="Arial" w:cs="Arial" w:eastAsia="Arial" w:hAnsi="Arial"/>
                <w:sz w:val="14"/>
                <w:szCs w:val="14"/>
                <w:b w:val="1"/>
                <w:bCs w:val="1"/>
                <w:color w:val="auto"/>
              </w:rPr>
              <w:t>Shares</w:t>
            </w:r>
          </w:p>
        </w:tc>
        <w:tc>
          <w:tcPr>
            <w:tcW w:w="60" w:type="dxa"/>
            <w:vAlign w:val="bottom"/>
            <w:vMerge w:val="restart"/>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70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Amount</w:t>
            </w:r>
          </w:p>
        </w:tc>
        <w:tc>
          <w:tcPr>
            <w:tcW w:w="60" w:type="dxa"/>
            <w:vAlign w:val="bottom"/>
            <w:vMerge w:val="restart"/>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8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86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440" w:type="dxa"/>
            <w:vAlign w:val="bottom"/>
            <w:gridSpan w:val="3"/>
            <w:vMerge w:val="continue"/>
          </w:tcPr>
          <w:p>
            <w:pPr>
              <w:spacing w:after="0"/>
              <w:rPr>
                <w:sz w:val="5"/>
                <w:szCs w:val="5"/>
                <w:color w:val="auto"/>
              </w:rPr>
            </w:pPr>
          </w:p>
        </w:tc>
        <w:tc>
          <w:tcPr>
            <w:tcW w:w="12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140" w:type="dxa"/>
            <w:vAlign w:val="bottom"/>
          </w:tcPr>
          <w:p>
            <w:pPr>
              <w:spacing w:after="0"/>
              <w:rPr>
                <w:sz w:val="5"/>
                <w:szCs w:val="5"/>
                <w:color w:val="auto"/>
              </w:rPr>
            </w:pPr>
          </w:p>
        </w:tc>
        <w:tc>
          <w:tcPr>
            <w:tcW w:w="1320" w:type="dxa"/>
            <w:vAlign w:val="bottom"/>
            <w:gridSpan w:val="3"/>
            <w:vMerge w:val="continue"/>
          </w:tcPr>
          <w:p>
            <w:pPr>
              <w:spacing w:after="0"/>
              <w:rPr>
                <w:sz w:val="5"/>
                <w:szCs w:val="5"/>
                <w:color w:val="auto"/>
              </w:rPr>
            </w:pPr>
          </w:p>
        </w:tc>
        <w:tc>
          <w:tcPr>
            <w:tcW w:w="90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Total Equity</w:t>
            </w:r>
          </w:p>
        </w:tc>
        <w:tc>
          <w:tcPr>
            <w:tcW w:w="0" w:type="dxa"/>
            <w:vAlign w:val="bottom"/>
          </w:tcPr>
          <w:p>
            <w:pPr>
              <w:spacing w:after="0"/>
              <w:rPr>
                <w:sz w:val="1"/>
                <w:szCs w:val="1"/>
                <w:color w:val="auto"/>
              </w:rPr>
            </w:pPr>
          </w:p>
        </w:tc>
      </w:tr>
      <w:tr>
        <w:trPr>
          <w:trHeight w:val="173"/>
        </w:trPr>
        <w:tc>
          <w:tcPr>
            <w:tcW w:w="206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gridSpan w:val="2"/>
            <w:vMerge w:val="continue"/>
          </w:tcPr>
          <w:p>
            <w:pPr>
              <w:spacing w:after="0"/>
              <w:rPr>
                <w:sz w:val="15"/>
                <w:szCs w:val="15"/>
                <w:color w:val="auto"/>
              </w:rPr>
            </w:pPr>
          </w:p>
        </w:tc>
        <w:tc>
          <w:tcPr>
            <w:tcW w:w="60" w:type="dxa"/>
            <w:vAlign w:val="bottom"/>
            <w:tcBorders>
              <w:bottom w:val="single" w:sz="8" w:color="CCEEFF"/>
            </w:tcBorders>
            <w:vMerge w:val="continue"/>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gridSpan w:val="2"/>
            <w:vMerge w:val="continue"/>
          </w:tcPr>
          <w:p>
            <w:pPr>
              <w:spacing w:after="0"/>
              <w:rPr>
                <w:sz w:val="15"/>
                <w:szCs w:val="15"/>
                <w:color w:val="auto"/>
              </w:rPr>
            </w:pPr>
          </w:p>
        </w:tc>
        <w:tc>
          <w:tcPr>
            <w:tcW w:w="60" w:type="dxa"/>
            <w:vAlign w:val="bottom"/>
            <w:tcBorders>
              <w:bottom w:val="single" w:sz="8" w:color="CCEEFF"/>
            </w:tcBorders>
            <w:vMerge w:val="continue"/>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Par Value</w:t>
            </w:r>
          </w:p>
        </w:tc>
        <w:tc>
          <w:tcPr>
            <w:tcW w:w="60" w:type="dxa"/>
            <w:vAlign w:val="bottom"/>
            <w:tcBorders>
              <w:bottom w:val="single" w:sz="8" w:color="CCEEFF"/>
            </w:tcBorders>
          </w:tcPr>
          <w:p>
            <w:pPr>
              <w:spacing w:after="0"/>
              <w:rPr>
                <w:sz w:val="15"/>
                <w:szCs w:val="15"/>
                <w:color w:val="auto"/>
              </w:rPr>
            </w:pPr>
          </w:p>
        </w:tc>
        <w:tc>
          <w:tcPr>
            <w:tcW w:w="6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rPr>
              <w:t>Earnings</w:t>
            </w:r>
          </w:p>
        </w:tc>
        <w:tc>
          <w:tcPr>
            <w:tcW w:w="80" w:type="dxa"/>
            <w:vAlign w:val="bottom"/>
            <w:tcBorders>
              <w:bottom w:val="single" w:sz="8" w:color="CCEEFF"/>
            </w:tcBorders>
          </w:tcPr>
          <w:p>
            <w:pPr>
              <w:spacing w:after="0"/>
              <w:rPr>
                <w:sz w:val="15"/>
                <w:szCs w:val="15"/>
                <w:color w:val="auto"/>
              </w:rPr>
            </w:pPr>
          </w:p>
        </w:tc>
        <w:tc>
          <w:tcPr>
            <w:tcW w:w="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jc w:val="center"/>
              <w:ind w:right="69"/>
              <w:spacing w:after="0"/>
              <w:rPr>
                <w:sz w:val="20"/>
                <w:szCs w:val="20"/>
                <w:color w:val="auto"/>
              </w:rPr>
            </w:pPr>
            <w:r>
              <w:rPr>
                <w:rFonts w:ascii="Arial" w:cs="Arial" w:eastAsia="Arial" w:hAnsi="Arial"/>
                <w:sz w:val="14"/>
                <w:szCs w:val="14"/>
                <w:b w:val="1"/>
                <w:bCs w:val="1"/>
                <w:color w:val="auto"/>
              </w:rPr>
              <w:t>Income (Loss)</w:t>
            </w:r>
          </w:p>
        </w:tc>
        <w:tc>
          <w:tcPr>
            <w:tcW w:w="100" w:type="dxa"/>
            <w:vAlign w:val="bottom"/>
            <w:tcBorders>
              <w:bottom w:val="single" w:sz="8" w:color="CCEEFF"/>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center"/>
              <w:ind w:right="69"/>
              <w:spacing w:after="0"/>
              <w:rPr>
                <w:sz w:val="20"/>
                <w:szCs w:val="20"/>
                <w:color w:val="auto"/>
              </w:rPr>
            </w:pPr>
            <w:r>
              <w:rPr>
                <w:rFonts w:ascii="Arial" w:cs="Arial" w:eastAsia="Arial" w:hAnsi="Arial"/>
                <w:sz w:val="14"/>
                <w:szCs w:val="14"/>
                <w:b w:val="1"/>
                <w:bCs w:val="1"/>
                <w:color w:val="auto"/>
              </w:rPr>
              <w:t>Equity</w:t>
            </w:r>
          </w:p>
        </w:tc>
        <w:tc>
          <w:tcPr>
            <w:tcW w:w="100" w:type="dxa"/>
            <w:vAlign w:val="bottom"/>
            <w:tcBorders>
              <w:bottom w:val="single" w:sz="8" w:color="CCEEFF"/>
            </w:tcBorders>
            <w:gridSpan w:val="2"/>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2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rPr>
              <w:t>Equity</w:t>
            </w:r>
          </w:p>
        </w:tc>
        <w:tc>
          <w:tcPr>
            <w:tcW w:w="100" w:type="dxa"/>
            <w:vAlign w:val="bottom"/>
            <w:tcBorders>
              <w:bottom w:val="single" w:sz="8" w:color="CCEEFF"/>
            </w:tcBorders>
          </w:tcPr>
          <w:p>
            <w:pPr>
              <w:spacing w:after="0"/>
              <w:rPr>
                <w:sz w:val="15"/>
                <w:szCs w:val="15"/>
                <w:color w:val="auto"/>
              </w:rPr>
            </w:pPr>
          </w:p>
        </w:tc>
        <w:tc>
          <w:tcPr>
            <w:tcW w:w="900" w:type="dxa"/>
            <w:vAlign w:val="bottom"/>
            <w:tcBorders>
              <w:bottom w:val="single" w:sz="8" w:color="auto"/>
            </w:tcBorders>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140" w:type="dxa"/>
            <w:vAlign w:val="bottom"/>
            <w:gridSpan w:val="2"/>
            <w:shd w:val="clear" w:color="auto" w:fill="CCEEFF"/>
          </w:tcPr>
          <w:p>
            <w:pPr>
              <w:ind w:left="20"/>
              <w:spacing w:after="0" w:line="131" w:lineRule="exact"/>
              <w:rPr>
                <w:sz w:val="20"/>
                <w:szCs w:val="20"/>
                <w:color w:val="auto"/>
              </w:rPr>
            </w:pPr>
            <w:r>
              <w:rPr>
                <w:rFonts w:ascii="Arial" w:cs="Arial" w:eastAsia="Arial" w:hAnsi="Arial"/>
                <w:sz w:val="14"/>
                <w:szCs w:val="14"/>
                <w:color w:val="auto"/>
              </w:rPr>
              <w:t>Balance as of December 31,</w:t>
            </w: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62.9</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8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gridSpan w:val="2"/>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204.6</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6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1,836.7</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160" w:type="dxa"/>
            <w:vAlign w:val="bottom"/>
            <w:gridSpan w:val="2"/>
            <w:vMerge w:val="restart"/>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(132.6)</w:t>
            </w:r>
          </w:p>
        </w:tc>
        <w:tc>
          <w:tcPr>
            <w:tcW w:w="10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1,909.3</w:t>
            </w:r>
          </w:p>
        </w:tc>
        <w:tc>
          <w:tcPr>
            <w:tcW w:w="2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20" w:type="dxa"/>
            <w:vAlign w:val="bottom"/>
            <w:shd w:val="clear" w:color="auto" w:fill="CCEEFF"/>
          </w:tcPr>
          <w:p>
            <w:pPr>
              <w:spacing w:after="0"/>
              <w:rPr>
                <w:sz w:val="11"/>
                <w:szCs w:val="11"/>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3.6</w:t>
            </w:r>
          </w:p>
        </w:tc>
        <w:tc>
          <w:tcPr>
            <w:tcW w:w="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40" w:type="dxa"/>
            <w:vAlign w:val="bottom"/>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1,912.9</w:t>
            </w:r>
          </w:p>
        </w:tc>
        <w:tc>
          <w:tcPr>
            <w:tcW w:w="0" w:type="dxa"/>
            <w:vAlign w:val="bottom"/>
          </w:tcPr>
          <w:p>
            <w:pPr>
              <w:spacing w:after="0"/>
              <w:rPr>
                <w:sz w:val="1"/>
                <w:szCs w:val="1"/>
                <w:color w:val="auto"/>
              </w:rPr>
            </w:pPr>
          </w:p>
        </w:tc>
      </w:tr>
      <w:tr>
        <w:trPr>
          <w:trHeight w:val="169"/>
        </w:trPr>
        <w:tc>
          <w:tcPr>
            <w:tcW w:w="2060" w:type="dxa"/>
            <w:vAlign w:val="bottom"/>
            <w:shd w:val="clear" w:color="auto" w:fill="CCEEFF"/>
          </w:tcPr>
          <w:p>
            <w:pPr>
              <w:ind w:left="20"/>
              <w:spacing w:after="0"/>
              <w:rPr>
                <w:sz w:val="20"/>
                <w:szCs w:val="20"/>
                <w:color w:val="auto"/>
              </w:rPr>
            </w:pPr>
            <w:r>
              <w:rPr>
                <w:rFonts w:ascii="Arial" w:cs="Arial" w:eastAsia="Arial" w:hAnsi="Arial"/>
                <w:sz w:val="14"/>
                <w:szCs w:val="14"/>
                <w:color w:val="auto"/>
              </w:rPr>
              <w:t>2020</w:t>
            </w:r>
          </w:p>
        </w:tc>
        <w:tc>
          <w:tcPr>
            <w:tcW w:w="80" w:type="dxa"/>
            <w:vAlign w:val="bottom"/>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80" w:type="dxa"/>
            <w:vAlign w:val="bottom"/>
            <w:gridSpan w:val="2"/>
            <w:vMerge w:val="continue"/>
            <w:shd w:val="clear" w:color="auto" w:fill="CCEEFF"/>
          </w:tcPr>
          <w:p>
            <w:pPr>
              <w:spacing w:after="0"/>
              <w:rPr>
                <w:sz w:val="14"/>
                <w:szCs w:val="14"/>
                <w:color w:val="auto"/>
              </w:rPr>
            </w:pPr>
          </w:p>
        </w:tc>
        <w:tc>
          <w:tcPr>
            <w:tcW w:w="640" w:type="dxa"/>
            <w:vAlign w:val="bottom"/>
            <w:vMerge w:val="continue"/>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gridSpan w:val="2"/>
            <w:vMerge w:val="continue"/>
            <w:shd w:val="clear" w:color="auto" w:fill="CCEEFF"/>
          </w:tcPr>
          <w:p>
            <w:pPr>
              <w:spacing w:after="0"/>
              <w:rPr>
                <w:sz w:val="14"/>
                <w:szCs w:val="14"/>
                <w:color w:val="auto"/>
              </w:rPr>
            </w:pPr>
          </w:p>
        </w:tc>
        <w:tc>
          <w:tcPr>
            <w:tcW w:w="780" w:type="dxa"/>
            <w:vAlign w:val="bottom"/>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60" w:type="dxa"/>
            <w:vAlign w:val="bottom"/>
            <w:gridSpan w:val="2"/>
            <w:vMerge w:val="continue"/>
            <w:shd w:val="clear" w:color="auto" w:fill="CCEEFF"/>
          </w:tcPr>
          <w:p>
            <w:pPr>
              <w:spacing w:after="0"/>
              <w:rPr>
                <w:sz w:val="14"/>
                <w:szCs w:val="14"/>
                <w:color w:val="auto"/>
              </w:rPr>
            </w:pPr>
          </w:p>
        </w:tc>
        <w:tc>
          <w:tcPr>
            <w:tcW w:w="76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60" w:type="dxa"/>
            <w:vAlign w:val="bottom"/>
            <w:gridSpan w:val="2"/>
            <w:vMerge w:val="continue"/>
            <w:shd w:val="clear" w:color="auto" w:fill="CCEEFF"/>
          </w:tcPr>
          <w:p>
            <w:pPr>
              <w:spacing w:after="0"/>
              <w:rPr>
                <w:sz w:val="14"/>
                <w:szCs w:val="14"/>
                <w:color w:val="auto"/>
              </w:rPr>
            </w:pPr>
          </w:p>
        </w:tc>
        <w:tc>
          <w:tcPr>
            <w:tcW w:w="13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vMerge w:val="continue"/>
            <w:shd w:val="clear" w:color="auto" w:fill="CCEEFF"/>
          </w:tcPr>
          <w:p>
            <w:pPr>
              <w:spacing w:after="0"/>
              <w:rPr>
                <w:sz w:val="14"/>
                <w:szCs w:val="14"/>
                <w:color w:val="auto"/>
              </w:rPr>
            </w:pPr>
          </w:p>
        </w:tc>
        <w:tc>
          <w:tcPr>
            <w:tcW w:w="11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vMerge w:val="continue"/>
            <w:shd w:val="clear" w:color="auto" w:fill="CCEEFF"/>
          </w:tcPr>
          <w:p>
            <w:pPr>
              <w:spacing w:after="0"/>
              <w:rPr>
                <w:sz w:val="14"/>
                <w:szCs w:val="14"/>
                <w:color w:val="auto"/>
              </w:rPr>
            </w:pPr>
          </w:p>
        </w:tc>
        <w:tc>
          <w:tcPr>
            <w:tcW w:w="120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vMerge w:val="continue"/>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2140" w:type="dxa"/>
            <w:vAlign w:val="bottom"/>
            <w:gridSpan w:val="2"/>
          </w:tcPr>
          <w:p>
            <w:pPr>
              <w:ind w:left="40"/>
              <w:spacing w:after="0"/>
              <w:rPr>
                <w:sz w:val="20"/>
                <w:szCs w:val="20"/>
                <w:color w:val="auto"/>
              </w:rPr>
            </w:pPr>
            <w:r>
              <w:rPr>
                <w:rFonts w:ascii="Arial" w:cs="Arial" w:eastAsia="Arial" w:hAnsi="Arial"/>
                <w:sz w:val="14"/>
                <w:szCs w:val="14"/>
                <w:color w:val="auto"/>
              </w:rPr>
              <w:t>Net income (loss)</w:t>
            </w:r>
          </w:p>
        </w:tc>
        <w:tc>
          <w:tcPr>
            <w:tcW w:w="760" w:type="dxa"/>
            <w:vAlign w:val="bottom"/>
            <w:gridSpan w:val="3"/>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gridSpan w:val="3"/>
          </w:tcPr>
          <w:p>
            <w:pPr>
              <w:jc w:val="right"/>
              <w:ind w:right="12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3"/>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18.9</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40" w:type="dxa"/>
            <w:vAlign w:val="bottom"/>
            <w:gridSpan w:val="3"/>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18.9</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gridSpan w:val="3"/>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6"/>
                <w:szCs w:val="16"/>
                <w:color w:val="auto"/>
              </w:rPr>
            </w:pPr>
          </w:p>
        </w:tc>
        <w:tc>
          <w:tcPr>
            <w:tcW w:w="660" w:type="dxa"/>
            <w:vAlign w:val="bottom"/>
          </w:tcPr>
          <w:p>
            <w:pPr>
              <w:jc w:val="right"/>
              <w:spacing w:after="0"/>
              <w:rPr>
                <w:sz w:val="20"/>
                <w:szCs w:val="20"/>
                <w:color w:val="auto"/>
              </w:rPr>
            </w:pPr>
            <w:r>
              <w:rPr>
                <w:rFonts w:ascii="Arial" w:cs="Arial" w:eastAsia="Arial" w:hAnsi="Arial"/>
                <w:sz w:val="14"/>
                <w:szCs w:val="14"/>
                <w:color w:val="auto"/>
              </w:rPr>
              <w:t>18.8</w:t>
            </w:r>
          </w:p>
        </w:tc>
        <w:tc>
          <w:tcPr>
            <w:tcW w:w="0" w:type="dxa"/>
            <w:vAlign w:val="bottom"/>
          </w:tcPr>
          <w:p>
            <w:pPr>
              <w:spacing w:after="0"/>
              <w:rPr>
                <w:sz w:val="1"/>
                <w:szCs w:val="1"/>
                <w:color w:val="auto"/>
              </w:rPr>
            </w:pPr>
          </w:p>
        </w:tc>
      </w:tr>
      <w:tr>
        <w:trPr>
          <w:trHeight w:val="187"/>
        </w:trPr>
        <w:tc>
          <w:tcPr>
            <w:tcW w:w="21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dividends declared</w:t>
            </w: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6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80" w:type="dxa"/>
            <w:vAlign w:val="bottom"/>
            <w:gridSpan w:val="3"/>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780" w:type="dxa"/>
            <w:vAlign w:val="bottom"/>
            <w:gridSpan w:val="2"/>
            <w:shd w:val="clear" w:color="auto" w:fill="CCEEFF"/>
          </w:tcPr>
          <w:p>
            <w:pPr>
              <w:ind w:left="460"/>
              <w:spacing w:after="0"/>
              <w:rPr>
                <w:sz w:val="20"/>
                <w:szCs w:val="20"/>
                <w:color w:val="auto"/>
              </w:rPr>
            </w:pPr>
            <w:r>
              <w:rPr>
                <w:rFonts w:ascii="Arial" w:cs="Arial" w:eastAsia="Arial" w:hAnsi="Arial"/>
                <w:sz w:val="14"/>
                <w:szCs w:val="14"/>
                <w:color w:val="auto"/>
              </w:rPr>
              <w:t>(7.5)</w:t>
            </w: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40" w:type="dxa"/>
            <w:vAlign w:val="bottom"/>
            <w:gridSpan w:val="3"/>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w:t>
            </w:r>
          </w:p>
        </w:tc>
        <w:tc>
          <w:tcPr>
            <w:tcW w:w="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320" w:type="dxa"/>
            <w:vAlign w:val="bottom"/>
            <w:gridSpan w:val="3"/>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6"/>
                <w:szCs w:val="16"/>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(7.5)</w:t>
            </w:r>
          </w:p>
        </w:tc>
        <w:tc>
          <w:tcPr>
            <w:tcW w:w="0" w:type="dxa"/>
            <w:vAlign w:val="bottom"/>
          </w:tcPr>
          <w:p>
            <w:pPr>
              <w:spacing w:after="0"/>
              <w:rPr>
                <w:sz w:val="1"/>
                <w:szCs w:val="1"/>
                <w:color w:val="auto"/>
              </w:rPr>
            </w:pPr>
          </w:p>
        </w:tc>
      </w:tr>
      <w:tr>
        <w:trPr>
          <w:trHeight w:val="151"/>
        </w:trPr>
        <w:tc>
          <w:tcPr>
            <w:tcW w:w="2140" w:type="dxa"/>
            <w:vAlign w:val="bottom"/>
            <w:gridSpan w:val="2"/>
          </w:tcPr>
          <w:p>
            <w:pPr>
              <w:ind w:left="40"/>
              <w:spacing w:after="0" w:line="151" w:lineRule="exact"/>
              <w:rPr>
                <w:sz w:val="20"/>
                <w:szCs w:val="20"/>
                <w:color w:val="auto"/>
              </w:rPr>
            </w:pPr>
            <w:r>
              <w:rPr>
                <w:rFonts w:ascii="Arial" w:cs="Arial" w:eastAsia="Arial" w:hAnsi="Arial"/>
                <w:sz w:val="14"/>
                <w:szCs w:val="14"/>
                <w:color w:val="auto"/>
              </w:rPr>
              <w:t>Amortization of share-based</w:t>
            </w:r>
          </w:p>
        </w:tc>
        <w:tc>
          <w:tcPr>
            <w:tcW w:w="760" w:type="dxa"/>
            <w:vAlign w:val="bottom"/>
            <w:gridSpan w:val="3"/>
            <w:vMerge w:val="restart"/>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gridSpan w:val="3"/>
            <w:vMerge w:val="restart"/>
          </w:tcPr>
          <w:p>
            <w:pPr>
              <w:jc w:val="right"/>
              <w:ind w:right="12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8.7</w:t>
            </w: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3"/>
            <w:vMerge w:val="restart"/>
          </w:tcPr>
          <w:p>
            <w:pPr>
              <w:jc w:val="right"/>
              <w:ind w:right="14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40" w:type="dxa"/>
            <w:vAlign w:val="bottom"/>
            <w:gridSpan w:val="3"/>
            <w:vMerge w:val="restart"/>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3"/>
                <w:szCs w:val="13"/>
                <w:color w:val="auto"/>
              </w:rPr>
            </w:pP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8.7</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320" w:type="dxa"/>
            <w:vAlign w:val="bottom"/>
            <w:gridSpan w:val="3"/>
            <w:vMerge w:val="restart"/>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8.7</w:t>
            </w:r>
          </w:p>
        </w:tc>
        <w:tc>
          <w:tcPr>
            <w:tcW w:w="0" w:type="dxa"/>
            <w:vAlign w:val="bottom"/>
          </w:tcPr>
          <w:p>
            <w:pPr>
              <w:spacing w:after="0"/>
              <w:rPr>
                <w:sz w:val="1"/>
                <w:szCs w:val="1"/>
                <w:color w:val="auto"/>
              </w:rPr>
            </w:pPr>
          </w:p>
        </w:tc>
      </w:tr>
      <w:tr>
        <w:trPr>
          <w:trHeight w:val="169"/>
        </w:trPr>
        <w:tc>
          <w:tcPr>
            <w:tcW w:w="2140" w:type="dxa"/>
            <w:vAlign w:val="bottom"/>
            <w:gridSpan w:val="2"/>
          </w:tcPr>
          <w:p>
            <w:pPr>
              <w:ind w:left="40"/>
              <w:spacing w:after="0"/>
              <w:rPr>
                <w:sz w:val="20"/>
                <w:szCs w:val="20"/>
                <w:color w:val="auto"/>
              </w:rPr>
            </w:pPr>
            <w:r>
              <w:rPr>
                <w:rFonts w:ascii="Arial" w:cs="Arial" w:eastAsia="Arial" w:hAnsi="Arial"/>
                <w:sz w:val="14"/>
                <w:szCs w:val="14"/>
                <w:color w:val="auto"/>
              </w:rPr>
              <w:t>payment awards</w:t>
            </w:r>
          </w:p>
        </w:tc>
        <w:tc>
          <w:tcPr>
            <w:tcW w:w="76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2140" w:type="dxa"/>
            <w:vAlign w:val="bottom"/>
            <w:gridSpan w:val="2"/>
            <w:shd w:val="clear" w:color="auto" w:fill="CCEEFF"/>
          </w:tcPr>
          <w:p>
            <w:pPr>
              <w:ind w:left="40"/>
              <w:spacing w:after="0" w:line="151" w:lineRule="exact"/>
              <w:rPr>
                <w:sz w:val="20"/>
                <w:szCs w:val="20"/>
                <w:color w:val="auto"/>
              </w:rPr>
            </w:pPr>
            <w:r>
              <w:rPr>
                <w:rFonts w:ascii="Arial" w:cs="Arial" w:eastAsia="Arial" w:hAnsi="Arial"/>
                <w:sz w:val="14"/>
                <w:szCs w:val="14"/>
                <w:color w:val="auto"/>
              </w:rPr>
              <w:t>Issuance (cancellation) of</w:t>
            </w:r>
          </w:p>
        </w:tc>
        <w:tc>
          <w:tcPr>
            <w:tcW w:w="6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76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3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2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24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2140" w:type="dxa"/>
            <w:vAlign w:val="bottom"/>
            <w:gridSpan w:val="2"/>
            <w:shd w:val="clear" w:color="auto" w:fill="CCEEFF"/>
          </w:tcPr>
          <w:p>
            <w:pPr>
              <w:ind w:left="40"/>
              <w:spacing w:after="0" w:line="133" w:lineRule="exact"/>
              <w:rPr>
                <w:sz w:val="20"/>
                <w:szCs w:val="20"/>
                <w:color w:val="auto"/>
              </w:rPr>
            </w:pPr>
            <w:r>
              <w:rPr>
                <w:rFonts w:ascii="Arial" w:cs="Arial" w:eastAsia="Arial" w:hAnsi="Arial"/>
                <w:sz w:val="14"/>
                <w:szCs w:val="14"/>
                <w:color w:val="auto"/>
              </w:rPr>
              <w:t>common stock related to share-</w:t>
            </w: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0.1</w:t>
            </w:r>
          </w:p>
        </w:tc>
        <w:tc>
          <w:tcPr>
            <w:tcW w:w="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76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8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440" w:type="dxa"/>
            <w:vAlign w:val="bottom"/>
            <w:gridSpan w:val="3"/>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1"/>
                <w:szCs w:val="11"/>
                <w:color w:val="auto"/>
              </w:rPr>
            </w:pPr>
          </w:p>
        </w:tc>
        <w:tc>
          <w:tcPr>
            <w:tcW w:w="1260" w:type="dxa"/>
            <w:vAlign w:val="bottom"/>
            <w:gridSpan w:val="4"/>
            <w:vMerge w:val="restart"/>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1"/>
                <w:szCs w:val="11"/>
                <w:color w:val="auto"/>
              </w:rPr>
            </w:pPr>
          </w:p>
        </w:tc>
        <w:tc>
          <w:tcPr>
            <w:tcW w:w="1320" w:type="dxa"/>
            <w:vAlign w:val="bottom"/>
            <w:gridSpan w:val="3"/>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1"/>
                <w:szCs w:val="11"/>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9"/>
        </w:trPr>
        <w:tc>
          <w:tcPr>
            <w:tcW w:w="21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based payment awards</w:t>
            </w:r>
          </w:p>
        </w:tc>
        <w:tc>
          <w:tcPr>
            <w:tcW w:w="660" w:type="dxa"/>
            <w:vAlign w:val="bottom"/>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60" w:type="dxa"/>
            <w:vAlign w:val="bottom"/>
            <w:gridSpan w:val="3"/>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gridSpan w:val="3"/>
            <w:vMerge w:val="continue"/>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40" w:type="dxa"/>
            <w:vAlign w:val="bottom"/>
            <w:gridSpan w:val="3"/>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260" w:type="dxa"/>
            <w:vAlign w:val="bottom"/>
            <w:gridSpan w:val="4"/>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20" w:type="dxa"/>
            <w:vAlign w:val="bottom"/>
            <w:gridSpan w:val="3"/>
            <w:vMerge w:val="continue"/>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2140" w:type="dxa"/>
            <w:vAlign w:val="bottom"/>
            <w:gridSpan w:val="2"/>
          </w:tcPr>
          <w:p>
            <w:pPr>
              <w:ind w:left="40"/>
              <w:spacing w:after="0" w:line="151" w:lineRule="exact"/>
              <w:rPr>
                <w:sz w:val="20"/>
                <w:szCs w:val="20"/>
                <w:color w:val="auto"/>
              </w:rPr>
            </w:pPr>
            <w:r>
              <w:rPr>
                <w:rFonts w:ascii="Arial" w:cs="Arial" w:eastAsia="Arial" w:hAnsi="Arial"/>
                <w:sz w:val="14"/>
                <w:szCs w:val="14"/>
                <w:color w:val="auto"/>
              </w:rPr>
              <w:t>Purchases of common stock</w:t>
            </w:r>
          </w:p>
        </w:tc>
        <w:tc>
          <w:tcPr>
            <w:tcW w:w="6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3"/>
        </w:trPr>
        <w:tc>
          <w:tcPr>
            <w:tcW w:w="2140" w:type="dxa"/>
            <w:vAlign w:val="bottom"/>
            <w:gridSpan w:val="2"/>
          </w:tcPr>
          <w:p>
            <w:pPr>
              <w:ind w:left="40"/>
              <w:spacing w:after="0" w:line="133" w:lineRule="exact"/>
              <w:rPr>
                <w:sz w:val="20"/>
                <w:szCs w:val="20"/>
                <w:color w:val="auto"/>
              </w:rPr>
            </w:pPr>
            <w:r>
              <w:rPr>
                <w:rFonts w:ascii="Arial" w:cs="Arial" w:eastAsia="Arial" w:hAnsi="Arial"/>
                <w:sz w:val="14"/>
                <w:szCs w:val="14"/>
                <w:color w:val="auto"/>
              </w:rPr>
              <w:t>tendered by employees to satisfy</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140" w:type="dxa"/>
            <w:vAlign w:val="bottom"/>
            <w:gridSpan w:val="2"/>
          </w:tcPr>
          <w:p>
            <w:pPr>
              <w:ind w:left="40"/>
              <w:spacing w:after="0" w:line="133" w:lineRule="exact"/>
              <w:rPr>
                <w:sz w:val="20"/>
                <w:szCs w:val="20"/>
                <w:color w:val="auto"/>
              </w:rPr>
            </w:pPr>
            <w:r>
              <w:rPr>
                <w:rFonts w:ascii="Arial" w:cs="Arial" w:eastAsia="Arial" w:hAnsi="Arial"/>
                <w:sz w:val="14"/>
                <w:szCs w:val="14"/>
                <w:color w:val="auto"/>
              </w:rPr>
              <w:t>the required withholding taxes</w:t>
            </w:r>
          </w:p>
        </w:tc>
        <w:tc>
          <w:tcPr>
            <w:tcW w:w="6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140" w:type="dxa"/>
            <w:vAlign w:val="bottom"/>
            <w:gridSpan w:val="2"/>
          </w:tcPr>
          <w:p>
            <w:pPr>
              <w:ind w:left="40"/>
              <w:spacing w:after="0" w:line="133" w:lineRule="exact"/>
              <w:rPr>
                <w:sz w:val="20"/>
                <w:szCs w:val="20"/>
                <w:color w:val="auto"/>
              </w:rPr>
            </w:pPr>
            <w:r>
              <w:rPr>
                <w:rFonts w:ascii="Arial" w:cs="Arial" w:eastAsia="Arial" w:hAnsi="Arial"/>
                <w:sz w:val="14"/>
                <w:szCs w:val="14"/>
                <w:color w:val="auto"/>
              </w:rPr>
              <w:t>related to share-based payment</w:t>
            </w:r>
          </w:p>
        </w:tc>
        <w:tc>
          <w:tcPr>
            <w:tcW w:w="760" w:type="dxa"/>
            <w:vAlign w:val="bottom"/>
            <w:gridSpan w:val="3"/>
            <w:vMerge w:val="restart"/>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gridSpan w:val="3"/>
            <w:vMerge w:val="restart"/>
          </w:tcPr>
          <w:p>
            <w:pPr>
              <w:jc w:val="right"/>
              <w:ind w:right="12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20" w:type="dxa"/>
            <w:vAlign w:val="bottom"/>
            <w:gridSpan w:val="2"/>
            <w:vMerge w:val="restart"/>
          </w:tcPr>
          <w:p>
            <w:pPr>
              <w:jc w:val="right"/>
              <w:ind w:right="20"/>
              <w:spacing w:after="0"/>
              <w:rPr>
                <w:sz w:val="20"/>
                <w:szCs w:val="20"/>
                <w:color w:val="auto"/>
              </w:rPr>
            </w:pPr>
            <w:r>
              <w:rPr>
                <w:rFonts w:ascii="Arial" w:cs="Arial" w:eastAsia="Arial" w:hAnsi="Arial"/>
                <w:sz w:val="14"/>
                <w:szCs w:val="14"/>
                <w:color w:val="auto"/>
              </w:rPr>
              <w:t>(2.4)</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gridSpan w:val="3"/>
            <w:vMerge w:val="restart"/>
          </w:tcPr>
          <w:p>
            <w:pPr>
              <w:jc w:val="right"/>
              <w:ind w:right="140"/>
              <w:spacing w:after="0"/>
              <w:rPr>
                <w:sz w:val="20"/>
                <w:szCs w:val="20"/>
                <w:color w:val="auto"/>
              </w:rPr>
            </w:pPr>
            <w:r>
              <w:rPr>
                <w:rFonts w:ascii="Arial" w:cs="Arial" w:eastAsia="Arial" w:hAnsi="Arial"/>
                <w:sz w:val="14"/>
                <w:szCs w:val="14"/>
                <w:color w:val="auto"/>
              </w:rPr>
              <w:t>—</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40" w:type="dxa"/>
            <w:vAlign w:val="bottom"/>
            <w:gridSpan w:val="3"/>
            <w:vMerge w:val="restart"/>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1"/>
                <w:szCs w:val="11"/>
                <w:color w:val="auto"/>
              </w:rPr>
            </w:pPr>
          </w:p>
        </w:tc>
        <w:tc>
          <w:tcPr>
            <w:tcW w:w="1140" w:type="dxa"/>
            <w:vAlign w:val="bottom"/>
            <w:vMerge w:val="restart"/>
          </w:tcPr>
          <w:p>
            <w:pPr>
              <w:jc w:val="right"/>
              <w:spacing w:after="0"/>
              <w:rPr>
                <w:sz w:val="20"/>
                <w:szCs w:val="20"/>
                <w:color w:val="auto"/>
              </w:rPr>
            </w:pPr>
            <w:r>
              <w:rPr>
                <w:rFonts w:ascii="Arial" w:cs="Arial" w:eastAsia="Arial" w:hAnsi="Arial"/>
                <w:sz w:val="14"/>
                <w:szCs w:val="14"/>
                <w:color w:val="auto"/>
              </w:rPr>
              <w:t>(2.4)</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320" w:type="dxa"/>
            <w:vAlign w:val="bottom"/>
            <w:gridSpan w:val="3"/>
            <w:vMerge w:val="restart"/>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tcPr>
          <w:p>
            <w:pPr>
              <w:spacing w:after="0"/>
              <w:rPr>
                <w:sz w:val="11"/>
                <w:szCs w:val="11"/>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(2.4)</w:t>
            </w:r>
          </w:p>
        </w:tc>
        <w:tc>
          <w:tcPr>
            <w:tcW w:w="0" w:type="dxa"/>
            <w:vAlign w:val="bottom"/>
          </w:tcPr>
          <w:p>
            <w:pPr>
              <w:spacing w:after="0"/>
              <w:rPr>
                <w:sz w:val="1"/>
                <w:szCs w:val="1"/>
                <w:color w:val="auto"/>
              </w:rPr>
            </w:pPr>
          </w:p>
        </w:tc>
      </w:tr>
      <w:tr>
        <w:trPr>
          <w:trHeight w:val="169"/>
        </w:trPr>
        <w:tc>
          <w:tcPr>
            <w:tcW w:w="2140" w:type="dxa"/>
            <w:vAlign w:val="bottom"/>
            <w:gridSpan w:val="2"/>
          </w:tcPr>
          <w:p>
            <w:pPr>
              <w:ind w:left="40"/>
              <w:spacing w:after="0"/>
              <w:rPr>
                <w:sz w:val="20"/>
                <w:szCs w:val="20"/>
                <w:color w:val="auto"/>
              </w:rPr>
            </w:pPr>
            <w:r>
              <w:rPr>
                <w:rFonts w:ascii="Arial" w:cs="Arial" w:eastAsia="Arial" w:hAnsi="Arial"/>
                <w:sz w:val="14"/>
                <w:szCs w:val="14"/>
                <w:color w:val="auto"/>
              </w:rPr>
              <w:t>awards</w:t>
            </w:r>
          </w:p>
        </w:tc>
        <w:tc>
          <w:tcPr>
            <w:tcW w:w="760" w:type="dxa"/>
            <w:vAlign w:val="bottom"/>
            <w:gridSpan w:val="3"/>
            <w:vMerge w:val="continue"/>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3"/>
            <w:vMerge w:val="continue"/>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40" w:type="dxa"/>
            <w:vAlign w:val="bottom"/>
            <w:gridSpan w:val="3"/>
            <w:vMerge w:val="continue"/>
          </w:tcPr>
          <w:p>
            <w:pPr>
              <w:spacing w:after="0"/>
              <w:rPr>
                <w:sz w:val="14"/>
                <w:szCs w:val="14"/>
                <w:color w:val="auto"/>
              </w:rPr>
            </w:pPr>
          </w:p>
        </w:tc>
        <w:tc>
          <w:tcPr>
            <w:tcW w:w="120" w:type="dxa"/>
            <w:vAlign w:val="bottom"/>
          </w:tcPr>
          <w:p>
            <w:pPr>
              <w:spacing w:after="0"/>
              <w:rPr>
                <w:sz w:val="14"/>
                <w:szCs w:val="14"/>
                <w:color w:val="auto"/>
              </w:rPr>
            </w:pPr>
          </w:p>
        </w:tc>
        <w:tc>
          <w:tcPr>
            <w:tcW w:w="11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20" w:type="dxa"/>
            <w:vAlign w:val="bottom"/>
            <w:gridSpan w:val="3"/>
            <w:vMerge w:val="continue"/>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1"/>
        </w:trPr>
        <w:tc>
          <w:tcPr>
            <w:tcW w:w="2140" w:type="dxa"/>
            <w:vAlign w:val="bottom"/>
            <w:gridSpan w:val="2"/>
            <w:shd w:val="clear" w:color="auto" w:fill="CCEEFF"/>
          </w:tcPr>
          <w:p>
            <w:pPr>
              <w:ind w:left="40"/>
              <w:spacing w:after="0" w:line="151" w:lineRule="exact"/>
              <w:rPr>
                <w:sz w:val="20"/>
                <w:szCs w:val="20"/>
                <w:color w:val="auto"/>
              </w:rPr>
            </w:pPr>
            <w:r>
              <w:rPr>
                <w:rFonts w:ascii="Arial" w:cs="Arial" w:eastAsia="Arial" w:hAnsi="Arial"/>
                <w:sz w:val="14"/>
                <w:szCs w:val="14"/>
                <w:color w:val="auto"/>
              </w:rPr>
              <w:t>Other comprehensive income</w:t>
            </w:r>
          </w:p>
        </w:tc>
        <w:tc>
          <w:tcPr>
            <w:tcW w:w="76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6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80" w:type="dxa"/>
            <w:vAlign w:val="bottom"/>
            <w:gridSpan w:val="3"/>
            <w:vMerge w:val="restart"/>
            <w:shd w:val="clear" w:color="auto" w:fill="CCEEFF"/>
          </w:tcPr>
          <w:p>
            <w:pPr>
              <w:jc w:val="right"/>
              <w:ind w:right="120"/>
              <w:spacing w:after="0"/>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860" w:type="dxa"/>
            <w:vAlign w:val="bottom"/>
            <w:gridSpan w:val="3"/>
            <w:vMerge w:val="restart"/>
            <w:shd w:val="clear" w:color="auto" w:fill="CCEEFF"/>
          </w:tcPr>
          <w:p>
            <w:pPr>
              <w:jc w:val="right"/>
              <w:ind w:right="140"/>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32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12.4</w:t>
            </w:r>
          </w:p>
        </w:tc>
        <w:tc>
          <w:tcPr>
            <w:tcW w:w="10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12.4</w:t>
            </w:r>
          </w:p>
        </w:tc>
        <w:tc>
          <w:tcPr>
            <w:tcW w:w="2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320" w:type="dxa"/>
            <w:vAlign w:val="bottom"/>
            <w:gridSpan w:val="3"/>
            <w:vMerge w:val="restart"/>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240" w:type="dxa"/>
            <w:vAlign w:val="bottom"/>
            <w:shd w:val="clear" w:color="auto" w:fill="CCEEFF"/>
          </w:tcPr>
          <w:p>
            <w:pPr>
              <w:spacing w:after="0"/>
              <w:rPr>
                <w:sz w:val="13"/>
                <w:szCs w:val="13"/>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12.4</w:t>
            </w:r>
          </w:p>
        </w:tc>
        <w:tc>
          <w:tcPr>
            <w:tcW w:w="0" w:type="dxa"/>
            <w:vAlign w:val="bottom"/>
          </w:tcPr>
          <w:p>
            <w:pPr>
              <w:spacing w:after="0"/>
              <w:rPr>
                <w:sz w:val="1"/>
                <w:szCs w:val="1"/>
                <w:color w:val="auto"/>
              </w:rPr>
            </w:pPr>
          </w:p>
        </w:tc>
      </w:tr>
      <w:tr>
        <w:trPr>
          <w:trHeight w:val="169"/>
        </w:trPr>
        <w:tc>
          <w:tcPr>
            <w:tcW w:w="21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(loss)</w:t>
            </w:r>
          </w:p>
        </w:tc>
        <w:tc>
          <w:tcPr>
            <w:tcW w:w="760" w:type="dxa"/>
            <w:vAlign w:val="bottom"/>
            <w:gridSpan w:val="3"/>
            <w:vMerge w:val="continue"/>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760" w:type="dxa"/>
            <w:vAlign w:val="bottom"/>
            <w:gridSpan w:val="3"/>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80" w:type="dxa"/>
            <w:vAlign w:val="bottom"/>
            <w:gridSpan w:val="3"/>
            <w:vMerge w:val="continue"/>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60" w:type="dxa"/>
            <w:vAlign w:val="bottom"/>
            <w:gridSpan w:val="3"/>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3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1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320" w:type="dxa"/>
            <w:vAlign w:val="bottom"/>
            <w:gridSpan w:val="3"/>
            <w:vMerge w:val="continue"/>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2140" w:type="dxa"/>
            <w:vAlign w:val="bottom"/>
            <w:tcBorders>
              <w:bottom w:val="single" w:sz="8" w:color="CCEEFF"/>
            </w:tcBorders>
            <w:gridSpan w:val="2"/>
          </w:tcPr>
          <w:p>
            <w:pPr>
              <w:ind w:left="40"/>
              <w:spacing w:after="0"/>
              <w:rPr>
                <w:sz w:val="20"/>
                <w:szCs w:val="20"/>
                <w:color w:val="auto"/>
              </w:rPr>
            </w:pPr>
            <w:r>
              <w:rPr>
                <w:rFonts w:ascii="Arial" w:cs="Arial" w:eastAsia="Arial" w:hAnsi="Arial"/>
                <w:sz w:val="14"/>
                <w:szCs w:val="14"/>
                <w:color w:val="auto"/>
              </w:rPr>
              <w:t>Other</w:t>
            </w:r>
          </w:p>
        </w:tc>
        <w:tc>
          <w:tcPr>
            <w:tcW w:w="70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w:t>
            </w:r>
          </w:p>
        </w:tc>
        <w:tc>
          <w:tcPr>
            <w:tcW w:w="6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w:t>
            </w:r>
          </w:p>
        </w:tc>
        <w:tc>
          <w:tcPr>
            <w:tcW w:w="6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w:t>
            </w:r>
          </w:p>
        </w:tc>
        <w:tc>
          <w:tcPr>
            <w:tcW w:w="6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w:t>
            </w: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200"/>
        </w:trPr>
        <w:tc>
          <w:tcPr>
            <w:tcW w:w="214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Balance as of March 31, 2021</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63.0</w:t>
            </w: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0.6</w:t>
            </w: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210.8</w:t>
            </w: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1,848.3</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gridSpan w:val="2"/>
            <w:shd w:val="clear" w:color="auto" w:fill="CCEEFF"/>
          </w:tcPr>
          <w:p>
            <w:pPr>
              <w:jc w:val="right"/>
              <w:ind w:right="40"/>
              <w:spacing w:after="0"/>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(120.3)</w:t>
            </w: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1,939.5</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w:t>
            </w:r>
          </w:p>
        </w:tc>
        <w:tc>
          <w:tcPr>
            <w:tcW w:w="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69"/>
              <w:spacing w:after="0"/>
              <w:rPr>
                <w:sz w:val="20"/>
                <w:szCs w:val="20"/>
                <w:color w:val="auto"/>
              </w:rPr>
            </w:pPr>
            <w:r>
              <w:rPr>
                <w:rFonts w:ascii="Arial" w:cs="Arial" w:eastAsia="Arial" w:hAnsi="Arial"/>
                <w:sz w:val="14"/>
                <w:szCs w:val="14"/>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1,943.0</w:t>
            </w:r>
          </w:p>
        </w:tc>
        <w:tc>
          <w:tcPr>
            <w:tcW w:w="0" w:type="dxa"/>
            <w:vAlign w:val="bottom"/>
          </w:tcPr>
          <w:p>
            <w:pPr>
              <w:spacing w:after="0"/>
              <w:rPr>
                <w:sz w:val="1"/>
                <w:szCs w:val="1"/>
                <w:color w:val="auto"/>
              </w:rPr>
            </w:pPr>
          </w:p>
        </w:tc>
      </w:tr>
      <w:tr>
        <w:trPr>
          <w:trHeight w:val="20"/>
        </w:trPr>
        <w:tc>
          <w:tcPr>
            <w:tcW w:w="20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4" w:right="339" w:bottom="1440" w:gutter="0" w:footer="0" w:header="0"/>
        </w:sectPr>
      </w:pPr>
    </w:p>
    <w:bookmarkStart w:id="5" w:name="page6"/>
    <w:bookmarkEnd w:id="5"/>
    <w:p>
      <w:pPr>
        <w:spacing w:after="0"/>
        <w:rPr>
          <w:sz w:val="20"/>
          <w:szCs w:val="20"/>
          <w:color w:val="auto"/>
        </w:rPr>
      </w:pPr>
      <w:r>
        <w:rPr>
          <w:rFonts w:ascii="Arial" w:cs="Arial" w:eastAsia="Arial" w:hAnsi="Arial"/>
          <w:sz w:val="21"/>
          <w:szCs w:val="21"/>
          <w:b w:val="1"/>
          <w:bCs w:val="1"/>
          <w:color w:val="auto"/>
        </w:rPr>
        <w:t>WORLD FUEL SERVICES CORPORATION</w:t>
      </w:r>
    </w:p>
    <w:p>
      <w:pPr>
        <w:spacing w:after="0" w:line="38" w:lineRule="exact"/>
        <w:rPr>
          <w:sz w:val="20"/>
          <w:szCs w:val="20"/>
          <w:color w:val="auto"/>
        </w:rPr>
      </w:pPr>
    </w:p>
    <w:p>
      <w:pPr>
        <w:ind w:right="4800"/>
        <w:spacing w:after="0" w:line="227" w:lineRule="auto"/>
        <w:rPr>
          <w:sz w:val="20"/>
          <w:szCs w:val="20"/>
          <w:color w:val="auto"/>
        </w:rPr>
      </w:pPr>
      <w:r>
        <w:rPr>
          <w:rFonts w:ascii="Arial" w:cs="Arial" w:eastAsia="Arial" w:hAnsi="Arial"/>
          <w:sz w:val="21"/>
          <w:szCs w:val="21"/>
          <w:b w:val="1"/>
          <w:bCs w:val="1"/>
          <w:color w:val="auto"/>
        </w:rPr>
        <w:t xml:space="preserve">CONDENSED CONSOLIDATED STATEMENTS OF CASH FLOWS </w:t>
      </w:r>
      <w:r>
        <w:rPr>
          <w:rFonts w:ascii="Arial" w:cs="Arial" w:eastAsia="Arial" w:hAnsi="Arial"/>
          <w:sz w:val="17"/>
          <w:szCs w:val="17"/>
          <w:color w:val="auto"/>
        </w:rPr>
        <w:t>(Unaudited - In millions)</w:t>
      </w:r>
    </w:p>
    <w:p>
      <w:pPr>
        <w:spacing w:after="0" w:line="17" w:lineRule="exact"/>
        <w:rPr>
          <w:sz w:val="20"/>
          <w:szCs w:val="20"/>
          <w:color w:val="auto"/>
        </w:rPr>
      </w:pPr>
    </w:p>
    <w:tbl>
      <w:tblPr>
        <w:tblLayout w:type="fixed"/>
        <w:tblInd w:w="0" w:type="dxa"/>
        <w:tblCellMar>
          <w:top w:w="0" w:type="dxa"/>
          <w:left w:w="0" w:type="dxa"/>
          <w:bottom w:w="0" w:type="dxa"/>
          <w:right w:w="0" w:type="dxa"/>
        </w:tblCellMar>
      </w:tblPr>
      <w:tr>
        <w:trPr>
          <w:trHeight w:val="225"/>
        </w:trPr>
        <w:tc>
          <w:tcPr>
            <w:tcW w:w="7180" w:type="dxa"/>
            <w:vAlign w:val="bottom"/>
          </w:tcPr>
          <w:p>
            <w:pPr>
              <w:spacing w:after="0"/>
              <w:rPr>
                <w:sz w:val="19"/>
                <w:szCs w:val="19"/>
                <w:color w:val="auto"/>
              </w:rPr>
            </w:pPr>
          </w:p>
        </w:tc>
        <w:tc>
          <w:tcPr>
            <w:tcW w:w="4060" w:type="dxa"/>
            <w:vAlign w:val="bottom"/>
            <w:tcBorders>
              <w:bottom w:val="single" w:sz="8" w:color="auto"/>
            </w:tcBorders>
            <w:gridSpan w:val="5"/>
          </w:tcPr>
          <w:p>
            <w:pPr>
              <w:jc w:val="right"/>
              <w:ind w:right="396"/>
              <w:spacing w:after="0"/>
              <w:rPr>
                <w:sz w:val="20"/>
                <w:szCs w:val="20"/>
                <w:color w:val="auto"/>
              </w:rPr>
            </w:pPr>
            <w:r>
              <w:rPr>
                <w:rFonts w:ascii="Arial" w:cs="Arial" w:eastAsia="Arial" w:hAnsi="Arial"/>
                <w:sz w:val="17"/>
                <w:szCs w:val="17"/>
                <w:b w:val="1"/>
                <w:bCs w:val="1"/>
                <w:color w:val="auto"/>
              </w:rPr>
              <w:t>For the Three Months Ended March 31,</w:t>
            </w:r>
          </w:p>
        </w:tc>
      </w:tr>
      <w:tr>
        <w:trPr>
          <w:trHeight w:val="209"/>
        </w:trPr>
        <w:tc>
          <w:tcPr>
            <w:tcW w:w="7180" w:type="dxa"/>
            <w:vAlign w:val="bottom"/>
            <w:tcBorders>
              <w:bottom w:val="single" w:sz="8" w:color="CCEEFF"/>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740" w:type="dxa"/>
            <w:vAlign w:val="bottom"/>
            <w:tcBorders>
              <w:bottom w:val="single" w:sz="8" w:color="auto"/>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716"/>
              <w:spacing w:after="0"/>
              <w:rPr>
                <w:sz w:val="20"/>
                <w:szCs w:val="20"/>
                <w:color w:val="auto"/>
              </w:rPr>
            </w:pPr>
            <w:r>
              <w:rPr>
                <w:rFonts w:ascii="Arial" w:cs="Arial" w:eastAsia="Arial" w:hAnsi="Arial"/>
                <w:sz w:val="17"/>
                <w:szCs w:val="17"/>
                <w:b w:val="1"/>
                <w:bCs w:val="1"/>
                <w:color w:val="auto"/>
              </w:rPr>
              <w:t>2021</w:t>
            </w:r>
          </w:p>
        </w:tc>
      </w:tr>
      <w:tr>
        <w:trPr>
          <w:trHeight w:val="207"/>
        </w:trPr>
        <w:tc>
          <w:tcPr>
            <w:tcW w:w="71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flows from operating activities:</w:t>
            </w:r>
          </w:p>
        </w:tc>
        <w:tc>
          <w:tcPr>
            <w:tcW w:w="1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r>
      <w:tr>
        <w:trPr>
          <w:trHeight w:val="212"/>
        </w:trPr>
        <w:tc>
          <w:tcPr>
            <w:tcW w:w="71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Net income (loss) including noncontrolling interest</w:t>
            </w:r>
          </w:p>
        </w:tc>
        <w:tc>
          <w:tcPr>
            <w:tcW w:w="1220" w:type="dxa"/>
            <w:vAlign w:val="bottom"/>
            <w:tcBorders>
              <w:bottom w:val="single" w:sz="8" w:color="auto"/>
            </w:tcBorders>
          </w:tcPr>
          <w:p>
            <w:pPr>
              <w:jc w:val="right"/>
              <w:ind w:right="1036"/>
              <w:spacing w:after="0"/>
              <w:rPr>
                <w:sz w:val="20"/>
                <w:szCs w:val="20"/>
                <w:color w:val="auto"/>
              </w:rPr>
            </w:pPr>
            <w:r>
              <w:rPr>
                <w:rFonts w:ascii="Arial" w:cs="Arial" w:eastAsia="Arial" w:hAnsi="Arial"/>
                <w:sz w:val="17"/>
                <w:szCs w:val="17"/>
                <w:color w:val="auto"/>
                <w:w w:val="84"/>
              </w:rPr>
              <w:t>$</w:t>
            </w: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26.3</w:t>
            </w:r>
          </w:p>
        </w:tc>
        <w:tc>
          <w:tcPr>
            <w:tcW w:w="12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jc w:val="right"/>
              <w:ind w:right="276"/>
              <w:spacing w:after="0"/>
              <w:rPr>
                <w:sz w:val="20"/>
                <w:szCs w:val="20"/>
                <w:color w:val="auto"/>
              </w:rPr>
            </w:pPr>
            <w:r>
              <w:rPr>
                <w:rFonts w:ascii="Arial" w:cs="Arial" w:eastAsia="Arial" w:hAnsi="Arial"/>
                <w:sz w:val="17"/>
                <w:szCs w:val="17"/>
                <w:color w:val="auto"/>
                <w:w w:val="84"/>
              </w:rPr>
              <w:t>$</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18.8</w:t>
            </w:r>
          </w:p>
        </w:tc>
      </w:tr>
      <w:tr>
        <w:trPr>
          <w:trHeight w:val="149"/>
        </w:trPr>
        <w:tc>
          <w:tcPr>
            <w:tcW w:w="7180" w:type="dxa"/>
            <w:vAlign w:val="bottom"/>
            <w:shd w:val="clear" w:color="auto" w:fill="CCEEFF"/>
          </w:tcPr>
          <w:p>
            <w:pPr>
              <w:ind w:left="140"/>
              <w:spacing w:after="0" w:line="149" w:lineRule="exact"/>
              <w:rPr>
                <w:sz w:val="20"/>
                <w:szCs w:val="20"/>
                <w:color w:val="auto"/>
              </w:rPr>
            </w:pPr>
            <w:r>
              <w:rPr>
                <w:rFonts w:ascii="Arial" w:cs="Arial" w:eastAsia="Arial" w:hAnsi="Arial"/>
                <w:sz w:val="17"/>
                <w:szCs w:val="17"/>
                <w:color w:val="auto"/>
              </w:rPr>
              <w:t>Adjustments to reconcile net income including noncontrolling interest to net cash provided</w:t>
            </w:r>
          </w:p>
        </w:tc>
        <w:tc>
          <w:tcPr>
            <w:tcW w:w="1220" w:type="dxa"/>
            <w:vAlign w:val="bottom"/>
            <w:shd w:val="clear" w:color="auto" w:fill="CCEEFF"/>
          </w:tcPr>
          <w:p>
            <w:pPr>
              <w:spacing w:after="0"/>
              <w:rPr>
                <w:sz w:val="12"/>
                <w:szCs w:val="12"/>
                <w:color w:val="auto"/>
              </w:rPr>
            </w:pPr>
          </w:p>
        </w:tc>
        <w:tc>
          <w:tcPr>
            <w:tcW w:w="7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1520" w:type="dxa"/>
            <w:vAlign w:val="bottom"/>
            <w:shd w:val="clear" w:color="auto" w:fill="CCEEFF"/>
          </w:tcPr>
          <w:p>
            <w:pPr>
              <w:spacing w:after="0"/>
              <w:rPr>
                <w:sz w:val="12"/>
                <w:szCs w:val="12"/>
                <w:color w:val="auto"/>
              </w:rPr>
            </w:pPr>
          </w:p>
        </w:tc>
      </w:tr>
      <w:tr>
        <w:trPr>
          <w:trHeight w:val="206"/>
        </w:trPr>
        <w:tc>
          <w:tcPr>
            <w:tcW w:w="71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by operating activities:</w:t>
            </w:r>
          </w:p>
        </w:tc>
        <w:tc>
          <w:tcPr>
            <w:tcW w:w="1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520" w:type="dxa"/>
            <w:vAlign w:val="bottom"/>
            <w:shd w:val="clear" w:color="auto" w:fill="CCEEFF"/>
          </w:tcPr>
          <w:p>
            <w:pPr>
              <w:spacing w:after="0"/>
              <w:rPr>
                <w:sz w:val="17"/>
                <w:szCs w:val="17"/>
                <w:color w:val="auto"/>
              </w:rPr>
            </w:pP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Depreciation and amortization</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27.2</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19.8</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Provision for credit losses</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3.6</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Share-based payment award compensation costs</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3.7</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8.7</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Deferred income tax expense (benefit)</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Foreign currency (gains) losses, net</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(3.7)</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(12.9)</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Other</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(16.9)</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w:t>
            </w:r>
          </w:p>
        </w:tc>
      </w:tr>
      <w:tr>
        <w:trPr>
          <w:trHeight w:val="212"/>
        </w:trPr>
        <w:tc>
          <w:tcPr>
            <w:tcW w:w="7180" w:type="dxa"/>
            <w:vAlign w:val="bottom"/>
          </w:tcPr>
          <w:p>
            <w:pPr>
              <w:ind w:left="140"/>
              <w:spacing w:after="0"/>
              <w:rPr>
                <w:sz w:val="20"/>
                <w:szCs w:val="20"/>
                <w:color w:val="auto"/>
              </w:rPr>
            </w:pPr>
            <w:r>
              <w:rPr>
                <w:rFonts w:ascii="Arial" w:cs="Arial" w:eastAsia="Arial" w:hAnsi="Arial"/>
                <w:sz w:val="17"/>
                <w:szCs w:val="17"/>
                <w:color w:val="auto"/>
              </w:rPr>
              <w:t>Changes in assets and liabilities, net of acquisitions and divestitures:</w:t>
            </w:r>
          </w:p>
        </w:tc>
        <w:tc>
          <w:tcPr>
            <w:tcW w:w="1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spacing w:after="0"/>
              <w:rPr>
                <w:sz w:val="18"/>
                <w:szCs w:val="18"/>
                <w:color w:val="auto"/>
              </w:rPr>
            </w:pP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Accounts receivable, net</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(1,051.3)</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(438.8)</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Inventories</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(140.6)</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11.0</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Prepaid expenses</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Short-term derivative assets, net</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(210.6)</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77.3</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Other current assets</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72.3</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69.3</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Cash collateral with counterparties</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56.3</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(4.4)</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Other non-current assets</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(108.9)</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Accounts payable</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996.7</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394.3</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Customer deposits</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31.5</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(22.8)</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Accrued expenses and other current liabilities</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158.3</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0.8</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Non-current income tax, net and other long-term liabilities</w:t>
            </w:r>
          </w:p>
        </w:tc>
        <w:tc>
          <w:tcPr>
            <w:tcW w:w="1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86.6</w:t>
            </w:r>
          </w:p>
        </w:tc>
        <w:tc>
          <w:tcPr>
            <w:tcW w:w="12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(1.8)</w:t>
            </w:r>
          </w:p>
        </w:tc>
      </w:tr>
      <w:tr>
        <w:trPr>
          <w:trHeight w:val="205"/>
        </w:trPr>
        <w:tc>
          <w:tcPr>
            <w:tcW w:w="718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Total adjustments</w:t>
            </w:r>
          </w:p>
        </w:tc>
        <w:tc>
          <w:tcPr>
            <w:tcW w:w="12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(98.3)</w:t>
            </w:r>
          </w:p>
        </w:tc>
        <w:tc>
          <w:tcPr>
            <w:tcW w:w="120" w:type="dxa"/>
            <w:vAlign w:val="bottom"/>
            <w:tcBorders>
              <w:bottom w:val="single" w:sz="8" w:color="CCEEFF"/>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84.6</w:t>
            </w:r>
          </w:p>
        </w:tc>
      </w:tr>
      <w:tr>
        <w:trPr>
          <w:trHeight w:val="209"/>
        </w:trPr>
        <w:tc>
          <w:tcPr>
            <w:tcW w:w="718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(used in) operating activities</w:t>
            </w:r>
          </w:p>
        </w:tc>
        <w:tc>
          <w:tcPr>
            <w:tcW w:w="1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(72.0)</w:t>
            </w:r>
          </w:p>
        </w:tc>
        <w:tc>
          <w:tcPr>
            <w:tcW w:w="12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103.4</w:t>
            </w:r>
          </w:p>
        </w:tc>
      </w:tr>
      <w:tr>
        <w:trPr>
          <w:trHeight w:val="205"/>
        </w:trPr>
        <w:tc>
          <w:tcPr>
            <w:tcW w:w="7180" w:type="dxa"/>
            <w:vAlign w:val="bottom"/>
          </w:tcPr>
          <w:p>
            <w:pPr>
              <w:ind w:left="20"/>
              <w:spacing w:after="0"/>
              <w:rPr>
                <w:sz w:val="20"/>
                <w:szCs w:val="20"/>
                <w:color w:val="auto"/>
              </w:rPr>
            </w:pPr>
            <w:r>
              <w:rPr>
                <w:rFonts w:ascii="Arial" w:cs="Arial" w:eastAsia="Arial" w:hAnsi="Arial"/>
                <w:sz w:val="17"/>
                <w:szCs w:val="17"/>
                <w:color w:val="auto"/>
              </w:rPr>
              <w:t>Cash flows from investing activities:</w:t>
            </w:r>
          </w:p>
        </w:tc>
        <w:tc>
          <w:tcPr>
            <w:tcW w:w="1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520" w:type="dxa"/>
            <w:vAlign w:val="bottom"/>
          </w:tcPr>
          <w:p>
            <w:pPr>
              <w:spacing w:after="0"/>
              <w:rPr>
                <w:sz w:val="17"/>
                <w:szCs w:val="17"/>
                <w:color w:val="auto"/>
              </w:rPr>
            </w:pP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Acquisition of business, net of cash acquired</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(639.4)</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Capital expenditures</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(16.7)</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Other investing activities, net</w:t>
            </w:r>
          </w:p>
        </w:tc>
        <w:tc>
          <w:tcPr>
            <w:tcW w:w="1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w:t>
            </w:r>
          </w:p>
        </w:tc>
        <w:tc>
          <w:tcPr>
            <w:tcW w:w="12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(0.6)</w:t>
            </w:r>
          </w:p>
        </w:tc>
      </w:tr>
      <w:tr>
        <w:trPr>
          <w:trHeight w:val="205"/>
        </w:trPr>
        <w:tc>
          <w:tcPr>
            <w:tcW w:w="71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Net cash provided by (used in) investing activities</w:t>
            </w:r>
          </w:p>
        </w:tc>
        <w:tc>
          <w:tcPr>
            <w:tcW w:w="12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(657.3)</w:t>
            </w:r>
          </w:p>
        </w:tc>
        <w:tc>
          <w:tcPr>
            <w:tcW w:w="120" w:type="dxa"/>
            <w:vAlign w:val="bottom"/>
            <w:tcBorders>
              <w:bottom w:val="single" w:sz="8" w:color="CCEEFF"/>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w:t>
            </w:r>
          </w:p>
        </w:tc>
      </w:tr>
      <w:tr>
        <w:trPr>
          <w:trHeight w:val="209"/>
        </w:trPr>
        <w:tc>
          <w:tcPr>
            <w:tcW w:w="71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flows from financing activities:</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Borrowings of debt</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1,745.8</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0.2</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Repayments of debt</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(1,369.7)</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w:t>
            </w:r>
          </w:p>
        </w:tc>
      </w:tr>
      <w:tr>
        <w:trPr>
          <w:trHeight w:val="212"/>
        </w:trPr>
        <w:tc>
          <w:tcPr>
            <w:tcW w:w="7180" w:type="dxa"/>
            <w:vAlign w:val="bottom"/>
          </w:tcPr>
          <w:p>
            <w:pPr>
              <w:ind w:left="240"/>
              <w:spacing w:after="0"/>
              <w:rPr>
                <w:sz w:val="20"/>
                <w:szCs w:val="20"/>
                <w:color w:val="auto"/>
              </w:rPr>
            </w:pPr>
            <w:r>
              <w:rPr>
                <w:rFonts w:ascii="Arial" w:cs="Arial" w:eastAsia="Arial" w:hAnsi="Arial"/>
                <w:sz w:val="17"/>
                <w:szCs w:val="17"/>
                <w:color w:val="auto"/>
              </w:rPr>
              <w:t>Dividends paid on common stock</w:t>
            </w: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7"/>
                <w:szCs w:val="17"/>
                <w:color w:val="auto"/>
              </w:rPr>
              <w:t>(7.4)</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7"/>
                <w:szCs w:val="17"/>
                <w:color w:val="auto"/>
              </w:rPr>
              <w:t>(6.1)</w:t>
            </w:r>
          </w:p>
        </w:tc>
      </w:tr>
      <w:tr>
        <w:trPr>
          <w:trHeight w:val="215"/>
        </w:trPr>
        <w:tc>
          <w:tcPr>
            <w:tcW w:w="7180" w:type="dxa"/>
            <w:vAlign w:val="bottom"/>
            <w:shd w:val="clear" w:color="auto" w:fill="CCEEFF"/>
          </w:tcPr>
          <w:p>
            <w:pPr>
              <w:ind w:left="240"/>
              <w:spacing w:after="0"/>
              <w:rPr>
                <w:sz w:val="20"/>
                <w:szCs w:val="20"/>
                <w:color w:val="auto"/>
              </w:rPr>
            </w:pPr>
            <w:r>
              <w:rPr>
                <w:rFonts w:ascii="Arial" w:cs="Arial" w:eastAsia="Arial" w:hAnsi="Arial"/>
                <w:sz w:val="17"/>
                <w:szCs w:val="17"/>
                <w:color w:val="auto"/>
              </w:rPr>
              <w:t>Repurchases of common stock</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12"/>
        </w:trPr>
        <w:tc>
          <w:tcPr>
            <w:tcW w:w="7180" w:type="dxa"/>
            <w:vAlign w:val="bottom"/>
            <w:tcBorders>
              <w:bottom w:val="single" w:sz="8" w:color="CCEEFF"/>
            </w:tcBorders>
          </w:tcPr>
          <w:p>
            <w:pPr>
              <w:ind w:left="240"/>
              <w:spacing w:after="0"/>
              <w:rPr>
                <w:sz w:val="20"/>
                <w:szCs w:val="20"/>
                <w:color w:val="auto"/>
              </w:rPr>
            </w:pPr>
            <w:r>
              <w:rPr>
                <w:rFonts w:ascii="Arial" w:cs="Arial" w:eastAsia="Arial" w:hAnsi="Arial"/>
                <w:sz w:val="17"/>
                <w:szCs w:val="17"/>
                <w:color w:val="auto"/>
              </w:rPr>
              <w:t>Other financing activities, net</w:t>
            </w:r>
          </w:p>
        </w:tc>
        <w:tc>
          <w:tcPr>
            <w:tcW w:w="12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(11.3)</w:t>
            </w:r>
          </w:p>
        </w:tc>
        <w:tc>
          <w:tcPr>
            <w:tcW w:w="12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(10.4)</w:t>
            </w:r>
          </w:p>
        </w:tc>
      </w:tr>
      <w:tr>
        <w:trPr>
          <w:trHeight w:val="209"/>
        </w:trPr>
        <w:tc>
          <w:tcPr>
            <w:tcW w:w="718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(used in) financing activities</w:t>
            </w:r>
          </w:p>
        </w:tc>
        <w:tc>
          <w:tcPr>
            <w:tcW w:w="12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343.7</w:t>
            </w:r>
          </w:p>
        </w:tc>
        <w:tc>
          <w:tcPr>
            <w:tcW w:w="12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(20.8)</w:t>
            </w:r>
          </w:p>
        </w:tc>
      </w:tr>
      <w:tr>
        <w:trPr>
          <w:trHeight w:val="205"/>
        </w:trPr>
        <w:tc>
          <w:tcPr>
            <w:tcW w:w="7180" w:type="dxa"/>
            <w:vAlign w:val="bottom"/>
            <w:tcBorders>
              <w:bottom w:val="single" w:sz="8" w:color="CCEEFF"/>
            </w:tcBorders>
          </w:tcPr>
          <w:p>
            <w:pPr>
              <w:ind w:left="240"/>
              <w:spacing w:after="0"/>
              <w:rPr>
                <w:sz w:val="20"/>
                <w:szCs w:val="20"/>
                <w:color w:val="auto"/>
              </w:rPr>
            </w:pPr>
            <w:r>
              <w:rPr>
                <w:rFonts w:ascii="Arial" w:cs="Arial" w:eastAsia="Arial" w:hAnsi="Arial"/>
                <w:sz w:val="17"/>
                <w:szCs w:val="17"/>
                <w:color w:val="auto"/>
              </w:rPr>
              <w:t>Effect of exchange rate changes on cash and cash equivalents</w:t>
            </w:r>
          </w:p>
        </w:tc>
        <w:tc>
          <w:tcPr>
            <w:tcW w:w="12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(0.3)</w:t>
            </w:r>
          </w:p>
        </w:tc>
        <w:tc>
          <w:tcPr>
            <w:tcW w:w="120" w:type="dxa"/>
            <w:vAlign w:val="bottom"/>
            <w:tcBorders>
              <w:bottom w:val="single" w:sz="8" w:color="CCEEFF"/>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(3.5)</w:t>
            </w:r>
          </w:p>
        </w:tc>
      </w:tr>
      <w:tr>
        <w:trPr>
          <w:trHeight w:val="209"/>
        </w:trPr>
        <w:tc>
          <w:tcPr>
            <w:tcW w:w="718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increase (decrease) in cash and cash equivalents</w:t>
            </w:r>
          </w:p>
        </w:tc>
        <w:tc>
          <w:tcPr>
            <w:tcW w:w="1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(386.0)</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76.5</w:t>
            </w:r>
          </w:p>
        </w:tc>
      </w:tr>
      <w:tr>
        <w:trPr>
          <w:trHeight w:val="212"/>
        </w:trPr>
        <w:tc>
          <w:tcPr>
            <w:tcW w:w="71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Cash and cash equivalents, as of the beginning of the period</w:t>
            </w:r>
          </w:p>
        </w:tc>
        <w:tc>
          <w:tcPr>
            <w:tcW w:w="12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652.2</w:t>
            </w:r>
          </w:p>
        </w:tc>
        <w:tc>
          <w:tcPr>
            <w:tcW w:w="120" w:type="dxa"/>
            <w:vAlign w:val="bottom"/>
            <w:tcBorders>
              <w:bottom w:val="single" w:sz="8" w:color="CCEEFF"/>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658.8</w:t>
            </w:r>
          </w:p>
        </w:tc>
      </w:tr>
      <w:tr>
        <w:trPr>
          <w:trHeight w:val="234"/>
        </w:trPr>
        <w:tc>
          <w:tcPr>
            <w:tcW w:w="7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Cash and cash equivalents, as of the end of the period</w:t>
            </w:r>
          </w:p>
        </w:tc>
        <w:tc>
          <w:tcPr>
            <w:tcW w:w="1220" w:type="dxa"/>
            <w:vAlign w:val="bottom"/>
            <w:tcBorders>
              <w:bottom w:val="single" w:sz="8" w:color="auto"/>
            </w:tcBorders>
            <w:shd w:val="clear" w:color="auto" w:fill="CCEEFF"/>
          </w:tcPr>
          <w:p>
            <w:pPr>
              <w:jc w:val="right"/>
              <w:ind w:right="1036"/>
              <w:spacing w:after="0"/>
              <w:rPr>
                <w:sz w:val="20"/>
                <w:szCs w:val="20"/>
                <w:color w:val="auto"/>
              </w:rPr>
            </w:pPr>
            <w:r>
              <w:rPr>
                <w:rFonts w:ascii="Arial" w:cs="Arial" w:eastAsia="Arial" w:hAnsi="Arial"/>
                <w:sz w:val="17"/>
                <w:szCs w:val="17"/>
                <w:color w:val="auto"/>
                <w:w w:val="84"/>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266.2</w:t>
            </w:r>
          </w:p>
        </w:tc>
        <w:tc>
          <w:tcPr>
            <w:tcW w:w="120" w:type="dxa"/>
            <w:vAlign w:val="bottom"/>
            <w:tcBorders>
              <w:bottom w:val="single" w:sz="8" w:color="CCEEFF"/>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jc w:val="right"/>
              <w:ind w:right="276"/>
              <w:spacing w:after="0"/>
              <w:rPr>
                <w:sz w:val="20"/>
                <w:szCs w:val="20"/>
                <w:color w:val="auto"/>
              </w:rPr>
            </w:pPr>
            <w:r>
              <w:rPr>
                <w:rFonts w:ascii="Arial" w:cs="Arial" w:eastAsia="Arial" w:hAnsi="Arial"/>
                <w:sz w:val="17"/>
                <w:szCs w:val="17"/>
                <w:color w:val="auto"/>
                <w:w w:val="84"/>
              </w:rPr>
              <w:t>$</w:t>
            </w: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735.3</w:t>
            </w:r>
          </w:p>
        </w:tc>
      </w:tr>
      <w:tr>
        <w:trPr>
          <w:trHeight w:val="20"/>
        </w:trPr>
        <w:tc>
          <w:tcPr>
            <w:tcW w:w="718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r>
    </w:tbl>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Supplemental Schedule of Noncash Investing and Financing Activities:</w:t>
      </w:r>
    </w:p>
    <w:p>
      <w:pPr>
        <w:spacing w:after="0" w:line="28" w:lineRule="exact"/>
        <w:rPr>
          <w:sz w:val="20"/>
          <w:szCs w:val="20"/>
          <w:color w:val="auto"/>
        </w:rPr>
      </w:pPr>
    </w:p>
    <w:p>
      <w:pPr>
        <w:jc w:val="both"/>
        <w:ind w:right="20"/>
        <w:spacing w:after="0" w:line="254" w:lineRule="auto"/>
        <w:rPr>
          <w:sz w:val="20"/>
          <w:szCs w:val="20"/>
          <w:color w:val="auto"/>
        </w:rPr>
      </w:pPr>
      <w:r>
        <w:rPr>
          <w:rFonts w:ascii="Arial" w:cs="Arial" w:eastAsia="Arial" w:hAnsi="Arial"/>
          <w:sz w:val="18"/>
          <w:szCs w:val="18"/>
          <w:color w:val="auto"/>
        </w:rPr>
        <w:t>Cash dividends declared, but not yet paid, were $7.6 million and $7.5 million for the three months ended March 31, 2022 and 2021, respectively.</w:t>
      </w:r>
    </w:p>
    <w:p>
      <w:pPr>
        <w:spacing w:after="0" w:line="27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The accompanying Notes are an integral part of these unaudited Condensed Consolidated Financial Statements.</w:t>
      </w:r>
    </w:p>
    <w:p>
      <w:pPr>
        <w:spacing w:after="0" w:line="1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4" w:right="339" w:bottom="1440" w:gutter="0" w:footer="0" w:header="0"/>
        </w:sectPr>
      </w:pPr>
    </w:p>
    <w:bookmarkStart w:id="6" w:name="page7"/>
    <w:bookmarkEnd w:id="6"/>
    <w:p>
      <w:pPr>
        <w:ind w:right="1020"/>
        <w:spacing w:after="0" w:line="261" w:lineRule="auto"/>
        <w:rPr>
          <w:sz w:val="20"/>
          <w:szCs w:val="20"/>
          <w:color w:val="auto"/>
        </w:rPr>
      </w:pPr>
      <w:r>
        <w:rPr>
          <w:rFonts w:ascii="Arial" w:cs="Arial" w:eastAsia="Arial" w:hAnsi="Arial"/>
          <w:sz w:val="21"/>
          <w:szCs w:val="21"/>
          <w:b w:val="1"/>
          <w:bCs w:val="1"/>
          <w:color w:val="auto"/>
        </w:rPr>
        <w:t>WORLD FUEL SERVICES CORPORATION NOTES TO THE CONDENSED CONSOLIDATED FINANCIAL STATEMENTS</w:t>
      </w:r>
    </w:p>
    <w:p>
      <w:pPr>
        <w:spacing w:after="0"/>
        <w:rPr>
          <w:sz w:val="20"/>
          <w:szCs w:val="20"/>
          <w:color w:val="auto"/>
        </w:rPr>
      </w:pPr>
      <w:r>
        <w:rPr>
          <w:rFonts w:ascii="Arial" w:cs="Arial" w:eastAsia="Arial" w:hAnsi="Arial"/>
          <w:sz w:val="18"/>
          <w:szCs w:val="18"/>
          <w:color w:val="auto"/>
        </w:rPr>
        <w:t>(Unaudited)</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 New Accounting Standards, and Significant Accounting Policies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World Fuel Services Corporation (the "Company") was incorporated in Florida in July 1984 and along with its consolidated subsidiaries is referred to collectively in this Quarterly Report on Form 10-Q ("10-Q Report") as "World Fuel," "we," "our" and "us."</w:t>
      </w:r>
    </w:p>
    <w:p>
      <w:pPr>
        <w:spacing w:after="0" w:line="96" w:lineRule="exact"/>
        <w:rPr>
          <w:sz w:val="20"/>
          <w:szCs w:val="20"/>
          <w:color w:val="auto"/>
        </w:rPr>
      </w:pPr>
    </w:p>
    <w:p>
      <w:pPr>
        <w:jc w:val="both"/>
        <w:spacing w:after="0" w:line="265" w:lineRule="auto"/>
        <w:rPr>
          <w:sz w:val="20"/>
          <w:szCs w:val="20"/>
          <w:color w:val="auto"/>
        </w:rPr>
      </w:pPr>
      <w:r>
        <w:rPr>
          <w:rFonts w:ascii="Arial" w:cs="Arial" w:eastAsia="Arial" w:hAnsi="Arial"/>
          <w:sz w:val="17"/>
          <w:szCs w:val="17"/>
          <w:color w:val="auto"/>
        </w:rPr>
        <w:t>We are a leading global fuel services company, principally engaged in the distribution of fuel and related products and services in the aviation, land and marine transportation industries. In recent years, we have expanded our land product and service offerings to include energy advisory services and supply fulfillment for natural gas and power to commercial, industrial and government customers. Our intention is to become a leading global energy management company offering a full suite of energy advisory, management and fulfillment services, technology solutions, payment management solutions, as well as sustainability products and services across the energy product spectrum. We will continue to focus on enhancing the portfolio of products and services we provide based on changes in customer demand, including increasing our sustainability offerings and renewable energy solutions in light of the continued global focus on climate change and the related impacts.</w:t>
      </w:r>
    </w:p>
    <w:p>
      <w:pPr>
        <w:spacing w:after="0" w:line="90"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The Condensed Consolidated Financial Statements and related Notes include our parent company and all subsidiaries where we exercise control, and include the operations of acquired businesses after the completion of their acquisition. The decision of whether or not to consolidate an entity requires consideration of majority voting interests, as well as effective economic or other control over the entity. The Condensed Consolidated Financial Statements are prepared in accordance with accounting principles generally accepted in the United States of America ("U.S. GAAP"), the instructions to Form 10-Q and Article 10 of Regulation S-X. Accordingly, they do not include all the information and footnotes required by generally accepted accounting principles for complete financial statements. However, except as disclosed herein, there has been no material change in the information disclosed in the Notes included in our 2021 Annual Report on Form 10-K ("2021 10-K Report"). All intercompany transactions among our businesses have been eliminated.</w:t>
      </w:r>
    </w:p>
    <w:p>
      <w:pPr>
        <w:spacing w:after="0" w:line="104"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Revenues, expenses, assets and liabilities can vary during each quarter of the year. Therefore, the results and trends in these interim financial statements may not be representative of those for the full year. In our opinion, all adjustments necessary for a fair statement of the financial statements, which are of a normal and recurring nature, have been made for the interim periods reported. The information included in this 10-Q Report should be read in conjunction with the Consolidated Financial Statements and accompanying Notes included in our 2021 10-K Report. Certain amounts in the Condensed Consolidated Financial Statements and accompanying Notes may not add due to rounding; however, all percentages have been calculated using unrounded amounts. Certain prior period amounts have been reclassified to conform to the current presentation.</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w:t>
      </w:r>
    </w:p>
    <w:p>
      <w:pPr>
        <w:spacing w:after="0" w:line="2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Throughout 2020 and 2021, the COVID-19 pandemic had a significant impact on the global economy as a whole, and the transportation industries in particular. Many of our customers in these industries, especially commercial airlines, have experienced a substantial decline in business activity arising from the various measures enacted by governments around the world to contain the spread of the virus. While travel and economic activity has begun to improve in various regions, activity in certain parts of the world continues to be negatively impacted by travel restrictions and other quarantine mandates.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Standards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Adoption of New Accounting Standards</w:t>
      </w:r>
    </w:p>
    <w:p>
      <w:pPr>
        <w:spacing w:after="0" w:line="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During 2022, there have been no accounting standards that, upon adoption, had a material impact on the Company's unaudited Condensed Consolidated Financial Statements or processes.</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Accounting Standards Issued but Not Yet Adopted</w:t>
      </w:r>
    </w:p>
    <w:p>
      <w:pPr>
        <w:spacing w:after="0" w:line="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There have been no recently issued accounting standards not yet adopted by us which are expected, upon adoption, to have a material impact on the Company’s Consolidated Financial Statements or processes.</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4" w:right="3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Significant Accounting Policies</w:t>
      </w:r>
    </w:p>
    <w:p>
      <w:pPr>
        <w:spacing w:after="0" w:line="28" w:lineRule="exact"/>
        <w:rPr>
          <w:sz w:val="20"/>
          <w:szCs w:val="20"/>
          <w:color w:val="auto"/>
        </w:rPr>
      </w:pPr>
    </w:p>
    <w:p>
      <w:pPr>
        <w:jc w:val="both"/>
        <w:spacing w:after="0" w:line="250" w:lineRule="auto"/>
        <w:rPr>
          <w:sz w:val="20"/>
          <w:szCs w:val="20"/>
          <w:color w:val="auto"/>
        </w:rPr>
      </w:pPr>
      <w:r>
        <w:rPr>
          <w:rFonts w:ascii="Arial" w:cs="Arial" w:eastAsia="Arial" w:hAnsi="Arial"/>
          <w:sz w:val="18"/>
          <w:szCs w:val="18"/>
          <w:color w:val="auto"/>
        </w:rPr>
        <w:t>There have been no significant changes in the Company's accounting policies from those disclosed in our 2021 10-K Report. The significant accounting policies we use for quarterly financial reporting are disclosed in Note 1. Basis of Presentation, New Accounting Standards, and Significant Accounting Policies of the accompanying Notes to the Consolidated Financial Statements included in our 2021 10-K Report.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Accounts Receivable</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Receivable and Allowance for Credit Losses</w:t>
      </w:r>
    </w:p>
    <w:p>
      <w:pPr>
        <w:spacing w:after="0" w:line="28" w:lineRule="exact"/>
        <w:rPr>
          <w:sz w:val="20"/>
          <w:szCs w:val="20"/>
          <w:color w:val="auto"/>
        </w:rPr>
      </w:pPr>
    </w:p>
    <w:p>
      <w:pPr>
        <w:jc w:val="both"/>
        <w:spacing w:after="0" w:line="250" w:lineRule="auto"/>
        <w:rPr>
          <w:sz w:val="20"/>
          <w:szCs w:val="20"/>
          <w:color w:val="auto"/>
        </w:rPr>
      </w:pPr>
      <w:r>
        <w:rPr>
          <w:rFonts w:ascii="Arial" w:cs="Arial" w:eastAsia="Arial" w:hAnsi="Arial"/>
          <w:sz w:val="18"/>
          <w:szCs w:val="18"/>
          <w:color w:val="auto"/>
        </w:rPr>
        <w:t>When we extend credit on an unsecured basis, our exposure to credit losses depends on the financial condition of our customers and other macroeconomic factors beyond our control, such as global economic conditions or adverse impacts in the industries we serve, changes in oil prices and political instability.</w:t>
      </w:r>
    </w:p>
    <w:p>
      <w:pPr>
        <w:spacing w:after="0" w:line="100"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We actively monitor and manage our credit exposure and work to respond to both changes in our customers' financial conditions or macroeconomic events. Based on the ongoing credit evaluations of our customers, we adjust credit limits based upon payment history and our customers' current creditworthiness. However, because we extend credit on an unsecured basis to most of our customers, there is a possibility that any accounts receivable not collected may ultimately need to be written off.</w:t>
      </w:r>
    </w:p>
    <w:p>
      <w:pPr>
        <w:spacing w:after="0" w:line="102"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We had accounts receivable of $3.5 billion and $2.4 billion and an allowance for expected credit losses, primarily related to accounts receivable, of $21.0 million and $29.8 million, as of March 31, 2022 and December 31, 2021, respectively. Changes to the expected credit loss provision during the three months ended March 31, 2022 include global economic outlook considerations as a result of the Company's assessment of reasonable and supportable forward-looking information, including the continued global recovery from the pandemic. Write-offs of uncollectible receivables during the three months ended March 31, 2022 resulted from pre-existing financial difficulties experienced by certain customers. Based on an aging analysis as of March 31, 2022, 96% of our accounts receivable were outstanding less than 60 days.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activities in our allowance for expected credit losses (in millions):</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900" w:type="dxa"/>
            <w:vAlign w:val="bottom"/>
          </w:tcPr>
          <w:p>
            <w:pPr>
              <w:spacing w:after="0"/>
              <w:rPr>
                <w:sz w:val="20"/>
                <w:szCs w:val="20"/>
                <w:color w:val="auto"/>
              </w:rPr>
            </w:pPr>
          </w:p>
        </w:tc>
        <w:tc>
          <w:tcPr>
            <w:tcW w:w="38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For the Three Months Ended March 31,</w:t>
            </w:r>
          </w:p>
        </w:tc>
        <w:tc>
          <w:tcPr>
            <w:tcW w:w="500" w:type="dxa"/>
            <w:vAlign w:val="bottom"/>
            <w:tcBorders>
              <w:bottom w:val="single" w:sz="8" w:color="auto"/>
            </w:tcBorders>
          </w:tcPr>
          <w:p>
            <w:pPr>
              <w:spacing w:after="0"/>
              <w:rPr>
                <w:sz w:val="20"/>
                <w:szCs w:val="20"/>
                <w:color w:val="auto"/>
              </w:rPr>
            </w:pPr>
          </w:p>
        </w:tc>
      </w:tr>
      <w:tr>
        <w:trPr>
          <w:trHeight w:val="221"/>
        </w:trPr>
        <w:tc>
          <w:tcPr>
            <w:tcW w:w="6900" w:type="dxa"/>
            <w:vAlign w:val="bottom"/>
            <w:tcBorders>
              <w:bottom w:val="single" w:sz="8" w:color="CCEEFF"/>
            </w:tcBorders>
          </w:tcPr>
          <w:p>
            <w:pPr>
              <w:spacing w:after="0"/>
              <w:rPr>
                <w:sz w:val="19"/>
                <w:szCs w:val="19"/>
                <w:color w:val="auto"/>
              </w:rPr>
            </w:pPr>
          </w:p>
        </w:tc>
        <w:tc>
          <w:tcPr>
            <w:tcW w:w="1420" w:type="dxa"/>
            <w:vAlign w:val="bottom"/>
            <w:tcBorders>
              <w:bottom w:val="single" w:sz="8" w:color="auto"/>
            </w:tcBorders>
          </w:tcPr>
          <w:p>
            <w:pPr>
              <w:jc w:val="right"/>
              <w:ind w:right="71"/>
              <w:spacing w:after="0"/>
              <w:rPr>
                <w:sz w:val="20"/>
                <w:szCs w:val="20"/>
                <w:color w:val="auto"/>
              </w:rPr>
            </w:pPr>
            <w:r>
              <w:rPr>
                <w:rFonts w:ascii="Arial" w:cs="Arial" w:eastAsia="Arial" w:hAnsi="Arial"/>
                <w:sz w:val="18"/>
                <w:szCs w:val="18"/>
                <w:b w:val="1"/>
                <w:bCs w:val="1"/>
                <w:color w:val="auto"/>
              </w:rPr>
              <w:t>2022</w:t>
            </w:r>
          </w:p>
        </w:tc>
        <w:tc>
          <w:tcPr>
            <w:tcW w:w="680" w:type="dxa"/>
            <w:vAlign w:val="bottom"/>
            <w:tcBorders>
              <w:bottom w:val="single" w:sz="8" w:color="auto"/>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1600" w:type="dxa"/>
            <w:vAlign w:val="bottom"/>
            <w:tcBorders>
              <w:bottom w:val="single" w:sz="8" w:color="auto"/>
            </w:tcBorders>
          </w:tcPr>
          <w:p>
            <w:pPr>
              <w:jc w:val="right"/>
              <w:ind w:right="271"/>
              <w:spacing w:after="0"/>
              <w:rPr>
                <w:sz w:val="20"/>
                <w:szCs w:val="20"/>
                <w:color w:val="auto"/>
              </w:rPr>
            </w:pPr>
            <w:r>
              <w:rPr>
                <w:rFonts w:ascii="Arial" w:cs="Arial" w:eastAsia="Arial" w:hAnsi="Arial"/>
                <w:sz w:val="18"/>
                <w:szCs w:val="18"/>
                <w:b w:val="1"/>
                <w:bCs w:val="1"/>
                <w:color w:val="auto"/>
              </w:rPr>
              <w:t>2021</w:t>
            </w:r>
          </w:p>
        </w:tc>
        <w:tc>
          <w:tcPr>
            <w:tcW w:w="500" w:type="dxa"/>
            <w:vAlign w:val="bottom"/>
            <w:tcBorders>
              <w:bottom w:val="single" w:sz="8" w:color="auto"/>
            </w:tcBorders>
          </w:tcPr>
          <w:p>
            <w:pPr>
              <w:spacing w:after="0"/>
              <w:rPr>
                <w:sz w:val="19"/>
                <w:szCs w:val="19"/>
                <w:color w:val="auto"/>
              </w:rPr>
            </w:pPr>
          </w:p>
        </w:tc>
      </w:tr>
      <w:tr>
        <w:trPr>
          <w:trHeight w:val="220"/>
        </w:trPr>
        <w:tc>
          <w:tcPr>
            <w:tcW w:w="690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as of January 1,</w:t>
            </w:r>
          </w:p>
        </w:tc>
        <w:tc>
          <w:tcPr>
            <w:tcW w:w="1420" w:type="dxa"/>
            <w:vAlign w:val="bottom"/>
            <w:shd w:val="clear" w:color="auto" w:fill="CCEEFF"/>
          </w:tcPr>
          <w:p>
            <w:pPr>
              <w:jc w:val="right"/>
              <w:ind w:right="1211"/>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29.8</w:t>
            </w: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jc w:val="right"/>
              <w:ind w:right="1411"/>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57.3</w:t>
            </w:r>
          </w:p>
        </w:tc>
      </w:tr>
      <w:tr>
        <w:trPr>
          <w:trHeight w:val="226"/>
        </w:trPr>
        <w:tc>
          <w:tcPr>
            <w:tcW w:w="6900" w:type="dxa"/>
            <w:vAlign w:val="bottom"/>
          </w:tcPr>
          <w:p>
            <w:pPr>
              <w:ind w:left="20"/>
              <w:spacing w:after="0"/>
              <w:rPr>
                <w:sz w:val="20"/>
                <w:szCs w:val="20"/>
                <w:color w:val="auto"/>
              </w:rPr>
            </w:pPr>
            <w:r>
              <w:rPr>
                <w:rFonts w:ascii="Arial" w:cs="Arial" w:eastAsia="Arial" w:hAnsi="Arial"/>
                <w:sz w:val="18"/>
                <w:szCs w:val="18"/>
                <w:color w:val="auto"/>
              </w:rPr>
              <w:t>Charges to allowance for credit losses</w:t>
            </w:r>
          </w:p>
        </w:tc>
        <w:tc>
          <w:tcPr>
            <w:tcW w:w="14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2.0</w:t>
            </w:r>
          </w:p>
        </w:tc>
        <w:tc>
          <w:tcPr>
            <w:tcW w:w="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28"/>
        </w:trPr>
        <w:tc>
          <w:tcPr>
            <w:tcW w:w="6900" w:type="dxa"/>
            <w:vAlign w:val="bottom"/>
            <w:shd w:val="clear" w:color="auto" w:fill="CCEEFF"/>
          </w:tcPr>
          <w:p>
            <w:pPr>
              <w:ind w:left="20"/>
              <w:spacing w:after="0"/>
              <w:rPr>
                <w:sz w:val="20"/>
                <w:szCs w:val="20"/>
                <w:color w:val="auto"/>
              </w:rPr>
            </w:pPr>
            <w:r>
              <w:rPr>
                <w:rFonts w:ascii="Arial" w:cs="Arial" w:eastAsia="Arial" w:hAnsi="Arial"/>
                <w:sz w:val="18"/>
                <w:szCs w:val="18"/>
                <w:color w:val="auto"/>
              </w:rPr>
              <w:t>Write-off of uncollectible receivables</w:t>
            </w:r>
          </w:p>
        </w:tc>
        <w:tc>
          <w:tcPr>
            <w:tcW w:w="142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w:t>
            </w:r>
          </w:p>
        </w:tc>
        <w:tc>
          <w:tcPr>
            <w:tcW w:w="14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(13.8)</w:t>
            </w:r>
          </w:p>
        </w:tc>
      </w:tr>
      <w:tr>
        <w:trPr>
          <w:trHeight w:val="226"/>
        </w:trPr>
        <w:tc>
          <w:tcPr>
            <w:tcW w:w="6900" w:type="dxa"/>
            <w:vAlign w:val="bottom"/>
          </w:tcPr>
          <w:p>
            <w:pPr>
              <w:ind w:left="20"/>
              <w:spacing w:after="0"/>
              <w:rPr>
                <w:sz w:val="20"/>
                <w:szCs w:val="20"/>
                <w:color w:val="auto"/>
              </w:rPr>
            </w:pPr>
            <w:r>
              <w:rPr>
                <w:rFonts w:ascii="Arial" w:cs="Arial" w:eastAsia="Arial" w:hAnsi="Arial"/>
                <w:sz w:val="18"/>
                <w:szCs w:val="18"/>
                <w:color w:val="auto"/>
              </w:rPr>
              <w:t>Recoveries of credit losses</w:t>
            </w:r>
          </w:p>
        </w:tc>
        <w:tc>
          <w:tcPr>
            <w:tcW w:w="1420" w:type="dxa"/>
            <w:vAlign w:val="bottom"/>
          </w:tcPr>
          <w:p>
            <w:pPr>
              <w:spacing w:after="0"/>
              <w:rPr>
                <w:sz w:val="19"/>
                <w:szCs w:val="19"/>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0.3</w:t>
            </w:r>
          </w:p>
        </w:tc>
        <w:tc>
          <w:tcPr>
            <w:tcW w:w="14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0.4</w:t>
            </w:r>
          </w:p>
        </w:tc>
      </w:tr>
      <w:tr>
        <w:trPr>
          <w:trHeight w:val="227"/>
        </w:trPr>
        <w:tc>
          <w:tcPr>
            <w:tcW w:w="6900" w:type="dxa"/>
            <w:vAlign w:val="bottom"/>
            <w:shd w:val="clear" w:color="auto" w:fill="CCEEFF"/>
          </w:tcPr>
          <w:p>
            <w:pPr>
              <w:ind w:left="20"/>
              <w:spacing w:after="0"/>
              <w:rPr>
                <w:sz w:val="20"/>
                <w:szCs w:val="20"/>
                <w:color w:val="auto"/>
              </w:rPr>
            </w:pPr>
            <w:r>
              <w:rPr>
                <w:rFonts w:ascii="Arial" w:cs="Arial" w:eastAsia="Arial" w:hAnsi="Arial"/>
                <w:sz w:val="18"/>
                <w:szCs w:val="18"/>
                <w:color w:val="auto"/>
              </w:rPr>
              <w:t>Translation adjustments</w:t>
            </w:r>
          </w:p>
        </w:tc>
        <w:tc>
          <w:tcPr>
            <w:tcW w:w="142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40" w:type="dxa"/>
            <w:vAlign w:val="bottom"/>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1"/>
        </w:trPr>
        <w:tc>
          <w:tcPr>
            <w:tcW w:w="6900" w:type="dxa"/>
            <w:vAlign w:val="bottom"/>
          </w:tcPr>
          <w:p>
            <w:pPr>
              <w:ind w:left="20"/>
              <w:spacing w:after="0"/>
              <w:rPr>
                <w:sz w:val="20"/>
                <w:szCs w:val="20"/>
                <w:color w:val="auto"/>
              </w:rPr>
            </w:pPr>
            <w:r>
              <w:rPr>
                <w:rFonts w:ascii="Arial" w:cs="Arial" w:eastAsia="Arial" w:hAnsi="Arial"/>
                <w:sz w:val="18"/>
                <w:szCs w:val="18"/>
                <w:color w:val="auto"/>
              </w:rPr>
              <w:t>Balance as of March 31,</w:t>
            </w:r>
          </w:p>
        </w:tc>
        <w:tc>
          <w:tcPr>
            <w:tcW w:w="1420" w:type="dxa"/>
            <w:vAlign w:val="bottom"/>
            <w:tcBorders>
              <w:bottom w:val="single" w:sz="8" w:color="auto"/>
            </w:tcBorders>
          </w:tcPr>
          <w:p>
            <w:pPr>
              <w:jc w:val="right"/>
              <w:ind w:right="1211"/>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21.0</w:t>
            </w:r>
          </w:p>
        </w:tc>
        <w:tc>
          <w:tcPr>
            <w:tcW w:w="140" w:type="dxa"/>
            <w:vAlign w:val="bottom"/>
          </w:tcPr>
          <w:p>
            <w:pPr>
              <w:spacing w:after="0"/>
              <w:rPr>
                <w:sz w:val="19"/>
                <w:szCs w:val="19"/>
                <w:color w:val="auto"/>
              </w:rPr>
            </w:pPr>
          </w:p>
        </w:tc>
        <w:tc>
          <w:tcPr>
            <w:tcW w:w="1600" w:type="dxa"/>
            <w:vAlign w:val="bottom"/>
            <w:tcBorders>
              <w:bottom w:val="single" w:sz="8" w:color="auto"/>
            </w:tcBorders>
          </w:tcPr>
          <w:p>
            <w:pPr>
              <w:jc w:val="right"/>
              <w:ind w:right="1411"/>
              <w:spacing w:after="0"/>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47.5</w:t>
            </w:r>
          </w:p>
        </w:tc>
      </w:tr>
      <w:tr>
        <w:trPr>
          <w:trHeight w:val="20"/>
        </w:trPr>
        <w:tc>
          <w:tcPr>
            <w:tcW w:w="69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r>
    </w:tbl>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Receivable Sale Programs</w:t>
      </w:r>
    </w:p>
    <w:p>
      <w:pPr>
        <w:spacing w:after="0" w:line="2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We have receivable purchase agreements ("RPAs") that allow for the sale of our qualifying accounts receivable in exchange for cash consideration equal to the total balance, less a discount margin, depending on the outstanding accounts receivable at any given time. Accounts receivable sold under the RPAs are accounted for as sales and excluded from Accounts receivable, net of allowance for credit losses on the accompanying Condensed Consolidated Balance Sheets. Fees paid under the RPAs are recorded within Interest expense and other financing costs, net on the Condensed Consolidated Statements of Income and Comprehensive Income</w:t>
      </w:r>
      <w:r>
        <w:rPr>
          <w:rFonts w:ascii="Arial" w:cs="Arial" w:eastAsia="Arial" w:hAnsi="Arial"/>
          <w:sz w:val="14"/>
          <w:szCs w:val="14"/>
          <w:color w:val="auto"/>
        </w:rPr>
        <w:t>.</w:t>
      </w:r>
    </w:p>
    <w:p>
      <w:pPr>
        <w:spacing w:after="0" w:line="10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During the three months ended March 31, 2022 and 2021, we sold receivables under the RPAs with an aggregate face value of $2.6 billion and $2.0 billion, respectively, and paid fees of $5.5 million and $4.4 million,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Acquisitions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2022 Acquisition</w:t>
      </w:r>
    </w:p>
    <w:p>
      <w:pPr>
        <w:spacing w:after="0" w:line="28"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On October 28, 2021, we entered into a definitive agreement (the "Purchase Agreement") to acquire all of the outstanding equity interest in Flyers Energy Group, LLC ("Flyers"). Flyers' operations include transportation, commercial fleet fueling, lubricants distribution, and the supply of wholesale, branded and renewable fuels.</w:t>
      </w: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8" w:name="page9"/>
    <w:bookmarkEnd w:id="8"/>
    <w:p>
      <w:pPr>
        <w:jc w:val="both"/>
        <w:spacing w:after="0" w:line="248" w:lineRule="auto"/>
        <w:rPr>
          <w:sz w:val="20"/>
          <w:szCs w:val="20"/>
          <w:color w:val="auto"/>
        </w:rPr>
      </w:pPr>
      <w:r>
        <w:rPr>
          <w:rFonts w:ascii="Arial" w:cs="Arial" w:eastAsia="Arial" w:hAnsi="Arial"/>
          <w:sz w:val="18"/>
          <w:szCs w:val="18"/>
          <w:color w:val="auto"/>
        </w:rPr>
        <w:t>The acquisition closed on January 3, 2022 for total estimated consideration of $792.2 million, subject to customary adjustments relating to net working capital, indebtedness and transaction expenses. At closing, $642.7 million, inclusive of $19.7 million for estimated net working capital adjustments, was paid in cash and, at the election of the Company, $50.0 million was satisfied through the delivery of 1,768,034 shares of the Company's common stock at a price of $28.28 per share. The remaining $100.0 million was held back to satisfy potential indemnification and other obligations of the seller, with one-half to be released on the first and second anniversary of the closing of the acquisition, in each case subject to reduction in respect to amounts claimed under the Purchase Agreement. The total purchase consideration also includes a receivable of $0.5 million from the seller for the estimated working capital adjustment.</w:t>
      </w:r>
    </w:p>
    <w:p>
      <w:pPr>
        <w:spacing w:after="0" w:line="104"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The acquisition was accounted for as a business combination and is reported in the land segment. We are in the process of obtaining information to identify and measure all assets acquired and liabilities assumed. The following preliminary purchase price allocation was estimated based on the information obtained to date and is expected to be completed in 2022. The following table summarizes the estimated fair value of the aggregate consideration, and the preliminary allocation of the purchase price to the fair value of the assets acquired and liabilities assumed (in millions):</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9040" w:type="dxa"/>
            <w:vAlign w:val="bottom"/>
            <w:tcBorders>
              <w:bottom w:val="single" w:sz="8" w:color="CCEEFF"/>
            </w:tcBorders>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1700" w:type="dxa"/>
            <w:vAlign w:val="bottom"/>
            <w:tcBorders>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Total</w:t>
            </w:r>
          </w:p>
        </w:tc>
      </w:tr>
      <w:tr>
        <w:trPr>
          <w:trHeight w:val="208"/>
        </w:trPr>
        <w:tc>
          <w:tcPr>
            <w:tcW w:w="904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Consideration:</w:t>
            </w:r>
          </w:p>
        </w:tc>
        <w:tc>
          <w:tcPr>
            <w:tcW w:w="50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r>
      <w:tr>
        <w:trPr>
          <w:trHeight w:val="226"/>
        </w:trPr>
        <w:tc>
          <w:tcPr>
            <w:tcW w:w="9040" w:type="dxa"/>
            <w:vAlign w:val="bottom"/>
          </w:tcPr>
          <w:p>
            <w:pPr>
              <w:ind w:left="20"/>
              <w:spacing w:after="0"/>
              <w:rPr>
                <w:sz w:val="20"/>
                <w:szCs w:val="20"/>
                <w:color w:val="auto"/>
              </w:rPr>
            </w:pPr>
            <w:r>
              <w:rPr>
                <w:rFonts w:ascii="Arial" w:cs="Arial" w:eastAsia="Arial" w:hAnsi="Arial"/>
                <w:sz w:val="18"/>
                <w:szCs w:val="18"/>
                <w:color w:val="auto"/>
              </w:rPr>
              <w:t>Cash paid</w:t>
            </w:r>
          </w:p>
        </w:tc>
        <w:tc>
          <w:tcPr>
            <w:tcW w:w="500" w:type="dxa"/>
            <w:vAlign w:val="bottom"/>
          </w:tcPr>
          <w:p>
            <w:pPr>
              <w:jc w:val="right"/>
              <w:ind w:right="291"/>
              <w:spacing w:after="0"/>
              <w:rPr>
                <w:sz w:val="20"/>
                <w:szCs w:val="20"/>
                <w:color w:val="auto"/>
              </w:rPr>
            </w:pPr>
            <w:r>
              <w:rPr>
                <w:rFonts w:ascii="Arial" w:cs="Arial" w:eastAsia="Arial" w:hAnsi="Arial"/>
                <w:sz w:val="18"/>
                <w:szCs w:val="18"/>
                <w:color w:val="auto"/>
                <w:w w:val="99"/>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642.7</w:t>
            </w:r>
          </w:p>
        </w:tc>
      </w:tr>
      <w:tr>
        <w:trPr>
          <w:trHeight w:val="228"/>
        </w:trPr>
        <w:tc>
          <w:tcPr>
            <w:tcW w:w="9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Estimated working capital adjustment receivable from seller</w:t>
            </w: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w:t>
            </w:r>
          </w:p>
        </w:tc>
      </w:tr>
      <w:tr>
        <w:trPr>
          <w:trHeight w:val="226"/>
        </w:trPr>
        <w:tc>
          <w:tcPr>
            <w:tcW w:w="9040" w:type="dxa"/>
            <w:vAlign w:val="bottom"/>
          </w:tcPr>
          <w:p>
            <w:pPr>
              <w:ind w:left="20"/>
              <w:spacing w:after="0"/>
              <w:rPr>
                <w:sz w:val="20"/>
                <w:szCs w:val="20"/>
                <w:color w:val="auto"/>
              </w:rPr>
            </w:pPr>
            <w:r>
              <w:rPr>
                <w:rFonts w:ascii="Arial" w:cs="Arial" w:eastAsia="Arial" w:hAnsi="Arial"/>
                <w:sz w:val="18"/>
                <w:szCs w:val="18"/>
                <w:color w:val="auto"/>
              </w:rPr>
              <w:t>Common stock issued to seller</w:t>
            </w:r>
          </w:p>
        </w:tc>
        <w:tc>
          <w:tcPr>
            <w:tcW w:w="5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50.0</w:t>
            </w:r>
          </w:p>
        </w:tc>
      </w:tr>
      <w:tr>
        <w:trPr>
          <w:trHeight w:val="227"/>
        </w:trPr>
        <w:tc>
          <w:tcPr>
            <w:tcW w:w="9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Amount due to sellers</w:t>
            </w:r>
          </w:p>
        </w:tc>
        <w:tc>
          <w:tcPr>
            <w:tcW w:w="50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21"/>
        </w:trPr>
        <w:tc>
          <w:tcPr>
            <w:tcW w:w="9040" w:type="dxa"/>
            <w:vAlign w:val="bottom"/>
          </w:tcPr>
          <w:p>
            <w:pPr>
              <w:ind w:left="20"/>
              <w:spacing w:after="0"/>
              <w:rPr>
                <w:sz w:val="20"/>
                <w:szCs w:val="20"/>
                <w:color w:val="auto"/>
              </w:rPr>
            </w:pPr>
            <w:r>
              <w:rPr>
                <w:rFonts w:ascii="Arial" w:cs="Arial" w:eastAsia="Arial" w:hAnsi="Arial"/>
                <w:sz w:val="18"/>
                <w:szCs w:val="18"/>
                <w:color w:val="auto"/>
              </w:rPr>
              <w:t>Total fair value of consideration</w:t>
            </w:r>
          </w:p>
        </w:tc>
        <w:tc>
          <w:tcPr>
            <w:tcW w:w="500" w:type="dxa"/>
            <w:vAlign w:val="bottom"/>
            <w:tcBorders>
              <w:bottom w:val="single" w:sz="8" w:color="auto"/>
            </w:tcBorders>
          </w:tcPr>
          <w:p>
            <w:pPr>
              <w:jc w:val="right"/>
              <w:ind w:right="291"/>
              <w:spacing w:after="0"/>
              <w:rPr>
                <w:sz w:val="20"/>
                <w:szCs w:val="20"/>
                <w:color w:val="auto"/>
              </w:rPr>
            </w:pPr>
            <w:r>
              <w:rPr>
                <w:rFonts w:ascii="Arial" w:cs="Arial" w:eastAsia="Arial" w:hAnsi="Arial"/>
                <w:sz w:val="18"/>
                <w:szCs w:val="18"/>
                <w:color w:val="auto"/>
                <w:w w:val="99"/>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792.2</w:t>
            </w:r>
          </w:p>
        </w:tc>
      </w:tr>
      <w:tr>
        <w:trPr>
          <w:trHeight w:val="20"/>
        </w:trPr>
        <w:tc>
          <w:tcPr>
            <w:tcW w:w="904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34"/>
        </w:trPr>
        <w:tc>
          <w:tcPr>
            <w:tcW w:w="90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r>
      <w:tr>
        <w:trPr>
          <w:trHeight w:val="227"/>
        </w:trPr>
        <w:tc>
          <w:tcPr>
            <w:tcW w:w="9040" w:type="dxa"/>
            <w:vAlign w:val="bottom"/>
          </w:tcPr>
          <w:p>
            <w:pPr>
              <w:ind w:left="20"/>
              <w:spacing w:after="0"/>
              <w:rPr>
                <w:sz w:val="20"/>
                <w:szCs w:val="20"/>
                <w:color w:val="auto"/>
              </w:rPr>
            </w:pPr>
            <w:r>
              <w:rPr>
                <w:rFonts w:ascii="Arial" w:cs="Arial" w:eastAsia="Arial" w:hAnsi="Arial"/>
                <w:sz w:val="18"/>
                <w:szCs w:val="18"/>
                <w:b w:val="1"/>
                <w:bCs w:val="1"/>
                <w:color w:val="auto"/>
              </w:rPr>
              <w:t>Assets acquired and liabilities assumed:</w:t>
            </w:r>
          </w:p>
        </w:tc>
        <w:tc>
          <w:tcPr>
            <w:tcW w:w="500" w:type="dxa"/>
            <w:vAlign w:val="bottom"/>
          </w:tcPr>
          <w:p>
            <w:pPr>
              <w:spacing w:after="0"/>
              <w:rPr>
                <w:sz w:val="19"/>
                <w:szCs w:val="19"/>
                <w:color w:val="auto"/>
              </w:rPr>
            </w:pPr>
          </w:p>
        </w:tc>
        <w:tc>
          <w:tcPr>
            <w:tcW w:w="1700" w:type="dxa"/>
            <w:vAlign w:val="bottom"/>
          </w:tcPr>
          <w:p>
            <w:pPr>
              <w:spacing w:after="0"/>
              <w:rPr>
                <w:sz w:val="19"/>
                <w:szCs w:val="19"/>
                <w:color w:val="auto"/>
              </w:rPr>
            </w:pPr>
          </w:p>
        </w:tc>
      </w:tr>
      <w:tr>
        <w:trPr>
          <w:trHeight w:val="227"/>
        </w:trPr>
        <w:tc>
          <w:tcPr>
            <w:tcW w:w="9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w:t>
            </w:r>
          </w:p>
        </w:tc>
        <w:tc>
          <w:tcPr>
            <w:tcW w:w="500" w:type="dxa"/>
            <w:vAlign w:val="bottom"/>
            <w:shd w:val="clear" w:color="auto" w:fill="CCEEFF"/>
          </w:tcPr>
          <w:p>
            <w:pPr>
              <w:jc w:val="right"/>
              <w:ind w:right="291"/>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r>
      <w:tr>
        <w:trPr>
          <w:trHeight w:val="226"/>
        </w:trPr>
        <w:tc>
          <w:tcPr>
            <w:tcW w:w="9040" w:type="dxa"/>
            <w:vAlign w:val="bottom"/>
          </w:tcPr>
          <w:p>
            <w:pPr>
              <w:ind w:left="20"/>
              <w:spacing w:after="0"/>
              <w:rPr>
                <w:sz w:val="20"/>
                <w:szCs w:val="20"/>
                <w:color w:val="auto"/>
              </w:rPr>
            </w:pPr>
            <w:r>
              <w:rPr>
                <w:rFonts w:ascii="Arial" w:cs="Arial" w:eastAsia="Arial" w:hAnsi="Arial"/>
                <w:sz w:val="18"/>
                <w:szCs w:val="18"/>
                <w:color w:val="auto"/>
              </w:rPr>
              <w:t>Accounts receivable</w:t>
            </w:r>
          </w:p>
        </w:tc>
        <w:tc>
          <w:tcPr>
            <w:tcW w:w="5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109.2</w:t>
            </w:r>
          </w:p>
        </w:tc>
      </w:tr>
      <w:tr>
        <w:trPr>
          <w:trHeight w:val="228"/>
        </w:trPr>
        <w:tc>
          <w:tcPr>
            <w:tcW w:w="9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Inventory</w:t>
            </w: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w:t>
            </w:r>
          </w:p>
        </w:tc>
      </w:tr>
      <w:tr>
        <w:trPr>
          <w:trHeight w:val="226"/>
        </w:trPr>
        <w:tc>
          <w:tcPr>
            <w:tcW w:w="9040" w:type="dxa"/>
            <w:vAlign w:val="bottom"/>
          </w:tcPr>
          <w:p>
            <w:pPr>
              <w:ind w:left="20"/>
              <w:spacing w:after="0"/>
              <w:rPr>
                <w:sz w:val="20"/>
                <w:szCs w:val="20"/>
                <w:color w:val="auto"/>
              </w:rPr>
            </w:pPr>
            <w:r>
              <w:rPr>
                <w:rFonts w:ascii="Arial" w:cs="Arial" w:eastAsia="Arial" w:hAnsi="Arial"/>
                <w:sz w:val="18"/>
                <w:szCs w:val="18"/>
                <w:color w:val="auto"/>
              </w:rPr>
              <w:t>Property, plant and equipment</w:t>
            </w:r>
          </w:p>
        </w:tc>
        <w:tc>
          <w:tcPr>
            <w:tcW w:w="5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126.6</w:t>
            </w:r>
          </w:p>
        </w:tc>
      </w:tr>
      <w:tr>
        <w:trPr>
          <w:trHeight w:val="228"/>
        </w:trPr>
        <w:tc>
          <w:tcPr>
            <w:tcW w:w="9040" w:type="dxa"/>
            <w:vAlign w:val="bottom"/>
            <w:shd w:val="clear" w:color="auto" w:fill="CCEEFF"/>
          </w:tcPr>
          <w:p>
            <w:pPr>
              <w:ind w:left="20"/>
              <w:spacing w:after="0" w:line="228" w:lineRule="exact"/>
              <w:rPr>
                <w:sz w:val="20"/>
                <w:szCs w:val="20"/>
                <w:color w:val="auto"/>
              </w:rPr>
            </w:pPr>
            <w:r>
              <w:rPr>
                <w:rFonts w:ascii="Arial" w:cs="Arial" w:eastAsia="Arial" w:hAnsi="Arial"/>
                <w:sz w:val="18"/>
                <w:szCs w:val="18"/>
                <w:color w:val="auto"/>
              </w:rPr>
              <w:t xml:space="preserve">Identifiable intangible assets subject to amortization </w:t>
            </w:r>
            <w:r>
              <w:rPr>
                <w:rFonts w:ascii="Arial" w:cs="Arial" w:eastAsia="Arial" w:hAnsi="Arial"/>
                <w:sz w:val="23"/>
                <w:szCs w:val="23"/>
                <w:color w:val="auto"/>
                <w:vertAlign w:val="superscript"/>
              </w:rPr>
              <w:t>(1)</w:t>
            </w: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162.9</w:t>
            </w:r>
          </w:p>
        </w:tc>
      </w:tr>
      <w:tr>
        <w:trPr>
          <w:trHeight w:val="227"/>
        </w:trPr>
        <w:tc>
          <w:tcPr>
            <w:tcW w:w="9040" w:type="dxa"/>
            <w:vAlign w:val="bottom"/>
          </w:tcPr>
          <w:p>
            <w:pPr>
              <w:ind w:left="20"/>
              <w:spacing w:after="0" w:line="226" w:lineRule="exact"/>
              <w:rPr>
                <w:sz w:val="20"/>
                <w:szCs w:val="20"/>
                <w:color w:val="auto"/>
              </w:rPr>
            </w:pPr>
            <w:r>
              <w:rPr>
                <w:rFonts w:ascii="Arial" w:cs="Arial" w:eastAsia="Arial" w:hAnsi="Arial"/>
                <w:sz w:val="18"/>
                <w:szCs w:val="18"/>
                <w:color w:val="auto"/>
              </w:rPr>
              <w:t xml:space="preserve">Identifiable intangible assets not subject to amortization </w:t>
            </w:r>
            <w:r>
              <w:rPr>
                <w:rFonts w:ascii="Arial" w:cs="Arial" w:eastAsia="Arial" w:hAnsi="Arial"/>
                <w:sz w:val="23"/>
                <w:szCs w:val="23"/>
                <w:color w:val="auto"/>
                <w:vertAlign w:val="superscript"/>
              </w:rPr>
              <w:t>(2)</w:t>
            </w:r>
          </w:p>
        </w:tc>
        <w:tc>
          <w:tcPr>
            <w:tcW w:w="5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29.3</w:t>
            </w:r>
          </w:p>
        </w:tc>
      </w:tr>
      <w:tr>
        <w:trPr>
          <w:trHeight w:val="227"/>
        </w:trPr>
        <w:tc>
          <w:tcPr>
            <w:tcW w:w="9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Accounts payable</w:t>
            </w: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w:t>
            </w:r>
          </w:p>
        </w:tc>
      </w:tr>
      <w:tr>
        <w:trPr>
          <w:trHeight w:val="227"/>
        </w:trPr>
        <w:tc>
          <w:tcPr>
            <w:tcW w:w="9040" w:type="dxa"/>
            <w:vAlign w:val="bottom"/>
            <w:tcBorders>
              <w:bottom w:val="single" w:sz="8" w:color="CCEEFF"/>
            </w:tcBorders>
          </w:tcPr>
          <w:p>
            <w:pPr>
              <w:ind w:left="20"/>
              <w:spacing w:after="0" w:line="226" w:lineRule="exact"/>
              <w:rPr>
                <w:sz w:val="20"/>
                <w:szCs w:val="20"/>
                <w:color w:val="auto"/>
              </w:rPr>
            </w:pPr>
            <w:r>
              <w:rPr>
                <w:rFonts w:ascii="Arial" w:cs="Arial" w:eastAsia="Arial" w:hAnsi="Arial"/>
                <w:sz w:val="18"/>
                <w:szCs w:val="18"/>
                <w:color w:val="auto"/>
              </w:rPr>
              <w:t xml:space="preserve">Other assets and liabilities, net </w:t>
            </w:r>
            <w:r>
              <w:rPr>
                <w:rFonts w:ascii="Arial" w:cs="Arial" w:eastAsia="Arial" w:hAnsi="Arial"/>
                <w:sz w:val="23"/>
                <w:szCs w:val="23"/>
                <w:color w:val="auto"/>
                <w:vertAlign w:val="superscript"/>
              </w:rPr>
              <w:t>(3)</w:t>
            </w:r>
          </w:p>
        </w:tc>
        <w:tc>
          <w:tcPr>
            <w:tcW w:w="50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(39.0)</w:t>
            </w:r>
          </w:p>
        </w:tc>
      </w:tr>
      <w:tr>
        <w:trPr>
          <w:trHeight w:val="220"/>
        </w:trPr>
        <w:tc>
          <w:tcPr>
            <w:tcW w:w="9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identifiable assets acquired</w:t>
            </w: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405.1</w:t>
            </w:r>
          </w:p>
        </w:tc>
      </w:tr>
      <w:tr>
        <w:trPr>
          <w:trHeight w:val="227"/>
        </w:trPr>
        <w:tc>
          <w:tcPr>
            <w:tcW w:w="9040" w:type="dxa"/>
            <w:vAlign w:val="bottom"/>
            <w:tcBorders>
              <w:bottom w:val="single" w:sz="8" w:color="CCEEFF"/>
            </w:tcBorders>
          </w:tcPr>
          <w:p>
            <w:pPr>
              <w:ind w:left="20"/>
              <w:spacing w:after="0" w:line="226" w:lineRule="exact"/>
              <w:rPr>
                <w:sz w:val="20"/>
                <w:szCs w:val="20"/>
                <w:color w:val="auto"/>
              </w:rPr>
            </w:pPr>
            <w:r>
              <w:rPr>
                <w:rFonts w:ascii="Arial" w:cs="Arial" w:eastAsia="Arial" w:hAnsi="Arial"/>
                <w:sz w:val="18"/>
                <w:szCs w:val="18"/>
                <w:color w:val="auto"/>
              </w:rPr>
              <w:t xml:space="preserve">Goodwill </w:t>
            </w:r>
            <w:r>
              <w:rPr>
                <w:rFonts w:ascii="Arial" w:cs="Arial" w:eastAsia="Arial" w:hAnsi="Arial"/>
                <w:sz w:val="23"/>
                <w:szCs w:val="23"/>
                <w:color w:val="auto"/>
                <w:vertAlign w:val="superscript"/>
              </w:rPr>
              <w:t>(4)</w:t>
            </w:r>
          </w:p>
        </w:tc>
        <w:tc>
          <w:tcPr>
            <w:tcW w:w="50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387.1</w:t>
            </w:r>
          </w:p>
        </w:tc>
      </w:tr>
      <w:tr>
        <w:trPr>
          <w:trHeight w:val="245"/>
        </w:trPr>
        <w:tc>
          <w:tcPr>
            <w:tcW w:w="90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assets acquired</w:t>
            </w:r>
          </w:p>
        </w:tc>
        <w:tc>
          <w:tcPr>
            <w:tcW w:w="500" w:type="dxa"/>
            <w:vAlign w:val="bottom"/>
            <w:tcBorders>
              <w:bottom w:val="single" w:sz="8" w:color="auto"/>
            </w:tcBorders>
            <w:shd w:val="clear" w:color="auto" w:fill="CCEEFF"/>
          </w:tcPr>
          <w:p>
            <w:pPr>
              <w:jc w:val="right"/>
              <w:ind w:right="291"/>
              <w:spacing w:after="0"/>
              <w:rPr>
                <w:sz w:val="20"/>
                <w:szCs w:val="20"/>
                <w:color w:val="auto"/>
              </w:rPr>
            </w:pPr>
            <w:r>
              <w:rPr>
                <w:rFonts w:ascii="Arial" w:cs="Arial" w:eastAsia="Arial" w:hAnsi="Arial"/>
                <w:sz w:val="18"/>
                <w:szCs w:val="18"/>
                <w:color w:val="auto"/>
                <w:w w:val="99"/>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792.2</w:t>
            </w:r>
          </w:p>
        </w:tc>
      </w:tr>
      <w:tr>
        <w:trPr>
          <w:trHeight w:val="20"/>
        </w:trPr>
        <w:tc>
          <w:tcPr>
            <w:tcW w:w="90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186" w:lineRule="exact"/>
        <w:rPr>
          <w:sz w:val="20"/>
          <w:szCs w:val="20"/>
          <w:color w:val="auto"/>
        </w:rPr>
      </w:pPr>
    </w:p>
    <w:p>
      <w:pPr>
        <w:ind w:left="320" w:hanging="313"/>
        <w:spacing w:after="0" w:line="217" w:lineRule="auto"/>
        <w:tabs>
          <w:tab w:leader="none" w:pos="314" w:val="left"/>
        </w:tabs>
        <w:numPr>
          <w:ilvl w:val="0"/>
          <w:numId w:val="4"/>
        </w:numPr>
        <w:rPr>
          <w:rFonts w:ascii="Arial" w:cs="Arial" w:eastAsia="Arial" w:hAnsi="Arial"/>
          <w:sz w:val="23"/>
          <w:szCs w:val="23"/>
          <w:color w:val="auto"/>
          <w:vertAlign w:val="superscript"/>
        </w:rPr>
      </w:pPr>
      <w:r>
        <w:rPr>
          <w:rFonts w:ascii="Arial" w:cs="Arial" w:eastAsia="Arial" w:hAnsi="Arial"/>
          <w:sz w:val="18"/>
          <w:szCs w:val="18"/>
          <w:color w:val="auto"/>
        </w:rPr>
        <w:t>Identifiable intangible assets subject to amortization primarily consist of customer and network relationships and other identifiable assets which will be amortized over a weighted average life of 11.6 years.</w:t>
      </w:r>
    </w:p>
    <w:p>
      <w:pPr>
        <w:spacing w:after="0" w:line="69" w:lineRule="exact"/>
        <w:rPr>
          <w:rFonts w:ascii="Arial" w:cs="Arial" w:eastAsia="Arial" w:hAnsi="Arial"/>
          <w:sz w:val="23"/>
          <w:szCs w:val="23"/>
          <w:color w:val="auto"/>
          <w:vertAlign w:val="superscript"/>
        </w:rPr>
      </w:pPr>
    </w:p>
    <w:p>
      <w:pPr>
        <w:ind w:left="320" w:hanging="313"/>
        <w:spacing w:after="0"/>
        <w:tabs>
          <w:tab w:leader="none" w:pos="320" w:val="left"/>
        </w:tabs>
        <w:numPr>
          <w:ilvl w:val="0"/>
          <w:numId w:val="4"/>
        </w:numPr>
        <w:rPr>
          <w:rFonts w:ascii="Arial" w:cs="Arial" w:eastAsia="Arial" w:hAnsi="Arial"/>
          <w:sz w:val="23"/>
          <w:szCs w:val="23"/>
          <w:color w:val="auto"/>
          <w:vertAlign w:val="superscript"/>
        </w:rPr>
      </w:pPr>
      <w:r>
        <w:rPr>
          <w:rFonts w:ascii="Arial" w:cs="Arial" w:eastAsia="Arial" w:hAnsi="Arial"/>
          <w:sz w:val="18"/>
          <w:szCs w:val="18"/>
          <w:color w:val="auto"/>
        </w:rPr>
        <w:t>Identifiable intangible assets not subject to amortization include trademarks and trade names acquired.</w:t>
      </w:r>
    </w:p>
    <w:p>
      <w:pPr>
        <w:spacing w:after="0" w:line="85" w:lineRule="exact"/>
        <w:rPr>
          <w:rFonts w:ascii="Arial" w:cs="Arial" w:eastAsia="Arial" w:hAnsi="Arial"/>
          <w:sz w:val="23"/>
          <w:szCs w:val="23"/>
          <w:color w:val="auto"/>
          <w:vertAlign w:val="superscript"/>
        </w:rPr>
      </w:pPr>
    </w:p>
    <w:p>
      <w:pPr>
        <w:ind w:left="320" w:hanging="313"/>
        <w:spacing w:after="0" w:line="237" w:lineRule="auto"/>
        <w:tabs>
          <w:tab w:leader="none" w:pos="320" w:val="left"/>
        </w:tabs>
        <w:numPr>
          <w:ilvl w:val="0"/>
          <w:numId w:val="4"/>
        </w:numPr>
        <w:rPr>
          <w:rFonts w:ascii="Arial" w:cs="Arial" w:eastAsia="Arial" w:hAnsi="Arial"/>
          <w:sz w:val="23"/>
          <w:szCs w:val="23"/>
          <w:color w:val="auto"/>
          <w:vertAlign w:val="superscript"/>
        </w:rPr>
      </w:pPr>
      <w:r>
        <w:rPr>
          <w:rFonts w:ascii="Arial" w:cs="Arial" w:eastAsia="Arial" w:hAnsi="Arial"/>
          <w:sz w:val="18"/>
          <w:szCs w:val="18"/>
          <w:color w:val="auto"/>
        </w:rPr>
        <w:t>Includes the recognition of right of use assets of $45.0 million and lease liabilities of $46.0 million.</w:t>
      </w:r>
    </w:p>
    <w:p>
      <w:pPr>
        <w:spacing w:after="0" w:line="120" w:lineRule="exact"/>
        <w:rPr>
          <w:rFonts w:ascii="Arial" w:cs="Arial" w:eastAsia="Arial" w:hAnsi="Arial"/>
          <w:sz w:val="23"/>
          <w:szCs w:val="23"/>
          <w:color w:val="auto"/>
          <w:vertAlign w:val="superscript"/>
        </w:rPr>
      </w:pPr>
    </w:p>
    <w:p>
      <w:pPr>
        <w:jc w:val="both"/>
        <w:ind w:left="320" w:hanging="313"/>
        <w:spacing w:after="0" w:line="226" w:lineRule="auto"/>
        <w:tabs>
          <w:tab w:leader="none" w:pos="314" w:val="left"/>
        </w:tabs>
        <w:numPr>
          <w:ilvl w:val="0"/>
          <w:numId w:val="4"/>
        </w:numPr>
        <w:rPr>
          <w:rFonts w:ascii="Arial" w:cs="Arial" w:eastAsia="Arial" w:hAnsi="Arial"/>
          <w:sz w:val="23"/>
          <w:szCs w:val="23"/>
          <w:color w:val="auto"/>
          <w:vertAlign w:val="superscript"/>
        </w:rPr>
      </w:pPr>
      <w:r>
        <w:rPr>
          <w:rFonts w:ascii="Arial" w:cs="Arial" w:eastAsia="Arial" w:hAnsi="Arial"/>
          <w:sz w:val="18"/>
          <w:szCs w:val="18"/>
          <w:color w:val="auto"/>
        </w:rPr>
        <w:t>Goodwill is attributable primarily to the expected synergies and other benefits that we believe will result from combining the acquired operations with the operations of our land segment. We anticipate that all of the goodwill assigned to the land segment will be deductible for tax purposes.</w:t>
      </w:r>
    </w:p>
    <w:p>
      <w:pPr>
        <w:spacing w:after="0" w:line="122"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Total revenue and income before income taxes of Flyers included in the Company's Condensed Consolidated Statement of Income for the period from the date of acquisition through March 31, 2022 were $752.5 million and $18.1 million, respectively.</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9" w:name="page10"/>
    <w:bookmarkEnd w:id="9"/>
    <w:p>
      <w:pPr>
        <w:ind w:right="20"/>
        <w:spacing w:after="0" w:line="254" w:lineRule="auto"/>
        <w:rPr>
          <w:sz w:val="20"/>
          <w:szCs w:val="20"/>
          <w:color w:val="auto"/>
        </w:rPr>
      </w:pPr>
      <w:r>
        <w:rPr>
          <w:rFonts w:ascii="Arial" w:cs="Arial" w:eastAsia="Arial" w:hAnsi="Arial"/>
          <w:sz w:val="18"/>
          <w:szCs w:val="18"/>
          <w:color w:val="auto"/>
        </w:rPr>
        <w:t>The following presents unaudited pro forma combined financial information of the Company for the three months ended March 31, 2021 as if the acquisition of Flyers had been completed on January 1, 2021 (in millions, except per share data):</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820" w:type="dxa"/>
            <w:vAlign w:val="bottom"/>
            <w:vMerge w:val="restart"/>
          </w:tcPr>
          <w:p>
            <w:pPr>
              <w:ind w:left="20"/>
              <w:spacing w:after="0"/>
              <w:rPr>
                <w:sz w:val="20"/>
                <w:szCs w:val="20"/>
                <w:color w:val="auto"/>
              </w:rPr>
            </w:pPr>
            <w:r>
              <w:rPr>
                <w:rFonts w:ascii="Arial" w:cs="Arial" w:eastAsia="Arial" w:hAnsi="Arial"/>
                <w:sz w:val="18"/>
                <w:szCs w:val="18"/>
                <w:i w:val="1"/>
                <w:iCs w:val="1"/>
                <w:color w:val="auto"/>
              </w:rPr>
              <w:t>(unaudited)</w:t>
            </w:r>
          </w:p>
        </w:tc>
        <w:tc>
          <w:tcPr>
            <w:tcW w:w="2420" w:type="dxa"/>
            <w:vAlign w:val="bottom"/>
            <w:gridSpan w:val="2"/>
          </w:tcPr>
          <w:p>
            <w:pPr>
              <w:jc w:val="right"/>
              <w:spacing w:after="0"/>
              <w:rPr>
                <w:sz w:val="20"/>
                <w:szCs w:val="20"/>
                <w:color w:val="auto"/>
              </w:rPr>
            </w:pPr>
            <w:r>
              <w:rPr>
                <w:rFonts w:ascii="Arial" w:cs="Arial" w:eastAsia="Arial" w:hAnsi="Arial"/>
                <w:sz w:val="18"/>
                <w:szCs w:val="18"/>
                <w:b w:val="1"/>
                <w:bCs w:val="1"/>
                <w:color w:val="auto"/>
                <w:w w:val="99"/>
              </w:rPr>
              <w:t>Three Months Ended March</w:t>
            </w:r>
          </w:p>
        </w:tc>
        <w:tc>
          <w:tcPr>
            <w:tcW w:w="0" w:type="dxa"/>
            <w:vAlign w:val="bottom"/>
          </w:tcPr>
          <w:p>
            <w:pPr>
              <w:spacing w:after="0"/>
              <w:rPr>
                <w:sz w:val="1"/>
                <w:szCs w:val="1"/>
                <w:color w:val="auto"/>
              </w:rPr>
            </w:pPr>
          </w:p>
        </w:tc>
      </w:tr>
      <w:tr>
        <w:trPr>
          <w:trHeight w:val="227"/>
        </w:trPr>
        <w:tc>
          <w:tcPr>
            <w:tcW w:w="8820" w:type="dxa"/>
            <w:vAlign w:val="bottom"/>
            <w:tcBorders>
              <w:bottom w:val="single" w:sz="8" w:color="CCEEFF"/>
            </w:tcBorders>
            <w:vMerge w:val="continue"/>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ind w:right="771"/>
              <w:spacing w:after="0"/>
              <w:rPr>
                <w:sz w:val="20"/>
                <w:szCs w:val="20"/>
                <w:color w:val="auto"/>
              </w:rPr>
            </w:pPr>
            <w:r>
              <w:rPr>
                <w:rFonts w:ascii="Arial" w:cs="Arial" w:eastAsia="Arial" w:hAnsi="Arial"/>
                <w:sz w:val="18"/>
                <w:szCs w:val="18"/>
                <w:b w:val="1"/>
                <w:bCs w:val="1"/>
                <w:color w:val="auto"/>
              </w:rPr>
              <w:t>31, 2021</w:t>
            </w:r>
          </w:p>
        </w:tc>
        <w:tc>
          <w:tcPr>
            <w:tcW w:w="0" w:type="dxa"/>
            <w:vAlign w:val="bottom"/>
          </w:tcPr>
          <w:p>
            <w:pPr>
              <w:spacing w:after="0"/>
              <w:rPr>
                <w:sz w:val="1"/>
                <w:szCs w:val="1"/>
                <w:color w:val="auto"/>
              </w:rPr>
            </w:pPr>
          </w:p>
        </w:tc>
      </w:tr>
      <w:tr>
        <w:trPr>
          <w:trHeight w:val="220"/>
        </w:trPr>
        <w:tc>
          <w:tcPr>
            <w:tcW w:w="88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480" w:type="dxa"/>
            <w:vAlign w:val="bottom"/>
            <w:shd w:val="clear" w:color="auto" w:fill="CCEEFF"/>
          </w:tcPr>
          <w:p>
            <w:pPr>
              <w:jc w:val="right"/>
              <w:ind w:right="291"/>
              <w:spacing w:after="0"/>
              <w:rPr>
                <w:sz w:val="20"/>
                <w:szCs w:val="20"/>
                <w:color w:val="auto"/>
              </w:rPr>
            </w:pPr>
            <w:r>
              <w:rPr>
                <w:rFonts w:ascii="Arial" w:cs="Arial" w:eastAsia="Arial" w:hAnsi="Arial"/>
                <w:sz w:val="18"/>
                <w:szCs w:val="18"/>
                <w:color w:val="auto"/>
                <w:w w:val="79"/>
              </w:rPr>
              <w:t>$</w:t>
            </w:r>
          </w:p>
        </w:tc>
        <w:tc>
          <w:tcPr>
            <w:tcW w:w="1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6,335.6</w:t>
            </w:r>
          </w:p>
        </w:tc>
        <w:tc>
          <w:tcPr>
            <w:tcW w:w="0" w:type="dxa"/>
            <w:vAlign w:val="bottom"/>
          </w:tcPr>
          <w:p>
            <w:pPr>
              <w:spacing w:after="0"/>
              <w:rPr>
                <w:sz w:val="1"/>
                <w:szCs w:val="1"/>
                <w:color w:val="auto"/>
              </w:rPr>
            </w:pPr>
          </w:p>
        </w:tc>
      </w:tr>
      <w:tr>
        <w:trPr>
          <w:trHeight w:val="225"/>
        </w:trPr>
        <w:tc>
          <w:tcPr>
            <w:tcW w:w="8820" w:type="dxa"/>
            <w:vAlign w:val="bottom"/>
          </w:tcPr>
          <w:p>
            <w:pPr>
              <w:ind w:left="20"/>
              <w:spacing w:after="0"/>
              <w:rPr>
                <w:sz w:val="20"/>
                <w:szCs w:val="20"/>
                <w:color w:val="auto"/>
              </w:rPr>
            </w:pPr>
            <w:r>
              <w:rPr>
                <w:rFonts w:ascii="Arial" w:cs="Arial" w:eastAsia="Arial" w:hAnsi="Arial"/>
                <w:sz w:val="18"/>
                <w:szCs w:val="18"/>
                <w:color w:val="auto"/>
              </w:rPr>
              <w:t>Net income attributable to World Fuel</w:t>
            </w:r>
          </w:p>
        </w:tc>
        <w:tc>
          <w:tcPr>
            <w:tcW w:w="480" w:type="dxa"/>
            <w:vAlign w:val="bottom"/>
          </w:tcPr>
          <w:p>
            <w:pPr>
              <w:jc w:val="right"/>
              <w:ind w:right="291"/>
              <w:spacing w:after="0"/>
              <w:rPr>
                <w:sz w:val="20"/>
                <w:szCs w:val="20"/>
                <w:color w:val="auto"/>
              </w:rPr>
            </w:pPr>
            <w:r>
              <w:rPr>
                <w:rFonts w:ascii="Arial" w:cs="Arial" w:eastAsia="Arial" w:hAnsi="Arial"/>
                <w:sz w:val="18"/>
                <w:szCs w:val="18"/>
                <w:color w:val="auto"/>
                <w:w w:val="79"/>
              </w:rPr>
              <w:t>$</w:t>
            </w:r>
          </w:p>
        </w:tc>
        <w:tc>
          <w:tcPr>
            <w:tcW w:w="1940" w:type="dxa"/>
            <w:vAlign w:val="bottom"/>
          </w:tcPr>
          <w:p>
            <w:pPr>
              <w:jc w:val="right"/>
              <w:spacing w:after="0"/>
              <w:rPr>
                <w:sz w:val="20"/>
                <w:szCs w:val="20"/>
                <w:color w:val="auto"/>
              </w:rPr>
            </w:pPr>
            <w:r>
              <w:rPr>
                <w:rFonts w:ascii="Arial" w:cs="Arial" w:eastAsia="Arial" w:hAnsi="Arial"/>
                <w:sz w:val="18"/>
                <w:szCs w:val="18"/>
                <w:color w:val="auto"/>
              </w:rPr>
              <w:t>20.2</w:t>
            </w:r>
          </w:p>
        </w:tc>
        <w:tc>
          <w:tcPr>
            <w:tcW w:w="0" w:type="dxa"/>
            <w:vAlign w:val="bottom"/>
          </w:tcPr>
          <w:p>
            <w:pPr>
              <w:spacing w:after="0"/>
              <w:rPr>
                <w:sz w:val="1"/>
                <w:szCs w:val="1"/>
                <w:color w:val="auto"/>
              </w:rPr>
            </w:pPr>
          </w:p>
        </w:tc>
      </w:tr>
    </w:tbl>
    <w:p>
      <w:pPr>
        <w:spacing w:after="0" w:line="214" w:lineRule="exact"/>
        <w:rPr>
          <w:sz w:val="20"/>
          <w:szCs w:val="20"/>
          <w:color w:val="auto"/>
        </w:rPr>
      </w:pPr>
    </w:p>
    <w:p>
      <w:pPr>
        <w:jc w:val="both"/>
        <w:spacing w:after="0" w:line="262" w:lineRule="auto"/>
        <w:rPr>
          <w:sz w:val="20"/>
          <w:szCs w:val="20"/>
          <w:color w:val="auto"/>
        </w:rPr>
      </w:pPr>
      <w:r>
        <w:rPr>
          <w:rFonts w:ascii="Arial" w:cs="Arial" w:eastAsia="Arial" w:hAnsi="Arial"/>
          <w:sz w:val="17"/>
          <w:szCs w:val="17"/>
          <w:color w:val="auto"/>
        </w:rPr>
        <w:t>The unaudited pro forma combined financial information was based on the historical financial information of World Fuel and Flyers and includes (i) incremental amortization expense to be incurred based on the preliminary fair values of the identifiable intangible assets acquired;</w:t>
      </w:r>
    </w:p>
    <w:p>
      <w:pPr>
        <w:jc w:val="both"/>
        <w:ind w:firstLine="7"/>
        <w:spacing w:after="0" w:line="248" w:lineRule="auto"/>
        <w:tabs>
          <w:tab w:leader="none" w:pos="252" w:val="left"/>
        </w:tabs>
        <w:numPr>
          <w:ilvl w:val="0"/>
          <w:numId w:val="5"/>
        </w:numPr>
        <w:rPr>
          <w:rFonts w:ascii="Arial" w:cs="Arial" w:eastAsia="Arial" w:hAnsi="Arial"/>
          <w:sz w:val="18"/>
          <w:szCs w:val="18"/>
          <w:color w:val="auto"/>
        </w:rPr>
      </w:pPr>
      <w:r>
        <w:rPr>
          <w:rFonts w:ascii="Arial" w:cs="Arial" w:eastAsia="Arial" w:hAnsi="Arial"/>
          <w:sz w:val="18"/>
          <w:szCs w:val="18"/>
          <w:color w:val="auto"/>
        </w:rPr>
        <w:t>additional interest expense associated with the incremental borrowings under our Credit Facility to finance the acquisition; (iii) nonrecurring transaction costs recognized in connection with the transaction; and (iv) the tax effect of the pro forma adjustments as well as the recognition of income tax expense associated with Flyers' historical statements, calculated using statutory tax rates, as Flyers was comprised of limited liability companies not subject to federal and state income taxes prior to the acquisition. The unaudited pro forma combined financial information does not necessarily reflect what the combined company's financial condition or results of operations would have been had the transaction and the related financing occurred on the dates indicated. The unaudited pro forma financial information also may not be useful in predicting the future financial condition and results of operations of the combined company following the transaction. In addition, the unaudited pro forma combined financial information does not give effect to any cost savings, operating synergies or revenue synergies that may result from the transaction, or the costs to achieve any such synergies.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2021 Acquisition</w:t>
      </w:r>
    </w:p>
    <w:p>
      <w:pPr>
        <w:spacing w:after="0" w:line="2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October 1, 2021, we completed the acquisition of a liquid fuel business which services business and residential customers for a total purchase price of $41.4 million. The transaction was accounted for as a business combination and is reported in our land segment.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Goodwill</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regarding changes in goodwill during the three months ended March 31, 2022 and 2021 (in millions):</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0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5"/>
              </w:rPr>
              <w:t>Aviation</w:t>
            </w:r>
          </w:p>
        </w:tc>
        <w:tc>
          <w:tcPr>
            <w:tcW w:w="280" w:type="dxa"/>
            <w:vAlign w:val="bottom"/>
          </w:tcPr>
          <w:p>
            <w:pPr>
              <w:spacing w:after="0"/>
              <w:rPr>
                <w:sz w:val="18"/>
                <w:szCs w:val="18"/>
                <w:color w:val="auto"/>
              </w:rPr>
            </w:pPr>
          </w:p>
        </w:tc>
        <w:tc>
          <w:tcPr>
            <w:tcW w:w="150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7"/>
              </w:rPr>
              <w:t>Land</w:t>
            </w:r>
          </w:p>
        </w:tc>
        <w:tc>
          <w:tcPr>
            <w:tcW w:w="380" w:type="dxa"/>
            <w:vAlign w:val="bottom"/>
          </w:tcPr>
          <w:p>
            <w:pPr>
              <w:spacing w:after="0"/>
              <w:rPr>
                <w:sz w:val="18"/>
                <w:szCs w:val="18"/>
                <w:color w:val="auto"/>
              </w:rPr>
            </w:pPr>
          </w:p>
        </w:tc>
        <w:tc>
          <w:tcPr>
            <w:tcW w:w="1280" w:type="dxa"/>
            <w:vAlign w:val="bottom"/>
            <w:vMerge w:val="restart"/>
          </w:tcPr>
          <w:p>
            <w:pPr>
              <w:jc w:val="right"/>
              <w:ind w:right="531"/>
              <w:spacing w:after="0"/>
              <w:rPr>
                <w:sz w:val="20"/>
                <w:szCs w:val="20"/>
                <w:color w:val="auto"/>
              </w:rPr>
            </w:pPr>
            <w:r>
              <w:rPr>
                <w:rFonts w:ascii="Arial" w:cs="Arial" w:eastAsia="Arial" w:hAnsi="Arial"/>
                <w:sz w:val="18"/>
                <w:szCs w:val="18"/>
                <w:b w:val="1"/>
                <w:bCs w:val="1"/>
                <w:color w:val="auto"/>
              </w:rPr>
              <w:t>Total</w:t>
            </w:r>
          </w:p>
        </w:tc>
        <w:tc>
          <w:tcPr>
            <w:tcW w:w="0" w:type="dxa"/>
            <w:vAlign w:val="bottom"/>
          </w:tcPr>
          <w:p>
            <w:pPr>
              <w:spacing w:after="0"/>
              <w:rPr>
                <w:sz w:val="1"/>
                <w:szCs w:val="1"/>
                <w:color w:val="auto"/>
              </w:rPr>
            </w:pPr>
          </w:p>
        </w:tc>
      </w:tr>
      <w:tr>
        <w:trPr>
          <w:trHeight w:val="227"/>
        </w:trPr>
        <w:tc>
          <w:tcPr>
            <w:tcW w:w="60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00" w:type="dxa"/>
            <w:vAlign w:val="bottom"/>
            <w:gridSpan w:val="2"/>
          </w:tcPr>
          <w:p>
            <w:pPr>
              <w:jc w:val="center"/>
              <w:ind w:right="420"/>
              <w:spacing w:after="0"/>
              <w:rPr>
                <w:sz w:val="20"/>
                <w:szCs w:val="20"/>
                <w:color w:val="auto"/>
              </w:rPr>
            </w:pPr>
            <w:r>
              <w:rPr>
                <w:rFonts w:ascii="Arial" w:cs="Arial" w:eastAsia="Arial" w:hAnsi="Arial"/>
                <w:sz w:val="18"/>
                <w:szCs w:val="18"/>
                <w:b w:val="1"/>
                <w:bCs w:val="1"/>
                <w:color w:val="auto"/>
                <w:w w:val="99"/>
              </w:rPr>
              <w:t>Segment</w:t>
            </w:r>
          </w:p>
        </w:tc>
        <w:tc>
          <w:tcPr>
            <w:tcW w:w="280" w:type="dxa"/>
            <w:vAlign w:val="bottom"/>
          </w:tcPr>
          <w:p>
            <w:pPr>
              <w:spacing w:after="0"/>
              <w:rPr>
                <w:sz w:val="19"/>
                <w:szCs w:val="19"/>
                <w:color w:val="auto"/>
              </w:rPr>
            </w:pPr>
          </w:p>
        </w:tc>
        <w:tc>
          <w:tcPr>
            <w:tcW w:w="150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7"/>
              </w:rPr>
              <w:t>Segment</w:t>
            </w:r>
          </w:p>
        </w:tc>
        <w:tc>
          <w:tcPr>
            <w:tcW w:w="380" w:type="dxa"/>
            <w:vAlign w:val="bottom"/>
          </w:tcPr>
          <w:p>
            <w:pPr>
              <w:spacing w:after="0"/>
              <w:rPr>
                <w:sz w:val="19"/>
                <w:szCs w:val="19"/>
                <w:color w:val="auto"/>
              </w:rPr>
            </w:pPr>
          </w:p>
        </w:tc>
        <w:tc>
          <w:tcPr>
            <w:tcW w:w="12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60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As of December 31, 2021</w:t>
            </w:r>
          </w:p>
        </w:tc>
        <w:tc>
          <w:tcPr>
            <w:tcW w:w="280" w:type="dxa"/>
            <w:vAlign w:val="bottom"/>
            <w:tcBorders>
              <w:top w:val="single" w:sz="8" w:color="auto"/>
            </w:tcBorders>
            <w:shd w:val="clear" w:color="auto" w:fill="CCEEFF"/>
          </w:tcPr>
          <w:p>
            <w:pPr>
              <w:jc w:val="right"/>
              <w:ind w:right="91"/>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400.1</w:t>
            </w:r>
          </w:p>
        </w:tc>
        <w:tc>
          <w:tcPr>
            <w:tcW w:w="14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w w:val="99"/>
              </w:rPr>
              <w:t>$</w:t>
            </w: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461.8</w:t>
            </w:r>
          </w:p>
        </w:tc>
        <w:tc>
          <w:tcPr>
            <w:tcW w:w="120" w:type="dxa"/>
            <w:vAlign w:val="bottom"/>
            <w:tcBorders>
              <w:top w:val="single" w:sz="8" w:color="CCEEFF"/>
            </w:tcBorders>
            <w:shd w:val="clear" w:color="auto" w:fill="CCEEFF"/>
          </w:tcPr>
          <w:p>
            <w:pPr>
              <w:spacing w:after="0"/>
              <w:rPr>
                <w:sz w:val="19"/>
                <w:szCs w:val="19"/>
                <w:color w:val="auto"/>
              </w:rPr>
            </w:pPr>
          </w:p>
        </w:tc>
        <w:tc>
          <w:tcPr>
            <w:tcW w:w="380" w:type="dxa"/>
            <w:vAlign w:val="bottom"/>
            <w:tcBorders>
              <w:top w:val="single" w:sz="8" w:color="auto"/>
            </w:tcBorders>
            <w:shd w:val="clear" w:color="auto" w:fill="CCEEFF"/>
          </w:tcPr>
          <w:p>
            <w:pPr>
              <w:jc w:val="right"/>
              <w:ind w:right="171"/>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861.9</w:t>
            </w:r>
          </w:p>
        </w:tc>
        <w:tc>
          <w:tcPr>
            <w:tcW w:w="0" w:type="dxa"/>
            <w:vAlign w:val="bottom"/>
          </w:tcPr>
          <w:p>
            <w:pPr>
              <w:spacing w:after="0"/>
              <w:rPr>
                <w:sz w:val="1"/>
                <w:szCs w:val="1"/>
                <w:color w:val="auto"/>
              </w:rPr>
            </w:pPr>
          </w:p>
        </w:tc>
      </w:tr>
      <w:tr>
        <w:trPr>
          <w:trHeight w:val="227"/>
        </w:trPr>
        <w:tc>
          <w:tcPr>
            <w:tcW w:w="6020" w:type="dxa"/>
            <w:vAlign w:val="bottom"/>
          </w:tcPr>
          <w:p>
            <w:pPr>
              <w:ind w:left="20"/>
              <w:spacing w:after="0" w:line="226" w:lineRule="exact"/>
              <w:rPr>
                <w:sz w:val="20"/>
                <w:szCs w:val="20"/>
                <w:color w:val="auto"/>
              </w:rPr>
            </w:pPr>
            <w:r>
              <w:rPr>
                <w:rFonts w:ascii="Arial" w:cs="Arial" w:eastAsia="Arial" w:hAnsi="Arial"/>
                <w:sz w:val="18"/>
                <w:szCs w:val="18"/>
                <w:color w:val="auto"/>
              </w:rPr>
              <w:t xml:space="preserve">2022 acquisition </w:t>
            </w:r>
            <w:r>
              <w:rPr>
                <w:rFonts w:ascii="Arial" w:cs="Arial" w:eastAsia="Arial" w:hAnsi="Arial"/>
                <w:sz w:val="23"/>
                <w:szCs w:val="23"/>
                <w:color w:val="auto"/>
                <w:vertAlign w:val="superscript"/>
              </w:rPr>
              <w:t>(1)</w:t>
            </w:r>
          </w:p>
        </w:tc>
        <w:tc>
          <w:tcPr>
            <w:tcW w:w="28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387.1</w:t>
            </w:r>
          </w:p>
        </w:tc>
        <w:tc>
          <w:tcPr>
            <w:tcW w:w="1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387.1</w:t>
            </w:r>
          </w:p>
        </w:tc>
        <w:tc>
          <w:tcPr>
            <w:tcW w:w="0" w:type="dxa"/>
            <w:vAlign w:val="bottom"/>
          </w:tcPr>
          <w:p>
            <w:pPr>
              <w:spacing w:after="0"/>
              <w:rPr>
                <w:sz w:val="1"/>
                <w:szCs w:val="1"/>
                <w:color w:val="auto"/>
              </w:rPr>
            </w:pPr>
          </w:p>
        </w:tc>
      </w:tr>
      <w:tr>
        <w:trPr>
          <w:trHeight w:val="186"/>
        </w:trPr>
        <w:tc>
          <w:tcPr>
            <w:tcW w:w="6020" w:type="dxa"/>
            <w:vAlign w:val="bottom"/>
            <w:shd w:val="clear" w:color="auto" w:fill="CCEEFF"/>
          </w:tcPr>
          <w:p>
            <w:pPr>
              <w:ind w:left="20"/>
              <w:spacing w:after="0" w:line="186" w:lineRule="exact"/>
              <w:rPr>
                <w:sz w:val="20"/>
                <w:szCs w:val="20"/>
                <w:color w:val="auto"/>
              </w:rPr>
            </w:pPr>
            <w:r>
              <w:rPr>
                <w:rFonts w:ascii="Arial" w:cs="Arial" w:eastAsia="Arial" w:hAnsi="Arial"/>
                <w:sz w:val="18"/>
                <w:szCs w:val="18"/>
                <w:color w:val="auto"/>
              </w:rPr>
              <w:t>Foreign currency translation of non-USD functional currency subsidiary</w:t>
            </w:r>
          </w:p>
        </w:tc>
        <w:tc>
          <w:tcPr>
            <w:tcW w:w="280" w:type="dxa"/>
            <w:vAlign w:val="bottom"/>
            <w:shd w:val="clear" w:color="auto" w:fill="CCEEFF"/>
          </w:tcPr>
          <w:p>
            <w:pPr>
              <w:spacing w:after="0"/>
              <w:rPr>
                <w:sz w:val="16"/>
                <w:szCs w:val="16"/>
                <w:color w:val="auto"/>
              </w:rPr>
            </w:pPr>
          </w:p>
        </w:tc>
        <w:tc>
          <w:tcPr>
            <w:tcW w:w="13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13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6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goodwill</w:t>
            </w:r>
          </w:p>
        </w:tc>
        <w:tc>
          <w:tcPr>
            <w:tcW w:w="28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(0.8)</w:t>
            </w:r>
          </w:p>
        </w:tc>
        <w:tc>
          <w:tcPr>
            <w:tcW w:w="14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2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21"/>
        </w:trPr>
        <w:tc>
          <w:tcPr>
            <w:tcW w:w="6020" w:type="dxa"/>
            <w:vAlign w:val="bottom"/>
          </w:tcPr>
          <w:p>
            <w:pPr>
              <w:ind w:left="20"/>
              <w:spacing w:after="0"/>
              <w:rPr>
                <w:sz w:val="20"/>
                <w:szCs w:val="20"/>
                <w:color w:val="auto"/>
              </w:rPr>
            </w:pPr>
            <w:r>
              <w:rPr>
                <w:rFonts w:ascii="Arial" w:cs="Arial" w:eastAsia="Arial" w:hAnsi="Arial"/>
                <w:sz w:val="18"/>
                <w:szCs w:val="18"/>
                <w:color w:val="auto"/>
              </w:rPr>
              <w:t>As of March 31, 2022</w:t>
            </w:r>
          </w:p>
        </w:tc>
        <w:tc>
          <w:tcPr>
            <w:tcW w:w="280" w:type="dxa"/>
            <w:vAlign w:val="bottom"/>
            <w:tcBorders>
              <w:bottom w:val="single" w:sz="8" w:color="auto"/>
            </w:tcBorders>
          </w:tcPr>
          <w:p>
            <w:pPr>
              <w:jc w:val="right"/>
              <w:ind w:right="91"/>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399.3</w:t>
            </w:r>
          </w:p>
        </w:tc>
        <w:tc>
          <w:tcPr>
            <w:tcW w:w="140" w:type="dxa"/>
            <w:vAlign w:val="bottom"/>
          </w:tcPr>
          <w:p>
            <w:pPr>
              <w:spacing w:after="0"/>
              <w:rPr>
                <w:sz w:val="19"/>
                <w:szCs w:val="19"/>
                <w:color w:val="auto"/>
              </w:rPr>
            </w:pPr>
          </w:p>
        </w:tc>
        <w:tc>
          <w:tcPr>
            <w:tcW w:w="280" w:type="dxa"/>
            <w:vAlign w:val="bottom"/>
            <w:tcBorders>
              <w:bottom w:val="single" w:sz="8" w:color="auto"/>
            </w:tcBorders>
          </w:tcPr>
          <w:p>
            <w:pPr>
              <w:jc w:val="right"/>
              <w:ind w:right="71"/>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845.4</w:t>
            </w:r>
          </w:p>
        </w:tc>
        <w:tc>
          <w:tcPr>
            <w:tcW w:w="120" w:type="dxa"/>
            <w:vAlign w:val="bottom"/>
          </w:tcPr>
          <w:p>
            <w:pPr>
              <w:spacing w:after="0"/>
              <w:rPr>
                <w:sz w:val="19"/>
                <w:szCs w:val="19"/>
                <w:color w:val="auto"/>
              </w:rPr>
            </w:pPr>
          </w:p>
        </w:tc>
        <w:tc>
          <w:tcPr>
            <w:tcW w:w="380" w:type="dxa"/>
            <w:vAlign w:val="bottom"/>
            <w:tcBorders>
              <w:bottom w:val="single" w:sz="8" w:color="auto"/>
            </w:tcBorders>
          </w:tcPr>
          <w:p>
            <w:pPr>
              <w:jc w:val="right"/>
              <w:ind w:right="171"/>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1,244.6</w:t>
            </w:r>
          </w:p>
        </w:tc>
        <w:tc>
          <w:tcPr>
            <w:tcW w:w="0" w:type="dxa"/>
            <w:vAlign w:val="bottom"/>
          </w:tcPr>
          <w:p>
            <w:pPr>
              <w:spacing w:after="0"/>
              <w:rPr>
                <w:sz w:val="1"/>
                <w:szCs w:val="1"/>
                <w:color w:val="auto"/>
              </w:rPr>
            </w:pPr>
          </w:p>
        </w:tc>
      </w:tr>
      <w:tr>
        <w:trPr>
          <w:trHeight w:val="20"/>
        </w:trPr>
        <w:tc>
          <w:tcPr>
            <w:tcW w:w="60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11" w:lineRule="exact"/>
        <w:rPr>
          <w:sz w:val="20"/>
          <w:szCs w:val="20"/>
          <w:color w:val="auto"/>
        </w:rPr>
      </w:pPr>
    </w:p>
    <w:p>
      <w:pPr>
        <w:spacing w:after="0"/>
        <w:tabs>
          <w:tab w:leader="none" w:pos="300" w:val="left"/>
        </w:tabs>
        <w:rPr>
          <w:sz w:val="20"/>
          <w:szCs w:val="20"/>
          <w:color w:val="auto"/>
        </w:rPr>
      </w:pPr>
      <w:r>
        <w:rPr>
          <w:rFonts w:ascii="Arial" w:cs="Arial" w:eastAsia="Arial" w:hAnsi="Arial"/>
          <w:sz w:val="23"/>
          <w:szCs w:val="23"/>
          <w:color w:val="auto"/>
          <w:vertAlign w:val="superscript"/>
        </w:rPr>
        <w:t>(1)</w:t>
      </w:r>
      <w:r>
        <w:rPr>
          <w:sz w:val="20"/>
          <w:szCs w:val="20"/>
          <w:color w:val="auto"/>
        </w:rPr>
        <w:tab/>
      </w:r>
      <w:r>
        <w:rPr>
          <w:rFonts w:ascii="Arial" w:cs="Arial" w:eastAsia="Arial" w:hAnsi="Arial"/>
          <w:sz w:val="18"/>
          <w:szCs w:val="18"/>
          <w:color w:val="auto"/>
        </w:rPr>
        <w:t>See Note 3. Acquisitions for additional information.</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Derivative Instruments</w:t>
      </w:r>
    </w:p>
    <w:p>
      <w:pPr>
        <w:spacing w:after="0" w:line="242"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We are exposed to a variety of risks including but not limited to, changes in the prices of commodities that we buy or sell, changes in foreign currency exchange rates, changes in interest rates, and the creditworthiness of each of our counterparties. While we attempt to mitigate these fluctuations through hedging, such hedges may not be fully effective.</w:t>
      </w:r>
    </w:p>
    <w:p>
      <w:pPr>
        <w:spacing w:after="0" w:line="98" w:lineRule="exact"/>
        <w:rPr>
          <w:sz w:val="20"/>
          <w:szCs w:val="20"/>
          <w:color w:val="auto"/>
        </w:rPr>
      </w:pPr>
    </w:p>
    <w:p>
      <w:pPr>
        <w:spacing w:after="0"/>
        <w:rPr>
          <w:sz w:val="20"/>
          <w:szCs w:val="20"/>
          <w:color w:val="auto"/>
        </w:rPr>
      </w:pPr>
      <w:r>
        <w:rPr>
          <w:rFonts w:ascii="Arial" w:cs="Arial" w:eastAsia="Arial" w:hAnsi="Arial"/>
          <w:sz w:val="18"/>
          <w:szCs w:val="18"/>
          <w:color w:val="auto"/>
        </w:rPr>
        <w:t>Our risk management program includes the following types of derivative instruments:</w:t>
      </w:r>
    </w:p>
    <w:p>
      <w:pPr>
        <w:spacing w:after="0" w:line="9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Fair Value Hedges. </w:t>
      </w:r>
      <w:r>
        <w:rPr>
          <w:rFonts w:ascii="Arial" w:cs="Arial" w:eastAsia="Arial" w:hAnsi="Arial"/>
          <w:sz w:val="18"/>
          <w:szCs w:val="18"/>
          <w:color w:val="auto"/>
        </w:rPr>
        <w:t>Derivative contracts we hold to hedge the risk of changes in the price of our inventory.</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xml:space="preserve">Cash Flow Hedges. </w:t>
      </w:r>
      <w:r>
        <w:rPr>
          <w:rFonts w:ascii="Arial" w:cs="Arial" w:eastAsia="Arial" w:hAnsi="Arial"/>
          <w:sz w:val="18"/>
          <w:szCs w:val="18"/>
          <w:color w:val="auto"/>
        </w:rPr>
        <w:t>Derivative contracts we execute to mitigate the risk of price and interest rate volatility in forecasted transactions.</w:t>
      </w:r>
    </w:p>
    <w:p>
      <w:pPr>
        <w:spacing w:after="0" w:line="113" w:lineRule="exact"/>
        <w:rPr>
          <w:sz w:val="20"/>
          <w:szCs w:val="20"/>
          <w:color w:val="auto"/>
        </w:rPr>
      </w:pPr>
    </w:p>
    <w:p>
      <w:pPr>
        <w:jc w:val="both"/>
        <w:spacing w:after="0" w:line="275" w:lineRule="auto"/>
        <w:rPr>
          <w:sz w:val="20"/>
          <w:szCs w:val="20"/>
          <w:color w:val="auto"/>
        </w:rPr>
      </w:pPr>
      <w:r>
        <w:rPr>
          <w:rFonts w:ascii="Arial" w:cs="Arial" w:eastAsia="Arial" w:hAnsi="Arial"/>
          <w:sz w:val="18"/>
          <w:szCs w:val="18"/>
          <w:i w:val="1"/>
          <w:iCs w:val="1"/>
          <w:color w:val="auto"/>
        </w:rPr>
        <w:t xml:space="preserve">Non-designated Derivatives. </w:t>
      </w:r>
      <w:r>
        <w:rPr>
          <w:rFonts w:ascii="Arial" w:cs="Arial" w:eastAsia="Arial" w:hAnsi="Arial"/>
          <w:sz w:val="18"/>
          <w:szCs w:val="18"/>
          <w:color w:val="auto"/>
        </w:rPr>
        <w:t>Derivatives we primarily transact to mitigate the risk of market price fluctuations in swaps or futures contracts, as</w:t>
      </w:r>
      <w:r>
        <w:rPr>
          <w:rFonts w:ascii="Arial" w:cs="Arial" w:eastAsia="Arial" w:hAnsi="Arial"/>
          <w:sz w:val="18"/>
          <w:szCs w:val="18"/>
          <w:i w:val="1"/>
          <w:iCs w:val="1"/>
          <w:color w:val="auto"/>
        </w:rPr>
        <w:t xml:space="preserve"> </w:t>
      </w:r>
      <w:r>
        <w:rPr>
          <w:rFonts w:ascii="Arial" w:cs="Arial" w:eastAsia="Arial" w:hAnsi="Arial"/>
          <w:sz w:val="18"/>
          <w:szCs w:val="18"/>
          <w:color w:val="auto"/>
        </w:rPr>
        <w:t>well as certain forward fixed price purchase and sale contracts to hedge the risk of currency rate fluctuations and for portfolio optimization.</w:t>
      </w: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10" w:name="page11"/>
    <w:bookmarkEnd w:id="10"/>
    <w:p>
      <w:pPr>
        <w:jc w:val="both"/>
        <w:spacing w:after="0" w:line="250" w:lineRule="auto"/>
        <w:rPr>
          <w:sz w:val="20"/>
          <w:szCs w:val="20"/>
          <w:color w:val="auto"/>
        </w:rPr>
      </w:pPr>
      <w:r>
        <w:rPr>
          <w:rFonts w:ascii="Arial" w:cs="Arial" w:eastAsia="Arial" w:hAnsi="Arial"/>
          <w:sz w:val="18"/>
          <w:szCs w:val="18"/>
          <w:color w:val="auto"/>
        </w:rPr>
        <w:t>With the exception of the interest rate swap agreement, which matures in March 2025, the majority of our derivative contracts are expected to settle within the next year. The following table summarizes the gross notional values of our derivative contracts used for risk management purposes (in millions):</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7380" w:type="dxa"/>
            <w:vAlign w:val="bottom"/>
          </w:tcPr>
          <w:p>
            <w:pPr>
              <w:spacing w:after="0"/>
              <w:rPr>
                <w:sz w:val="20"/>
                <w:szCs w:val="20"/>
                <w:color w:val="auto"/>
              </w:rPr>
            </w:pPr>
          </w:p>
        </w:tc>
        <w:tc>
          <w:tcPr>
            <w:tcW w:w="1880" w:type="dxa"/>
            <w:vAlign w:val="bottom"/>
            <w:gridSpan w:val="2"/>
          </w:tcPr>
          <w:p>
            <w:pPr>
              <w:ind w:left="700"/>
              <w:spacing w:after="0"/>
              <w:rPr>
                <w:sz w:val="20"/>
                <w:szCs w:val="20"/>
                <w:color w:val="auto"/>
              </w:rPr>
            </w:pPr>
            <w:r>
              <w:rPr>
                <w:rFonts w:ascii="Arial" w:cs="Arial" w:eastAsia="Arial" w:hAnsi="Arial"/>
                <w:sz w:val="18"/>
                <w:szCs w:val="18"/>
                <w:b w:val="1"/>
                <w:bCs w:val="1"/>
                <w:color w:val="333333"/>
              </w:rPr>
              <w:t>Unit</w:t>
            </w:r>
          </w:p>
        </w:tc>
        <w:tc>
          <w:tcPr>
            <w:tcW w:w="1980" w:type="dxa"/>
            <w:vAlign w:val="bottom"/>
          </w:tcPr>
          <w:p>
            <w:pPr>
              <w:jc w:val="right"/>
              <w:ind w:right="271"/>
              <w:spacing w:after="0"/>
              <w:rPr>
                <w:sz w:val="20"/>
                <w:szCs w:val="20"/>
                <w:color w:val="auto"/>
              </w:rPr>
            </w:pPr>
            <w:r>
              <w:rPr>
                <w:rFonts w:ascii="Arial" w:cs="Arial" w:eastAsia="Arial" w:hAnsi="Arial"/>
                <w:sz w:val="18"/>
                <w:szCs w:val="18"/>
                <w:b w:val="1"/>
                <w:bCs w:val="1"/>
                <w:color w:val="auto"/>
              </w:rPr>
              <w:t>March 31, 2022</w:t>
            </w:r>
          </w:p>
        </w:tc>
      </w:tr>
      <w:tr>
        <w:trPr>
          <w:trHeight w:val="208"/>
        </w:trPr>
        <w:tc>
          <w:tcPr>
            <w:tcW w:w="73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Commodity contracts</w:t>
            </w:r>
          </w:p>
        </w:tc>
        <w:tc>
          <w:tcPr>
            <w:tcW w:w="176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980" w:type="dxa"/>
            <w:vAlign w:val="bottom"/>
            <w:tcBorders>
              <w:top w:val="single" w:sz="8" w:color="auto"/>
            </w:tcBorders>
            <w:shd w:val="clear" w:color="auto" w:fill="CCEEFF"/>
          </w:tcPr>
          <w:p>
            <w:pPr>
              <w:spacing w:after="0"/>
              <w:rPr>
                <w:sz w:val="18"/>
                <w:szCs w:val="18"/>
                <w:color w:val="auto"/>
              </w:rPr>
            </w:pPr>
          </w:p>
        </w:tc>
      </w:tr>
      <w:tr>
        <w:trPr>
          <w:trHeight w:val="226"/>
        </w:trPr>
        <w:tc>
          <w:tcPr>
            <w:tcW w:w="7380" w:type="dxa"/>
            <w:vAlign w:val="bottom"/>
          </w:tcPr>
          <w:p>
            <w:pPr>
              <w:ind w:left="20"/>
              <w:spacing w:after="0"/>
              <w:rPr>
                <w:sz w:val="20"/>
                <w:szCs w:val="20"/>
                <w:color w:val="auto"/>
              </w:rPr>
            </w:pPr>
            <w:r>
              <w:rPr>
                <w:rFonts w:ascii="Arial" w:cs="Arial" w:eastAsia="Arial" w:hAnsi="Arial"/>
                <w:sz w:val="18"/>
                <w:szCs w:val="18"/>
                <w:color w:val="auto"/>
              </w:rPr>
              <w:t>Long</w:t>
            </w:r>
          </w:p>
        </w:tc>
        <w:tc>
          <w:tcPr>
            <w:tcW w:w="1880" w:type="dxa"/>
            <w:vAlign w:val="bottom"/>
            <w:gridSpan w:val="2"/>
          </w:tcPr>
          <w:p>
            <w:pPr>
              <w:ind w:left="700"/>
              <w:spacing w:after="0"/>
              <w:rPr>
                <w:sz w:val="20"/>
                <w:szCs w:val="20"/>
                <w:color w:val="auto"/>
              </w:rPr>
            </w:pPr>
            <w:r>
              <w:rPr>
                <w:rFonts w:ascii="Arial" w:cs="Arial" w:eastAsia="Arial" w:hAnsi="Arial"/>
                <w:sz w:val="18"/>
                <w:szCs w:val="18"/>
                <w:color w:val="auto"/>
              </w:rPr>
              <w:t>BBL</w:t>
            </w:r>
          </w:p>
        </w:tc>
        <w:tc>
          <w:tcPr>
            <w:tcW w:w="1980" w:type="dxa"/>
            <w:vAlign w:val="bottom"/>
          </w:tcPr>
          <w:p>
            <w:pPr>
              <w:jc w:val="right"/>
              <w:spacing w:after="0"/>
              <w:rPr>
                <w:sz w:val="20"/>
                <w:szCs w:val="20"/>
                <w:color w:val="auto"/>
              </w:rPr>
            </w:pPr>
            <w:r>
              <w:rPr>
                <w:rFonts w:ascii="Arial" w:cs="Arial" w:eastAsia="Arial" w:hAnsi="Arial"/>
                <w:sz w:val="18"/>
                <w:szCs w:val="18"/>
                <w:color w:val="auto"/>
              </w:rPr>
              <w:t>55.2</w:t>
            </w:r>
          </w:p>
        </w:tc>
      </w:tr>
      <w:tr>
        <w:trPr>
          <w:trHeight w:val="228"/>
        </w:trPr>
        <w:tc>
          <w:tcPr>
            <w:tcW w:w="73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Short</w:t>
            </w:r>
          </w:p>
        </w:tc>
        <w:tc>
          <w:tcPr>
            <w:tcW w:w="188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rPr>
              <w:t>BBL</w:t>
            </w: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(51.6)</w:t>
            </w:r>
          </w:p>
        </w:tc>
      </w:tr>
      <w:tr>
        <w:trPr>
          <w:trHeight w:val="213"/>
        </w:trPr>
        <w:tc>
          <w:tcPr>
            <w:tcW w:w="73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80" w:type="dxa"/>
            <w:vAlign w:val="bottom"/>
          </w:tcPr>
          <w:p>
            <w:pPr>
              <w:spacing w:after="0"/>
              <w:rPr>
                <w:sz w:val="18"/>
                <w:szCs w:val="18"/>
                <w:color w:val="auto"/>
              </w:rPr>
            </w:pPr>
          </w:p>
        </w:tc>
      </w:tr>
      <w:tr>
        <w:trPr>
          <w:trHeight w:val="227"/>
        </w:trPr>
        <w:tc>
          <w:tcPr>
            <w:tcW w:w="73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Foreign currency exchange contracts</w:t>
            </w:r>
          </w:p>
        </w:tc>
        <w:tc>
          <w:tcPr>
            <w:tcW w:w="1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980" w:type="dxa"/>
            <w:vAlign w:val="bottom"/>
            <w:shd w:val="clear" w:color="auto" w:fill="CCEEFF"/>
          </w:tcPr>
          <w:p>
            <w:pPr>
              <w:spacing w:after="0"/>
              <w:rPr>
                <w:sz w:val="19"/>
                <w:szCs w:val="19"/>
                <w:color w:val="auto"/>
              </w:rPr>
            </w:pPr>
          </w:p>
        </w:tc>
      </w:tr>
      <w:tr>
        <w:trPr>
          <w:trHeight w:val="226"/>
        </w:trPr>
        <w:tc>
          <w:tcPr>
            <w:tcW w:w="7380" w:type="dxa"/>
            <w:vAlign w:val="bottom"/>
          </w:tcPr>
          <w:p>
            <w:pPr>
              <w:ind w:left="20"/>
              <w:spacing w:after="0"/>
              <w:rPr>
                <w:sz w:val="20"/>
                <w:szCs w:val="20"/>
                <w:color w:val="auto"/>
              </w:rPr>
            </w:pPr>
            <w:r>
              <w:rPr>
                <w:rFonts w:ascii="Arial" w:cs="Arial" w:eastAsia="Arial" w:hAnsi="Arial"/>
                <w:sz w:val="18"/>
                <w:szCs w:val="18"/>
                <w:color w:val="auto"/>
              </w:rPr>
              <w:t>Sell U.S. dollar, buy other currencies</w:t>
            </w:r>
          </w:p>
        </w:tc>
        <w:tc>
          <w:tcPr>
            <w:tcW w:w="1880" w:type="dxa"/>
            <w:vAlign w:val="bottom"/>
            <w:gridSpan w:val="2"/>
          </w:tcPr>
          <w:p>
            <w:pPr>
              <w:ind w:left="680"/>
              <w:spacing w:after="0"/>
              <w:rPr>
                <w:sz w:val="20"/>
                <w:szCs w:val="20"/>
                <w:color w:val="auto"/>
              </w:rPr>
            </w:pPr>
            <w:r>
              <w:rPr>
                <w:rFonts w:ascii="Arial" w:cs="Arial" w:eastAsia="Arial" w:hAnsi="Arial"/>
                <w:sz w:val="18"/>
                <w:szCs w:val="18"/>
                <w:color w:val="auto"/>
              </w:rPr>
              <w:t>USD</w:t>
            </w:r>
          </w:p>
        </w:tc>
        <w:tc>
          <w:tcPr>
            <w:tcW w:w="1980" w:type="dxa"/>
            <w:vAlign w:val="bottom"/>
          </w:tcPr>
          <w:p>
            <w:pPr>
              <w:jc w:val="right"/>
              <w:spacing w:after="0"/>
              <w:rPr>
                <w:sz w:val="20"/>
                <w:szCs w:val="20"/>
                <w:color w:val="auto"/>
              </w:rPr>
            </w:pPr>
            <w:r>
              <w:rPr>
                <w:rFonts w:ascii="Arial" w:cs="Arial" w:eastAsia="Arial" w:hAnsi="Arial"/>
                <w:sz w:val="18"/>
                <w:szCs w:val="18"/>
                <w:color w:val="auto"/>
              </w:rPr>
              <w:t>(301.9)</w:t>
            </w:r>
          </w:p>
        </w:tc>
      </w:tr>
      <w:tr>
        <w:trPr>
          <w:trHeight w:val="228"/>
        </w:trPr>
        <w:tc>
          <w:tcPr>
            <w:tcW w:w="7380" w:type="dxa"/>
            <w:vAlign w:val="bottom"/>
            <w:shd w:val="clear" w:color="auto" w:fill="CCEEFF"/>
          </w:tcPr>
          <w:p>
            <w:pPr>
              <w:ind w:left="20"/>
              <w:spacing w:after="0"/>
              <w:rPr>
                <w:sz w:val="20"/>
                <w:szCs w:val="20"/>
                <w:color w:val="auto"/>
              </w:rPr>
            </w:pPr>
            <w:r>
              <w:rPr>
                <w:rFonts w:ascii="Arial" w:cs="Arial" w:eastAsia="Arial" w:hAnsi="Arial"/>
                <w:sz w:val="18"/>
                <w:szCs w:val="18"/>
                <w:color w:val="auto"/>
              </w:rPr>
              <w:t>Buy U.S. dollar, sell other currencies</w:t>
            </w:r>
          </w:p>
        </w:tc>
        <w:tc>
          <w:tcPr>
            <w:tcW w:w="1880" w:type="dxa"/>
            <w:vAlign w:val="bottom"/>
            <w:gridSpan w:val="2"/>
            <w:shd w:val="clear" w:color="auto" w:fill="CCEEFF"/>
          </w:tcPr>
          <w:p>
            <w:pPr>
              <w:ind w:left="680"/>
              <w:spacing w:after="0"/>
              <w:rPr>
                <w:sz w:val="20"/>
                <w:szCs w:val="20"/>
                <w:color w:val="auto"/>
              </w:rPr>
            </w:pPr>
            <w:r>
              <w:rPr>
                <w:rFonts w:ascii="Arial" w:cs="Arial" w:eastAsia="Arial" w:hAnsi="Arial"/>
                <w:sz w:val="18"/>
                <w:szCs w:val="18"/>
                <w:color w:val="auto"/>
              </w:rPr>
              <w:t>USD</w:t>
            </w:r>
          </w:p>
        </w:tc>
        <w:tc>
          <w:tcPr>
            <w:tcW w:w="1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536.9</w:t>
            </w:r>
          </w:p>
        </w:tc>
      </w:tr>
      <w:tr>
        <w:trPr>
          <w:trHeight w:val="213"/>
        </w:trPr>
        <w:tc>
          <w:tcPr>
            <w:tcW w:w="738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80" w:type="dxa"/>
            <w:vAlign w:val="bottom"/>
          </w:tcPr>
          <w:p>
            <w:pPr>
              <w:spacing w:after="0"/>
              <w:rPr>
                <w:sz w:val="18"/>
                <w:szCs w:val="18"/>
                <w:color w:val="auto"/>
              </w:rPr>
            </w:pPr>
          </w:p>
        </w:tc>
      </w:tr>
      <w:tr>
        <w:trPr>
          <w:trHeight w:val="227"/>
        </w:trPr>
        <w:tc>
          <w:tcPr>
            <w:tcW w:w="73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Interest rate contracts</w:t>
            </w:r>
          </w:p>
        </w:tc>
        <w:tc>
          <w:tcPr>
            <w:tcW w:w="17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980" w:type="dxa"/>
            <w:vAlign w:val="bottom"/>
            <w:shd w:val="clear" w:color="auto" w:fill="CCEEFF"/>
          </w:tcPr>
          <w:p>
            <w:pPr>
              <w:spacing w:after="0"/>
              <w:rPr>
                <w:sz w:val="19"/>
                <w:szCs w:val="19"/>
                <w:color w:val="auto"/>
              </w:rPr>
            </w:pPr>
          </w:p>
        </w:tc>
      </w:tr>
      <w:tr>
        <w:trPr>
          <w:trHeight w:val="225"/>
        </w:trPr>
        <w:tc>
          <w:tcPr>
            <w:tcW w:w="7380" w:type="dxa"/>
            <w:vAlign w:val="bottom"/>
          </w:tcPr>
          <w:p>
            <w:pPr>
              <w:ind w:left="20"/>
              <w:spacing w:after="0"/>
              <w:rPr>
                <w:sz w:val="20"/>
                <w:szCs w:val="20"/>
                <w:color w:val="auto"/>
              </w:rPr>
            </w:pPr>
            <w:r>
              <w:rPr>
                <w:rFonts w:ascii="Arial" w:cs="Arial" w:eastAsia="Arial" w:hAnsi="Arial"/>
                <w:sz w:val="18"/>
                <w:szCs w:val="18"/>
                <w:color w:val="auto"/>
              </w:rPr>
              <w:t>Interest rate swap</w:t>
            </w:r>
          </w:p>
        </w:tc>
        <w:tc>
          <w:tcPr>
            <w:tcW w:w="1880" w:type="dxa"/>
            <w:vAlign w:val="bottom"/>
            <w:gridSpan w:val="2"/>
          </w:tcPr>
          <w:p>
            <w:pPr>
              <w:ind w:left="680"/>
              <w:spacing w:after="0"/>
              <w:rPr>
                <w:sz w:val="20"/>
                <w:szCs w:val="20"/>
                <w:color w:val="auto"/>
              </w:rPr>
            </w:pPr>
            <w:r>
              <w:rPr>
                <w:rFonts w:ascii="Arial" w:cs="Arial" w:eastAsia="Arial" w:hAnsi="Arial"/>
                <w:sz w:val="18"/>
                <w:szCs w:val="18"/>
                <w:color w:val="auto"/>
              </w:rPr>
              <w:t>USD</w:t>
            </w:r>
          </w:p>
        </w:tc>
        <w:tc>
          <w:tcPr>
            <w:tcW w:w="1980" w:type="dxa"/>
            <w:vAlign w:val="bottom"/>
          </w:tcPr>
          <w:p>
            <w:pPr>
              <w:jc w:val="right"/>
              <w:spacing w:after="0"/>
              <w:rPr>
                <w:sz w:val="20"/>
                <w:szCs w:val="20"/>
                <w:color w:val="auto"/>
              </w:rPr>
            </w:pPr>
            <w:r>
              <w:rPr>
                <w:rFonts w:ascii="Arial" w:cs="Arial" w:eastAsia="Arial" w:hAnsi="Arial"/>
                <w:sz w:val="18"/>
                <w:szCs w:val="18"/>
                <w:color w:val="auto"/>
              </w:rPr>
              <w:t>300.0</w:t>
            </w:r>
          </w:p>
        </w:tc>
      </w:tr>
    </w:tbl>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Assets and Liabilities</w:t>
      </w:r>
    </w:p>
    <w:p>
      <w:pPr>
        <w:spacing w:after="0" w:line="2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following table presents the gross fair value of our derivative instruments and their locations on the Condensed Consolidated Balance Sheets (in millions):</w:t>
      </w:r>
    </w:p>
    <w:p>
      <w:pPr>
        <w:spacing w:after="0" w:line="123" w:lineRule="exact"/>
        <w:rPr>
          <w:sz w:val="20"/>
          <w:szCs w:val="20"/>
          <w:color w:val="auto"/>
        </w:rPr>
      </w:pPr>
    </w:p>
    <w:tbl>
      <w:tblPr>
        <w:tblLayout w:type="fixed"/>
        <w:tblInd w:w="40" w:type="dxa"/>
        <w:tblCellMar>
          <w:top w:w="0" w:type="dxa"/>
          <w:left w:w="0" w:type="dxa"/>
          <w:bottom w:w="0" w:type="dxa"/>
          <w:right w:w="0" w:type="dxa"/>
        </w:tblCellMar>
      </w:tblPr>
      <w:tr>
        <w:trPr>
          <w:trHeight w:val="187"/>
        </w:trPr>
        <w:tc>
          <w:tcPr>
            <w:tcW w:w="2060" w:type="dxa"/>
            <w:vAlign w:val="bottom"/>
          </w:tcPr>
          <w:p>
            <w:pPr>
              <w:spacing w:after="0"/>
              <w:rPr>
                <w:sz w:val="16"/>
                <w:szCs w:val="16"/>
                <w:color w:val="auto"/>
              </w:rPr>
            </w:pPr>
          </w:p>
        </w:tc>
        <w:tc>
          <w:tcPr>
            <w:tcW w:w="3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00" w:type="dxa"/>
            <w:vAlign w:val="bottom"/>
            <w:tcBorders>
              <w:bottom w:val="single" w:sz="8" w:color="auto"/>
            </w:tcBorders>
            <w:gridSpan w:val="4"/>
          </w:tcPr>
          <w:p>
            <w:pPr>
              <w:jc w:val="right"/>
              <w:ind w:right="469"/>
              <w:spacing w:after="0"/>
              <w:rPr>
                <w:sz w:val="20"/>
                <w:szCs w:val="20"/>
                <w:color w:val="auto"/>
              </w:rPr>
            </w:pPr>
            <w:r>
              <w:rPr>
                <w:rFonts w:ascii="Arial" w:cs="Arial" w:eastAsia="Arial" w:hAnsi="Arial"/>
                <w:sz w:val="14"/>
                <w:szCs w:val="14"/>
                <w:b w:val="1"/>
                <w:bCs w:val="1"/>
                <w:color w:val="auto"/>
              </w:rPr>
              <w:t>Gross Derivative Assets</w:t>
            </w:r>
          </w:p>
        </w:tc>
        <w:tc>
          <w:tcPr>
            <w:tcW w:w="1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480" w:type="dxa"/>
            <w:vAlign w:val="bottom"/>
            <w:tcBorders>
              <w:bottom w:val="single" w:sz="8" w:color="auto"/>
            </w:tcBorders>
            <w:gridSpan w:val="4"/>
          </w:tcPr>
          <w:p>
            <w:pPr>
              <w:jc w:val="right"/>
              <w:ind w:right="369"/>
              <w:spacing w:after="0"/>
              <w:rPr>
                <w:sz w:val="20"/>
                <w:szCs w:val="20"/>
                <w:color w:val="auto"/>
              </w:rPr>
            </w:pPr>
            <w:r>
              <w:rPr>
                <w:rFonts w:ascii="Arial" w:cs="Arial" w:eastAsia="Arial" w:hAnsi="Arial"/>
                <w:sz w:val="14"/>
                <w:szCs w:val="14"/>
                <w:b w:val="1"/>
                <w:bCs w:val="1"/>
                <w:color w:val="auto"/>
              </w:rPr>
              <w:t>Gross Derivative Liabilities</w:t>
            </w:r>
          </w:p>
        </w:tc>
        <w:tc>
          <w:tcPr>
            <w:tcW w:w="0" w:type="dxa"/>
            <w:vAlign w:val="bottom"/>
          </w:tcPr>
          <w:p>
            <w:pPr>
              <w:spacing w:after="0"/>
              <w:rPr>
                <w:sz w:val="1"/>
                <w:szCs w:val="1"/>
                <w:color w:val="auto"/>
              </w:rPr>
            </w:pPr>
          </w:p>
        </w:tc>
      </w:tr>
      <w:tr>
        <w:trPr>
          <w:trHeight w:val="235"/>
        </w:trPr>
        <w:tc>
          <w:tcPr>
            <w:tcW w:w="2060" w:type="dxa"/>
            <w:vAlign w:val="bottom"/>
          </w:tcPr>
          <w:p>
            <w:pPr>
              <w:spacing w:after="0"/>
              <w:rPr>
                <w:sz w:val="20"/>
                <w:szCs w:val="20"/>
                <w:color w:val="auto"/>
              </w:rPr>
            </w:pPr>
          </w:p>
        </w:tc>
        <w:tc>
          <w:tcPr>
            <w:tcW w:w="3600" w:type="dxa"/>
            <w:vAlign w:val="bottom"/>
            <w:gridSpan w:val="2"/>
            <w:vMerge w:val="restart"/>
          </w:tcPr>
          <w:p>
            <w:pPr>
              <w:ind w:left="380"/>
              <w:spacing w:after="0"/>
              <w:rPr>
                <w:sz w:val="20"/>
                <w:szCs w:val="20"/>
                <w:color w:val="auto"/>
              </w:rPr>
            </w:pPr>
            <w:r>
              <w:rPr>
                <w:rFonts w:ascii="Arial" w:cs="Arial" w:eastAsia="Arial" w:hAnsi="Arial"/>
                <w:sz w:val="14"/>
                <w:szCs w:val="14"/>
                <w:b w:val="1"/>
                <w:bCs w:val="1"/>
                <w:color w:val="auto"/>
              </w:rPr>
              <w:t>Condensed Consolidated Balance Sheets</w:t>
            </w:r>
          </w:p>
        </w:tc>
        <w:tc>
          <w:tcPr>
            <w:tcW w:w="200" w:type="dxa"/>
            <w:vAlign w:val="bottom"/>
          </w:tcPr>
          <w:p>
            <w:pPr>
              <w:spacing w:after="0"/>
              <w:rPr>
                <w:sz w:val="20"/>
                <w:szCs w:val="20"/>
                <w:color w:val="auto"/>
              </w:rPr>
            </w:pPr>
          </w:p>
        </w:tc>
        <w:tc>
          <w:tcPr>
            <w:tcW w:w="122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March 31,</w:t>
            </w:r>
          </w:p>
        </w:tc>
        <w:tc>
          <w:tcPr>
            <w:tcW w:w="120" w:type="dxa"/>
            <w:vAlign w:val="bottom"/>
          </w:tcPr>
          <w:p>
            <w:pPr>
              <w:spacing w:after="0"/>
              <w:rPr>
                <w:sz w:val="20"/>
                <w:szCs w:val="20"/>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b w:val="1"/>
                <w:bCs w:val="1"/>
                <w:color w:val="auto"/>
              </w:rPr>
              <w:t>December 31,</w:t>
            </w:r>
          </w:p>
        </w:tc>
        <w:tc>
          <w:tcPr>
            <w:tcW w:w="200" w:type="dxa"/>
            <w:vAlign w:val="bottom"/>
          </w:tcPr>
          <w:p>
            <w:pPr>
              <w:spacing w:after="0"/>
              <w:rPr>
                <w:sz w:val="20"/>
                <w:szCs w:val="20"/>
                <w:color w:val="auto"/>
              </w:rPr>
            </w:pPr>
          </w:p>
        </w:tc>
        <w:tc>
          <w:tcPr>
            <w:tcW w:w="1200" w:type="dxa"/>
            <w:vAlign w:val="bottom"/>
            <w:gridSpan w:val="2"/>
          </w:tcPr>
          <w:p>
            <w:pPr>
              <w:ind w:left="100"/>
              <w:spacing w:after="0"/>
              <w:rPr>
                <w:sz w:val="20"/>
                <w:szCs w:val="20"/>
                <w:color w:val="auto"/>
              </w:rPr>
            </w:pPr>
            <w:r>
              <w:rPr>
                <w:rFonts w:ascii="Arial" w:cs="Arial" w:eastAsia="Arial" w:hAnsi="Arial"/>
                <w:sz w:val="14"/>
                <w:szCs w:val="14"/>
                <w:b w:val="1"/>
                <w:bCs w:val="1"/>
                <w:color w:val="auto"/>
              </w:rPr>
              <w:t>March 31,</w:t>
            </w:r>
          </w:p>
        </w:tc>
        <w:tc>
          <w:tcPr>
            <w:tcW w:w="140" w:type="dxa"/>
            <w:vAlign w:val="bottom"/>
          </w:tcPr>
          <w:p>
            <w:pPr>
              <w:spacing w:after="0"/>
              <w:rPr>
                <w:sz w:val="20"/>
                <w:szCs w:val="20"/>
                <w:color w:val="auto"/>
              </w:rPr>
            </w:pPr>
          </w:p>
        </w:tc>
        <w:tc>
          <w:tcPr>
            <w:tcW w:w="1140" w:type="dxa"/>
            <w:vAlign w:val="bottom"/>
          </w:tcPr>
          <w:p>
            <w:pPr>
              <w:jc w:val="right"/>
              <w:ind w:right="109"/>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78"/>
        </w:trPr>
        <w:tc>
          <w:tcPr>
            <w:tcW w:w="2060" w:type="dxa"/>
            <w:vAlign w:val="bottom"/>
            <w:vMerge w:val="restart"/>
          </w:tcPr>
          <w:p>
            <w:pPr>
              <w:spacing w:after="0"/>
              <w:rPr>
                <w:sz w:val="20"/>
                <w:szCs w:val="20"/>
                <w:color w:val="auto"/>
              </w:rPr>
            </w:pPr>
            <w:r>
              <w:rPr>
                <w:rFonts w:ascii="Arial" w:cs="Arial" w:eastAsia="Arial" w:hAnsi="Arial"/>
                <w:sz w:val="14"/>
                <w:szCs w:val="14"/>
                <w:b w:val="1"/>
                <w:bCs w:val="1"/>
                <w:color w:val="auto"/>
              </w:rPr>
              <w:t>Derivative Instruments</w:t>
            </w:r>
          </w:p>
        </w:tc>
        <w:tc>
          <w:tcPr>
            <w:tcW w:w="360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1080" w:type="dxa"/>
            <w:vAlign w:val="bottom"/>
            <w:vMerge w:val="restart"/>
          </w:tcPr>
          <w:p>
            <w:pPr>
              <w:jc w:val="right"/>
              <w:ind w:right="409"/>
              <w:spacing w:after="0"/>
              <w:rPr>
                <w:sz w:val="20"/>
                <w:szCs w:val="20"/>
                <w:color w:val="auto"/>
              </w:rPr>
            </w:pPr>
            <w:r>
              <w:rPr>
                <w:rFonts w:ascii="Arial" w:cs="Arial" w:eastAsia="Arial" w:hAnsi="Arial"/>
                <w:sz w:val="14"/>
                <w:szCs w:val="14"/>
                <w:b w:val="1"/>
                <w:bCs w:val="1"/>
                <w:color w:val="auto"/>
              </w:rPr>
              <w:t>2022</w:t>
            </w:r>
          </w:p>
        </w:tc>
        <w:tc>
          <w:tcPr>
            <w:tcW w:w="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160" w:type="dxa"/>
            <w:vAlign w:val="bottom"/>
            <w:vMerge w:val="restart"/>
          </w:tcPr>
          <w:p>
            <w:pPr>
              <w:jc w:val="right"/>
              <w:ind w:right="409"/>
              <w:spacing w:after="0"/>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080" w:type="dxa"/>
            <w:vAlign w:val="bottom"/>
            <w:vMerge w:val="restart"/>
          </w:tcPr>
          <w:p>
            <w:pPr>
              <w:jc w:val="right"/>
              <w:ind w:right="429"/>
              <w:spacing w:after="0"/>
              <w:rPr>
                <w:sz w:val="20"/>
                <w:szCs w:val="20"/>
                <w:color w:val="auto"/>
              </w:rPr>
            </w:pPr>
            <w:r>
              <w:rPr>
                <w:rFonts w:ascii="Arial" w:cs="Arial" w:eastAsia="Arial" w:hAnsi="Arial"/>
                <w:sz w:val="14"/>
                <w:szCs w:val="14"/>
                <w:b w:val="1"/>
                <w:bCs w:val="1"/>
                <w:color w:val="auto"/>
              </w:rPr>
              <w:t>2022</w:t>
            </w: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40" w:type="dxa"/>
            <w:vAlign w:val="bottom"/>
            <w:vMerge w:val="restart"/>
          </w:tcPr>
          <w:p>
            <w:pPr>
              <w:jc w:val="right"/>
              <w:ind w:right="409"/>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73"/>
        </w:trPr>
        <w:tc>
          <w:tcPr>
            <w:tcW w:w="2060" w:type="dxa"/>
            <w:vAlign w:val="bottom"/>
            <w:tcBorders>
              <w:bottom w:val="single" w:sz="8" w:color="auto"/>
            </w:tcBorders>
            <w:vMerge w:val="continue"/>
          </w:tcPr>
          <w:p>
            <w:pPr>
              <w:spacing w:after="0"/>
              <w:rPr>
                <w:sz w:val="15"/>
                <w:szCs w:val="15"/>
                <w:color w:val="auto"/>
              </w:rPr>
            </w:pPr>
          </w:p>
        </w:tc>
        <w:tc>
          <w:tcPr>
            <w:tcW w:w="3480" w:type="dxa"/>
            <w:vAlign w:val="bottom"/>
            <w:tcBorders>
              <w:bottom w:val="single" w:sz="8" w:color="auto"/>
            </w:tcBorders>
          </w:tcPr>
          <w:p>
            <w:pPr>
              <w:ind w:left="380"/>
              <w:spacing w:after="0"/>
              <w:rPr>
                <w:sz w:val="20"/>
                <w:szCs w:val="20"/>
                <w:color w:val="auto"/>
              </w:rPr>
            </w:pPr>
            <w:r>
              <w:rPr>
                <w:rFonts w:ascii="Arial" w:cs="Arial" w:eastAsia="Arial" w:hAnsi="Arial"/>
                <w:sz w:val="14"/>
                <w:szCs w:val="14"/>
                <w:b w:val="1"/>
                <w:bCs w:val="1"/>
                <w:color w:val="auto"/>
              </w:rPr>
              <w:t>Location</w:t>
            </w:r>
          </w:p>
        </w:tc>
        <w:tc>
          <w:tcPr>
            <w:tcW w:w="12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vMerge w:val="continue"/>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vMerge w:val="continue"/>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vMerge w:val="continue"/>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5660" w:type="dxa"/>
            <w:vAlign w:val="bottom"/>
            <w:gridSpan w:val="3"/>
          </w:tcPr>
          <w:p>
            <w:pPr>
              <w:spacing w:after="0"/>
              <w:rPr>
                <w:sz w:val="20"/>
                <w:szCs w:val="20"/>
                <w:color w:val="auto"/>
              </w:rPr>
            </w:pPr>
            <w:r>
              <w:rPr>
                <w:rFonts w:ascii="Arial" w:cs="Arial" w:eastAsia="Arial" w:hAnsi="Arial"/>
                <w:sz w:val="14"/>
                <w:szCs w:val="14"/>
                <w:b w:val="1"/>
                <w:bCs w:val="1"/>
                <w:color w:val="auto"/>
              </w:rPr>
              <w:t>Derivatives designated as hedging instruments</w:t>
            </w:r>
          </w:p>
        </w:tc>
        <w:tc>
          <w:tcPr>
            <w:tcW w:w="2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2060" w:type="dxa"/>
            <w:vAlign w:val="bottom"/>
            <w:shd w:val="clear" w:color="auto" w:fill="CCEEFF"/>
          </w:tcPr>
          <w:p>
            <w:pPr>
              <w:spacing w:after="0"/>
              <w:rPr>
                <w:sz w:val="20"/>
                <w:szCs w:val="20"/>
                <w:color w:val="auto"/>
              </w:rPr>
            </w:pPr>
            <w:r>
              <w:rPr>
                <w:rFonts w:ascii="Arial" w:cs="Arial" w:eastAsia="Arial" w:hAnsi="Arial"/>
                <w:sz w:val="14"/>
                <w:szCs w:val="14"/>
                <w:color w:val="auto"/>
              </w:rPr>
              <w:t>Commodity contracts</w:t>
            </w:r>
          </w:p>
        </w:tc>
        <w:tc>
          <w:tcPr>
            <w:tcW w:w="360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Short-term derivative assets, net</w:t>
            </w:r>
          </w:p>
        </w:tc>
        <w:tc>
          <w:tcPr>
            <w:tcW w:w="200" w:type="dxa"/>
            <w:vAlign w:val="bottom"/>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13.6</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1.8</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w w:val="76"/>
              </w:rPr>
              <w:t>$</w:t>
            </w:r>
          </w:p>
        </w:tc>
        <w:tc>
          <w:tcPr>
            <w:tcW w:w="10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12.4</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9.7</w:t>
            </w:r>
          </w:p>
        </w:tc>
        <w:tc>
          <w:tcPr>
            <w:tcW w:w="0" w:type="dxa"/>
            <w:vAlign w:val="bottom"/>
          </w:tcPr>
          <w:p>
            <w:pPr>
              <w:spacing w:after="0"/>
              <w:rPr>
                <w:sz w:val="1"/>
                <w:szCs w:val="1"/>
                <w:color w:val="auto"/>
              </w:rPr>
            </w:pPr>
          </w:p>
        </w:tc>
      </w:tr>
      <w:tr>
        <w:trPr>
          <w:trHeight w:val="187"/>
        </w:trPr>
        <w:tc>
          <w:tcPr>
            <w:tcW w:w="2060" w:type="dxa"/>
            <w:vAlign w:val="bottom"/>
          </w:tcPr>
          <w:p>
            <w:pPr>
              <w:spacing w:after="0"/>
              <w:rPr>
                <w:sz w:val="16"/>
                <w:szCs w:val="16"/>
                <w:color w:val="auto"/>
              </w:rPr>
            </w:pPr>
          </w:p>
        </w:tc>
        <w:tc>
          <w:tcPr>
            <w:tcW w:w="3600" w:type="dxa"/>
            <w:vAlign w:val="bottom"/>
            <w:gridSpan w:val="2"/>
          </w:tcPr>
          <w:p>
            <w:pPr>
              <w:ind w:left="380"/>
              <w:spacing w:after="0"/>
              <w:rPr>
                <w:sz w:val="20"/>
                <w:szCs w:val="20"/>
                <w:color w:val="auto"/>
              </w:rPr>
            </w:pPr>
            <w:r>
              <w:rPr>
                <w:rFonts w:ascii="Arial" w:cs="Arial" w:eastAsia="Arial" w:hAnsi="Arial"/>
                <w:sz w:val="14"/>
                <w:szCs w:val="14"/>
                <w:color w:val="auto"/>
              </w:rPr>
              <w:t>Short-term derivative liabilities, net</w:t>
            </w:r>
          </w:p>
        </w:tc>
        <w:tc>
          <w:tcPr>
            <w:tcW w:w="20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0.4</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jc w:val="right"/>
              <w:ind w:right="9"/>
              <w:spacing w:after="0"/>
              <w:rPr>
                <w:sz w:val="20"/>
                <w:szCs w:val="20"/>
                <w:color w:val="auto"/>
              </w:rPr>
            </w:pPr>
            <w:r>
              <w:rPr>
                <w:rFonts w:ascii="Arial" w:cs="Arial" w:eastAsia="Arial" w:hAnsi="Arial"/>
                <w:sz w:val="14"/>
                <w:szCs w:val="14"/>
                <w:color w:val="auto"/>
              </w:rPr>
              <w:t>0.1</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80" w:type="dxa"/>
            <w:vAlign w:val="bottom"/>
          </w:tcPr>
          <w:p>
            <w:pPr>
              <w:jc w:val="right"/>
              <w:ind w:right="9"/>
              <w:spacing w:after="0"/>
              <w:rPr>
                <w:sz w:val="20"/>
                <w:szCs w:val="20"/>
                <w:color w:val="auto"/>
              </w:rPr>
            </w:pPr>
            <w:r>
              <w:rPr>
                <w:rFonts w:ascii="Arial" w:cs="Arial" w:eastAsia="Arial" w:hAnsi="Arial"/>
                <w:sz w:val="14"/>
                <w:szCs w:val="14"/>
                <w:color w:val="auto"/>
              </w:rPr>
              <w:t>1.4</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0.4</w:t>
            </w:r>
          </w:p>
        </w:tc>
        <w:tc>
          <w:tcPr>
            <w:tcW w:w="0" w:type="dxa"/>
            <w:vAlign w:val="bottom"/>
          </w:tcPr>
          <w:p>
            <w:pPr>
              <w:spacing w:after="0"/>
              <w:rPr>
                <w:sz w:val="1"/>
                <w:szCs w:val="1"/>
                <w:color w:val="auto"/>
              </w:rPr>
            </w:pPr>
          </w:p>
        </w:tc>
      </w:tr>
      <w:tr>
        <w:trPr>
          <w:trHeight w:val="213"/>
        </w:trPr>
        <w:tc>
          <w:tcPr>
            <w:tcW w:w="2060" w:type="dxa"/>
            <w:vAlign w:val="bottom"/>
            <w:shd w:val="clear" w:color="auto" w:fill="CCEEFF"/>
          </w:tcPr>
          <w:p>
            <w:pPr>
              <w:spacing w:after="0"/>
              <w:rPr>
                <w:sz w:val="18"/>
                <w:szCs w:val="18"/>
                <w:color w:val="auto"/>
              </w:rPr>
            </w:pPr>
          </w:p>
        </w:tc>
        <w:tc>
          <w:tcPr>
            <w:tcW w:w="34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7"/>
        </w:trPr>
        <w:tc>
          <w:tcPr>
            <w:tcW w:w="2060" w:type="dxa"/>
            <w:vAlign w:val="bottom"/>
          </w:tcPr>
          <w:p>
            <w:pPr>
              <w:spacing w:after="0"/>
              <w:rPr>
                <w:sz w:val="20"/>
                <w:szCs w:val="20"/>
                <w:color w:val="auto"/>
              </w:rPr>
            </w:pPr>
            <w:r>
              <w:rPr>
                <w:rFonts w:ascii="Arial" w:cs="Arial" w:eastAsia="Arial" w:hAnsi="Arial"/>
                <w:sz w:val="14"/>
                <w:szCs w:val="14"/>
                <w:color w:val="auto"/>
              </w:rPr>
              <w:t>Interest rate contracts</w:t>
            </w:r>
          </w:p>
        </w:tc>
        <w:tc>
          <w:tcPr>
            <w:tcW w:w="3600" w:type="dxa"/>
            <w:vAlign w:val="bottom"/>
            <w:gridSpan w:val="2"/>
          </w:tcPr>
          <w:p>
            <w:pPr>
              <w:ind w:left="380"/>
              <w:spacing w:after="0"/>
              <w:rPr>
                <w:sz w:val="20"/>
                <w:szCs w:val="20"/>
                <w:color w:val="auto"/>
              </w:rPr>
            </w:pPr>
            <w:r>
              <w:rPr>
                <w:rFonts w:ascii="Arial" w:cs="Arial" w:eastAsia="Arial" w:hAnsi="Arial"/>
                <w:sz w:val="14"/>
                <w:szCs w:val="14"/>
                <w:color w:val="auto"/>
              </w:rPr>
              <w:t>Short-term derivative assets, net</w:t>
            </w:r>
          </w:p>
        </w:tc>
        <w:tc>
          <w:tcPr>
            <w:tcW w:w="20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3.7</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2060" w:type="dxa"/>
            <w:vAlign w:val="bottom"/>
            <w:shd w:val="clear" w:color="auto" w:fill="CCEEFF"/>
          </w:tcPr>
          <w:p>
            <w:pPr>
              <w:spacing w:after="0"/>
              <w:rPr>
                <w:sz w:val="16"/>
                <w:szCs w:val="16"/>
                <w:color w:val="auto"/>
              </w:rPr>
            </w:pPr>
          </w:p>
        </w:tc>
        <w:tc>
          <w:tcPr>
            <w:tcW w:w="360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non-current assets</w:t>
            </w: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13.3</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5.4</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2060" w:type="dxa"/>
            <w:vAlign w:val="bottom"/>
          </w:tcPr>
          <w:p>
            <w:pPr>
              <w:spacing w:after="0"/>
              <w:rPr>
                <w:sz w:val="16"/>
                <w:szCs w:val="16"/>
                <w:color w:val="auto"/>
              </w:rPr>
            </w:pPr>
          </w:p>
        </w:tc>
        <w:tc>
          <w:tcPr>
            <w:tcW w:w="3600" w:type="dxa"/>
            <w:vAlign w:val="bottom"/>
            <w:gridSpan w:val="2"/>
          </w:tcPr>
          <w:p>
            <w:pPr>
              <w:ind w:left="380"/>
              <w:spacing w:after="0"/>
              <w:rPr>
                <w:sz w:val="20"/>
                <w:szCs w:val="20"/>
                <w:color w:val="auto"/>
              </w:rPr>
            </w:pPr>
            <w:r>
              <w:rPr>
                <w:rFonts w:ascii="Arial" w:cs="Arial" w:eastAsia="Arial" w:hAnsi="Arial"/>
                <w:sz w:val="14"/>
                <w:szCs w:val="14"/>
                <w:color w:val="auto"/>
              </w:rPr>
              <w:t>Short-term derivative liabilities, net</w:t>
            </w:r>
          </w:p>
        </w:tc>
        <w:tc>
          <w:tcPr>
            <w:tcW w:w="20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00" w:type="dxa"/>
            <w:vAlign w:val="bottom"/>
          </w:tcPr>
          <w:p>
            <w:pPr>
              <w:spacing w:after="0"/>
              <w:rPr>
                <w:sz w:val="16"/>
                <w:szCs w:val="16"/>
                <w:color w:val="auto"/>
              </w:rPr>
            </w:pPr>
          </w:p>
        </w:tc>
        <w:tc>
          <w:tcPr>
            <w:tcW w:w="120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0.3</w:t>
            </w:r>
          </w:p>
        </w:tc>
        <w:tc>
          <w:tcPr>
            <w:tcW w:w="0" w:type="dxa"/>
            <w:vAlign w:val="bottom"/>
          </w:tcPr>
          <w:p>
            <w:pPr>
              <w:spacing w:after="0"/>
              <w:rPr>
                <w:sz w:val="1"/>
                <w:szCs w:val="1"/>
                <w:color w:val="auto"/>
              </w:rPr>
            </w:pPr>
          </w:p>
        </w:tc>
      </w:tr>
      <w:tr>
        <w:trPr>
          <w:trHeight w:val="180"/>
        </w:trPr>
        <w:tc>
          <w:tcPr>
            <w:tcW w:w="566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4"/>
                <w:szCs w:val="14"/>
                <w:b w:val="1"/>
                <w:bCs w:val="1"/>
                <w:color w:val="auto"/>
              </w:rPr>
              <w:t>Total derivatives designated as hedging instruments</w:t>
            </w: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31.1</w:t>
            </w:r>
          </w:p>
        </w:tc>
        <w:tc>
          <w:tcPr>
            <w:tcW w:w="140" w:type="dxa"/>
            <w:vAlign w:val="bottom"/>
            <w:tcBorders>
              <w:top w:val="single" w:sz="8" w:color="CCEEFF"/>
            </w:tcBorders>
            <w:shd w:val="clear" w:color="auto" w:fill="CCEEFF"/>
          </w:tcPr>
          <w:p>
            <w:pPr>
              <w:spacing w:after="0"/>
              <w:rPr>
                <w:sz w:val="15"/>
                <w:szCs w:val="15"/>
                <w:color w:val="auto"/>
              </w:rPr>
            </w:pPr>
          </w:p>
        </w:tc>
        <w:tc>
          <w:tcPr>
            <w:tcW w:w="120" w:type="dxa"/>
            <w:vAlign w:val="bottom"/>
            <w:tcBorders>
              <w:top w:val="single" w:sz="8" w:color="auto"/>
              <w:bottom w:val="single" w:sz="8" w:color="auto"/>
            </w:tcBorders>
            <w:shd w:val="clear" w:color="auto" w:fill="CCEEFF"/>
          </w:tcPr>
          <w:p>
            <w:pPr>
              <w:spacing w:after="0"/>
              <w:rPr>
                <w:sz w:val="15"/>
                <w:szCs w:val="15"/>
                <w:color w:val="auto"/>
              </w:rPr>
            </w:pPr>
          </w:p>
        </w:tc>
        <w:tc>
          <w:tcPr>
            <w:tcW w:w="116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7.3</w:t>
            </w:r>
          </w:p>
        </w:tc>
        <w:tc>
          <w:tcPr>
            <w:tcW w:w="140" w:type="dxa"/>
            <w:vAlign w:val="bottom"/>
            <w:tcBorders>
              <w:top w:val="single" w:sz="8" w:color="CCEEFF"/>
            </w:tcBorders>
            <w:shd w:val="clear" w:color="auto" w:fill="CCEEFF"/>
          </w:tcPr>
          <w:p>
            <w:pPr>
              <w:spacing w:after="0"/>
              <w:rPr>
                <w:sz w:val="15"/>
                <w:szCs w:val="15"/>
                <w:color w:val="auto"/>
              </w:rPr>
            </w:pPr>
          </w:p>
        </w:tc>
        <w:tc>
          <w:tcPr>
            <w:tcW w:w="200" w:type="dxa"/>
            <w:vAlign w:val="bottom"/>
            <w:tcBorders>
              <w:top w:val="single" w:sz="8" w:color="auto"/>
              <w:bottom w:val="single" w:sz="8" w:color="auto"/>
            </w:tcBorders>
            <w:shd w:val="clear" w:color="auto" w:fill="CCEEFF"/>
          </w:tcPr>
          <w:p>
            <w:pPr>
              <w:spacing w:after="0"/>
              <w:rPr>
                <w:sz w:val="15"/>
                <w:szCs w:val="15"/>
                <w:color w:val="auto"/>
              </w:rPr>
            </w:pPr>
          </w:p>
        </w:tc>
        <w:tc>
          <w:tcPr>
            <w:tcW w:w="108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13.8</w:t>
            </w:r>
          </w:p>
        </w:tc>
        <w:tc>
          <w:tcPr>
            <w:tcW w:w="120" w:type="dxa"/>
            <w:vAlign w:val="bottom"/>
            <w:tcBorders>
              <w:top w:val="single" w:sz="8" w:color="CCEEFF"/>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10.4</w:t>
            </w:r>
          </w:p>
        </w:tc>
        <w:tc>
          <w:tcPr>
            <w:tcW w:w="0" w:type="dxa"/>
            <w:vAlign w:val="bottom"/>
          </w:tcPr>
          <w:p>
            <w:pPr>
              <w:spacing w:after="0"/>
              <w:rPr>
                <w:sz w:val="1"/>
                <w:szCs w:val="1"/>
                <w:color w:val="auto"/>
              </w:rPr>
            </w:pPr>
          </w:p>
        </w:tc>
      </w:tr>
      <w:tr>
        <w:trPr>
          <w:trHeight w:val="127"/>
        </w:trPr>
        <w:tc>
          <w:tcPr>
            <w:tcW w:w="2060" w:type="dxa"/>
            <w:vAlign w:val="bottom"/>
          </w:tcPr>
          <w:p>
            <w:pPr>
              <w:spacing w:after="0"/>
              <w:rPr>
                <w:sz w:val="11"/>
                <w:szCs w:val="11"/>
                <w:color w:val="auto"/>
              </w:rPr>
            </w:pPr>
          </w:p>
        </w:tc>
        <w:tc>
          <w:tcPr>
            <w:tcW w:w="34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5660" w:type="dxa"/>
            <w:vAlign w:val="bottom"/>
            <w:gridSpan w:val="3"/>
            <w:shd w:val="clear" w:color="auto" w:fill="CCEEFF"/>
          </w:tcPr>
          <w:p>
            <w:pPr>
              <w:spacing w:after="0"/>
              <w:rPr>
                <w:sz w:val="20"/>
                <w:szCs w:val="20"/>
                <w:color w:val="auto"/>
              </w:rPr>
            </w:pPr>
            <w:r>
              <w:rPr>
                <w:rFonts w:ascii="Arial" w:cs="Arial" w:eastAsia="Arial" w:hAnsi="Arial"/>
                <w:sz w:val="14"/>
                <w:szCs w:val="14"/>
                <w:b w:val="1"/>
                <w:bCs w:val="1"/>
                <w:color w:val="auto"/>
              </w:rPr>
              <w:t>Derivatives not designated as hedging instruments</w:t>
            </w: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060" w:type="dxa"/>
            <w:vAlign w:val="bottom"/>
          </w:tcPr>
          <w:p>
            <w:pPr>
              <w:spacing w:after="0"/>
              <w:rPr>
                <w:sz w:val="20"/>
                <w:szCs w:val="20"/>
                <w:color w:val="auto"/>
              </w:rPr>
            </w:pPr>
            <w:r>
              <w:rPr>
                <w:rFonts w:ascii="Arial" w:cs="Arial" w:eastAsia="Arial" w:hAnsi="Arial"/>
                <w:sz w:val="14"/>
                <w:szCs w:val="14"/>
                <w:color w:val="auto"/>
              </w:rPr>
              <w:t>Commodity contracts</w:t>
            </w:r>
          </w:p>
        </w:tc>
        <w:tc>
          <w:tcPr>
            <w:tcW w:w="3600" w:type="dxa"/>
            <w:vAlign w:val="bottom"/>
            <w:gridSpan w:val="2"/>
          </w:tcPr>
          <w:p>
            <w:pPr>
              <w:ind w:left="380"/>
              <w:spacing w:after="0"/>
              <w:rPr>
                <w:sz w:val="20"/>
                <w:szCs w:val="20"/>
                <w:color w:val="auto"/>
              </w:rPr>
            </w:pPr>
            <w:r>
              <w:rPr>
                <w:rFonts w:ascii="Arial" w:cs="Arial" w:eastAsia="Arial" w:hAnsi="Arial"/>
                <w:sz w:val="14"/>
                <w:szCs w:val="14"/>
                <w:color w:val="auto"/>
              </w:rPr>
              <w:t>Short-term derivative assets, net</w:t>
            </w:r>
          </w:p>
        </w:tc>
        <w:tc>
          <w:tcPr>
            <w:tcW w:w="20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880.7</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jc w:val="right"/>
              <w:ind w:right="9"/>
              <w:spacing w:after="0"/>
              <w:rPr>
                <w:sz w:val="20"/>
                <w:szCs w:val="20"/>
                <w:color w:val="auto"/>
              </w:rPr>
            </w:pPr>
            <w:r>
              <w:rPr>
                <w:rFonts w:ascii="Arial" w:cs="Arial" w:eastAsia="Arial" w:hAnsi="Arial"/>
                <w:sz w:val="14"/>
                <w:szCs w:val="14"/>
                <w:color w:val="auto"/>
              </w:rPr>
              <w:t>516.3</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80" w:type="dxa"/>
            <w:vAlign w:val="bottom"/>
          </w:tcPr>
          <w:p>
            <w:pPr>
              <w:jc w:val="right"/>
              <w:ind w:right="9"/>
              <w:spacing w:after="0"/>
              <w:rPr>
                <w:sz w:val="20"/>
                <w:szCs w:val="20"/>
                <w:color w:val="auto"/>
              </w:rPr>
            </w:pPr>
            <w:r>
              <w:rPr>
                <w:rFonts w:ascii="Arial" w:cs="Arial" w:eastAsia="Arial" w:hAnsi="Arial"/>
                <w:sz w:val="14"/>
                <w:szCs w:val="14"/>
                <w:color w:val="auto"/>
              </w:rPr>
              <w:t>542.6</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337.5</w:t>
            </w:r>
          </w:p>
        </w:tc>
        <w:tc>
          <w:tcPr>
            <w:tcW w:w="0" w:type="dxa"/>
            <w:vAlign w:val="bottom"/>
          </w:tcPr>
          <w:p>
            <w:pPr>
              <w:spacing w:after="0"/>
              <w:rPr>
                <w:sz w:val="1"/>
                <w:szCs w:val="1"/>
                <w:color w:val="auto"/>
              </w:rPr>
            </w:pPr>
          </w:p>
        </w:tc>
      </w:tr>
      <w:tr>
        <w:trPr>
          <w:trHeight w:val="187"/>
        </w:trPr>
        <w:tc>
          <w:tcPr>
            <w:tcW w:w="2060" w:type="dxa"/>
            <w:vAlign w:val="bottom"/>
            <w:shd w:val="clear" w:color="auto" w:fill="CCEEFF"/>
          </w:tcPr>
          <w:p>
            <w:pPr>
              <w:spacing w:after="0"/>
              <w:rPr>
                <w:sz w:val="16"/>
                <w:szCs w:val="16"/>
                <w:color w:val="auto"/>
              </w:rPr>
            </w:pPr>
          </w:p>
        </w:tc>
        <w:tc>
          <w:tcPr>
            <w:tcW w:w="360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non-current assets</w:t>
            </w: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270.8</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112.2</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116.2</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27.6</w:t>
            </w:r>
          </w:p>
        </w:tc>
        <w:tc>
          <w:tcPr>
            <w:tcW w:w="0" w:type="dxa"/>
            <w:vAlign w:val="bottom"/>
          </w:tcPr>
          <w:p>
            <w:pPr>
              <w:spacing w:after="0"/>
              <w:rPr>
                <w:sz w:val="1"/>
                <w:szCs w:val="1"/>
                <w:color w:val="auto"/>
              </w:rPr>
            </w:pPr>
          </w:p>
        </w:tc>
      </w:tr>
      <w:tr>
        <w:trPr>
          <w:trHeight w:val="187"/>
        </w:trPr>
        <w:tc>
          <w:tcPr>
            <w:tcW w:w="2060" w:type="dxa"/>
            <w:vAlign w:val="bottom"/>
          </w:tcPr>
          <w:p>
            <w:pPr>
              <w:spacing w:after="0"/>
              <w:rPr>
                <w:sz w:val="16"/>
                <w:szCs w:val="16"/>
                <w:color w:val="auto"/>
              </w:rPr>
            </w:pPr>
          </w:p>
        </w:tc>
        <w:tc>
          <w:tcPr>
            <w:tcW w:w="3600" w:type="dxa"/>
            <w:vAlign w:val="bottom"/>
            <w:gridSpan w:val="2"/>
          </w:tcPr>
          <w:p>
            <w:pPr>
              <w:ind w:left="380"/>
              <w:spacing w:after="0"/>
              <w:rPr>
                <w:sz w:val="20"/>
                <w:szCs w:val="20"/>
                <w:color w:val="auto"/>
              </w:rPr>
            </w:pPr>
            <w:r>
              <w:rPr>
                <w:rFonts w:ascii="Arial" w:cs="Arial" w:eastAsia="Arial" w:hAnsi="Arial"/>
                <w:sz w:val="14"/>
                <w:szCs w:val="14"/>
                <w:color w:val="auto"/>
              </w:rPr>
              <w:t>Short-term derivative liabilities, net</w:t>
            </w:r>
          </w:p>
        </w:tc>
        <w:tc>
          <w:tcPr>
            <w:tcW w:w="20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211.6</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jc w:val="right"/>
              <w:ind w:right="9"/>
              <w:spacing w:after="0"/>
              <w:rPr>
                <w:sz w:val="20"/>
                <w:szCs w:val="20"/>
                <w:color w:val="auto"/>
              </w:rPr>
            </w:pPr>
            <w:r>
              <w:rPr>
                <w:rFonts w:ascii="Arial" w:cs="Arial" w:eastAsia="Arial" w:hAnsi="Arial"/>
                <w:sz w:val="14"/>
                <w:szCs w:val="14"/>
                <w:color w:val="auto"/>
              </w:rPr>
              <w:t>117.6</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80" w:type="dxa"/>
            <w:vAlign w:val="bottom"/>
          </w:tcPr>
          <w:p>
            <w:pPr>
              <w:jc w:val="right"/>
              <w:ind w:right="9"/>
              <w:spacing w:after="0"/>
              <w:rPr>
                <w:sz w:val="20"/>
                <w:szCs w:val="20"/>
                <w:color w:val="auto"/>
              </w:rPr>
            </w:pPr>
            <w:r>
              <w:rPr>
                <w:rFonts w:ascii="Arial" w:cs="Arial" w:eastAsia="Arial" w:hAnsi="Arial"/>
                <w:sz w:val="14"/>
                <w:szCs w:val="14"/>
                <w:color w:val="auto"/>
              </w:rPr>
              <w:t>529.8</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286.6</w:t>
            </w:r>
          </w:p>
        </w:tc>
        <w:tc>
          <w:tcPr>
            <w:tcW w:w="0" w:type="dxa"/>
            <w:vAlign w:val="bottom"/>
          </w:tcPr>
          <w:p>
            <w:pPr>
              <w:spacing w:after="0"/>
              <w:rPr>
                <w:sz w:val="1"/>
                <w:szCs w:val="1"/>
                <w:color w:val="auto"/>
              </w:rPr>
            </w:pPr>
          </w:p>
        </w:tc>
      </w:tr>
      <w:tr>
        <w:trPr>
          <w:trHeight w:val="187"/>
        </w:trPr>
        <w:tc>
          <w:tcPr>
            <w:tcW w:w="2060" w:type="dxa"/>
            <w:vAlign w:val="bottom"/>
            <w:shd w:val="clear" w:color="auto" w:fill="CCEEFF"/>
          </w:tcPr>
          <w:p>
            <w:pPr>
              <w:spacing w:after="0"/>
              <w:rPr>
                <w:sz w:val="16"/>
                <w:szCs w:val="16"/>
                <w:color w:val="auto"/>
              </w:rPr>
            </w:pPr>
          </w:p>
        </w:tc>
        <w:tc>
          <w:tcPr>
            <w:tcW w:w="360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long-term liabilities</w:t>
            </w: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51.8</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15.5</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192.5</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82.1</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18"/>
                <w:szCs w:val="18"/>
                <w:color w:val="auto"/>
              </w:rPr>
            </w:pPr>
          </w:p>
        </w:tc>
        <w:tc>
          <w:tcPr>
            <w:tcW w:w="3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7"/>
        </w:trPr>
        <w:tc>
          <w:tcPr>
            <w:tcW w:w="2060" w:type="dxa"/>
            <w:vAlign w:val="bottom"/>
            <w:shd w:val="clear" w:color="auto" w:fill="CCEEFF"/>
          </w:tcPr>
          <w:p>
            <w:pPr>
              <w:spacing w:after="0"/>
              <w:rPr>
                <w:sz w:val="20"/>
                <w:szCs w:val="20"/>
                <w:color w:val="auto"/>
              </w:rPr>
            </w:pPr>
            <w:r>
              <w:rPr>
                <w:rFonts w:ascii="Arial" w:cs="Arial" w:eastAsia="Arial" w:hAnsi="Arial"/>
                <w:sz w:val="14"/>
                <w:szCs w:val="14"/>
                <w:color w:val="auto"/>
              </w:rPr>
              <w:t>Foreign currency contracts</w:t>
            </w:r>
          </w:p>
        </w:tc>
        <w:tc>
          <w:tcPr>
            <w:tcW w:w="360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Short-term derivative assets, net</w:t>
            </w: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16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3.8</w:t>
            </w: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9"/>
              <w:spacing w:after="0"/>
              <w:rPr>
                <w:sz w:val="20"/>
                <w:szCs w:val="20"/>
                <w:color w:val="auto"/>
              </w:rPr>
            </w:pPr>
            <w:r>
              <w:rPr>
                <w:rFonts w:ascii="Arial" w:cs="Arial" w:eastAsia="Arial" w:hAnsi="Arial"/>
                <w:sz w:val="14"/>
                <w:szCs w:val="14"/>
                <w:color w:val="auto"/>
              </w:rPr>
              <w:t>0.6</w:t>
            </w: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87"/>
        </w:trPr>
        <w:tc>
          <w:tcPr>
            <w:tcW w:w="2060" w:type="dxa"/>
            <w:vAlign w:val="bottom"/>
          </w:tcPr>
          <w:p>
            <w:pPr>
              <w:spacing w:after="0"/>
              <w:rPr>
                <w:sz w:val="16"/>
                <w:szCs w:val="16"/>
                <w:color w:val="auto"/>
              </w:rPr>
            </w:pPr>
          </w:p>
        </w:tc>
        <w:tc>
          <w:tcPr>
            <w:tcW w:w="3600" w:type="dxa"/>
            <w:vAlign w:val="bottom"/>
            <w:gridSpan w:val="2"/>
          </w:tcPr>
          <w:p>
            <w:pPr>
              <w:ind w:left="380"/>
              <w:spacing w:after="0"/>
              <w:rPr>
                <w:sz w:val="20"/>
                <w:szCs w:val="20"/>
                <w:color w:val="auto"/>
              </w:rPr>
            </w:pPr>
            <w:r>
              <w:rPr>
                <w:rFonts w:ascii="Arial" w:cs="Arial" w:eastAsia="Arial" w:hAnsi="Arial"/>
                <w:sz w:val="14"/>
                <w:szCs w:val="14"/>
                <w:color w:val="auto"/>
              </w:rPr>
              <w:t>Other non-current assets</w:t>
            </w:r>
          </w:p>
        </w:tc>
        <w:tc>
          <w:tcPr>
            <w:tcW w:w="20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0.2</w:t>
            </w: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tcPr>
          <w:p>
            <w:pPr>
              <w:jc w:val="right"/>
              <w:ind w:right="9"/>
              <w:spacing w:after="0"/>
              <w:rPr>
                <w:sz w:val="20"/>
                <w:szCs w:val="20"/>
                <w:color w:val="auto"/>
              </w:rPr>
            </w:pPr>
            <w:r>
              <w:rPr>
                <w:rFonts w:ascii="Arial" w:cs="Arial" w:eastAsia="Arial" w:hAnsi="Arial"/>
                <w:sz w:val="14"/>
                <w:szCs w:val="14"/>
                <w:color w:val="auto"/>
              </w:rPr>
              <w:t>0.1</w:t>
            </w: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080" w:type="dxa"/>
            <w:vAlign w:val="bottom"/>
          </w:tcPr>
          <w:p>
            <w:pPr>
              <w:jc w:val="right"/>
              <w:ind w:right="9"/>
              <w:spacing w:after="0"/>
              <w:rPr>
                <w:sz w:val="20"/>
                <w:szCs w:val="20"/>
                <w:color w:val="auto"/>
              </w:rPr>
            </w:pPr>
            <w:r>
              <w:rPr>
                <w:rFonts w:ascii="Arial" w:cs="Arial" w:eastAsia="Arial" w:hAnsi="Arial"/>
                <w:sz w:val="14"/>
                <w:szCs w:val="14"/>
                <w:color w:val="auto"/>
              </w:rPr>
              <w:t>0.1</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2060" w:type="dxa"/>
            <w:vAlign w:val="bottom"/>
            <w:shd w:val="clear" w:color="auto" w:fill="CCEEFF"/>
          </w:tcPr>
          <w:p>
            <w:pPr>
              <w:spacing w:after="0"/>
              <w:rPr>
                <w:sz w:val="16"/>
                <w:szCs w:val="16"/>
                <w:color w:val="auto"/>
              </w:rPr>
            </w:pPr>
          </w:p>
        </w:tc>
        <w:tc>
          <w:tcPr>
            <w:tcW w:w="360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Short-term derivative liabilities, net</w:t>
            </w:r>
          </w:p>
        </w:tc>
        <w:tc>
          <w:tcPr>
            <w:tcW w:w="20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w:t>
            </w:r>
          </w:p>
        </w:tc>
        <w:tc>
          <w:tcPr>
            <w:tcW w:w="140" w:type="dxa"/>
            <w:vAlign w:val="bottom"/>
            <w:shd w:val="clear" w:color="auto" w:fill="CCEEFF"/>
          </w:tcPr>
          <w:p>
            <w:pPr>
              <w:spacing w:after="0"/>
              <w:rPr>
                <w:sz w:val="16"/>
                <w:szCs w:val="16"/>
                <w:color w:val="auto"/>
              </w:rPr>
            </w:pPr>
          </w:p>
        </w:tc>
        <w:tc>
          <w:tcPr>
            <w:tcW w:w="120" w:type="dxa"/>
            <w:vAlign w:val="bottom"/>
            <w:tcBorders>
              <w:bottom w:val="single" w:sz="8" w:color="auto"/>
            </w:tcBorders>
            <w:shd w:val="clear" w:color="auto" w:fill="CCEEFF"/>
          </w:tcPr>
          <w:p>
            <w:pPr>
              <w:spacing w:after="0"/>
              <w:rPr>
                <w:sz w:val="16"/>
                <w:szCs w:val="16"/>
                <w:color w:val="auto"/>
              </w:rPr>
            </w:pPr>
          </w:p>
        </w:tc>
        <w:tc>
          <w:tcPr>
            <w:tcW w:w="116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0.8</w:t>
            </w:r>
          </w:p>
        </w:tc>
        <w:tc>
          <w:tcPr>
            <w:tcW w:w="140" w:type="dxa"/>
            <w:vAlign w:val="bottom"/>
            <w:shd w:val="clear" w:color="auto" w:fill="CCEEFF"/>
          </w:tcPr>
          <w:p>
            <w:pPr>
              <w:spacing w:after="0"/>
              <w:rPr>
                <w:sz w:val="16"/>
                <w:szCs w:val="16"/>
                <w:color w:val="auto"/>
              </w:rPr>
            </w:pPr>
          </w:p>
        </w:tc>
        <w:tc>
          <w:tcPr>
            <w:tcW w:w="20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11.1</w:t>
            </w:r>
          </w:p>
        </w:tc>
        <w:tc>
          <w:tcPr>
            <w:tcW w:w="12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2.6</w:t>
            </w:r>
          </w:p>
        </w:tc>
        <w:tc>
          <w:tcPr>
            <w:tcW w:w="0" w:type="dxa"/>
            <w:vAlign w:val="bottom"/>
          </w:tcPr>
          <w:p>
            <w:pPr>
              <w:spacing w:after="0"/>
              <w:rPr>
                <w:sz w:val="1"/>
                <w:szCs w:val="1"/>
                <w:color w:val="auto"/>
              </w:rPr>
            </w:pPr>
          </w:p>
        </w:tc>
      </w:tr>
      <w:tr>
        <w:trPr>
          <w:trHeight w:val="180"/>
        </w:trPr>
        <w:tc>
          <w:tcPr>
            <w:tcW w:w="5660" w:type="dxa"/>
            <w:vAlign w:val="bottom"/>
            <w:tcBorders>
              <w:bottom w:val="single" w:sz="8" w:color="CCEEFF"/>
            </w:tcBorders>
            <w:gridSpan w:val="3"/>
          </w:tcPr>
          <w:p>
            <w:pPr>
              <w:spacing w:after="0"/>
              <w:rPr>
                <w:sz w:val="20"/>
                <w:szCs w:val="20"/>
                <w:color w:val="auto"/>
              </w:rPr>
            </w:pPr>
            <w:r>
              <w:rPr>
                <w:rFonts w:ascii="Arial" w:cs="Arial" w:eastAsia="Arial" w:hAnsi="Arial"/>
                <w:sz w:val="14"/>
                <w:szCs w:val="14"/>
                <w:b w:val="1"/>
                <w:bCs w:val="1"/>
                <w:color w:val="auto"/>
              </w:rPr>
              <w:t>Total derivatives not designated as hedging instruments</w:t>
            </w:r>
          </w:p>
        </w:tc>
        <w:tc>
          <w:tcPr>
            <w:tcW w:w="2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1,422.7</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766.3</w:t>
            </w:r>
          </w:p>
        </w:tc>
        <w:tc>
          <w:tcPr>
            <w:tcW w:w="14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tcPr>
          <w:p>
            <w:pPr>
              <w:jc w:val="right"/>
              <w:ind w:right="9"/>
              <w:spacing w:after="0"/>
              <w:rPr>
                <w:sz w:val="20"/>
                <w:szCs w:val="20"/>
                <w:color w:val="auto"/>
              </w:rPr>
            </w:pPr>
            <w:r>
              <w:rPr>
                <w:rFonts w:ascii="Arial" w:cs="Arial" w:eastAsia="Arial" w:hAnsi="Arial"/>
                <w:sz w:val="14"/>
                <w:szCs w:val="14"/>
                <w:color w:val="auto"/>
              </w:rPr>
              <w:t>1,392.9</w:t>
            </w: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738.1</w:t>
            </w:r>
          </w:p>
        </w:tc>
        <w:tc>
          <w:tcPr>
            <w:tcW w:w="0" w:type="dxa"/>
            <w:vAlign w:val="bottom"/>
          </w:tcPr>
          <w:p>
            <w:pPr>
              <w:spacing w:after="0"/>
              <w:rPr>
                <w:sz w:val="1"/>
                <w:szCs w:val="1"/>
                <w:color w:val="auto"/>
              </w:rPr>
            </w:pPr>
          </w:p>
        </w:tc>
      </w:tr>
      <w:tr>
        <w:trPr>
          <w:trHeight w:val="205"/>
        </w:trPr>
        <w:tc>
          <w:tcPr>
            <w:tcW w:w="20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b w:val="1"/>
                <w:bCs w:val="1"/>
                <w:color w:val="auto"/>
              </w:rPr>
              <w:t>Total derivatives</w:t>
            </w:r>
          </w:p>
        </w:tc>
        <w:tc>
          <w:tcPr>
            <w:tcW w:w="34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29"/>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1,453.8</w:t>
            </w:r>
          </w:p>
        </w:tc>
        <w:tc>
          <w:tcPr>
            <w:tcW w:w="1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16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773.6</w:t>
            </w:r>
          </w:p>
        </w:tc>
        <w:tc>
          <w:tcPr>
            <w:tcW w:w="14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jc w:val="right"/>
              <w:ind w:right="49"/>
              <w:spacing w:after="0"/>
              <w:rPr>
                <w:sz w:val="20"/>
                <w:szCs w:val="20"/>
                <w:color w:val="auto"/>
              </w:rPr>
            </w:pPr>
            <w:r>
              <w:rPr>
                <w:rFonts w:ascii="Arial" w:cs="Arial" w:eastAsia="Arial" w:hAnsi="Arial"/>
                <w:sz w:val="14"/>
                <w:szCs w:val="14"/>
                <w:color w:val="auto"/>
                <w:w w:val="76"/>
              </w:rPr>
              <w:t>$</w:t>
            </w:r>
          </w:p>
        </w:tc>
        <w:tc>
          <w:tcPr>
            <w:tcW w:w="108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4"/>
                <w:szCs w:val="14"/>
                <w:color w:val="auto"/>
              </w:rPr>
              <w:t>1,406.8</w:t>
            </w:r>
          </w:p>
        </w:tc>
        <w:tc>
          <w:tcPr>
            <w:tcW w:w="12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748.5</w:t>
            </w:r>
          </w:p>
        </w:tc>
        <w:tc>
          <w:tcPr>
            <w:tcW w:w="0" w:type="dxa"/>
            <w:vAlign w:val="bottom"/>
          </w:tcPr>
          <w:p>
            <w:pPr>
              <w:spacing w:after="0"/>
              <w:rPr>
                <w:sz w:val="1"/>
                <w:szCs w:val="1"/>
                <w:color w:val="auto"/>
              </w:rPr>
            </w:pPr>
          </w:p>
        </w:tc>
      </w:tr>
      <w:tr>
        <w:trPr>
          <w:trHeight w:val="20"/>
        </w:trPr>
        <w:tc>
          <w:tcPr>
            <w:tcW w:w="2060" w:type="dxa"/>
            <w:vAlign w:val="bottom"/>
            <w:tcBorders>
              <w:top w:val="single" w:sz="8" w:color="CCEEFF"/>
            </w:tcBorders>
          </w:tcPr>
          <w:p>
            <w:pPr>
              <w:spacing w:after="0" w:line="20" w:lineRule="exact"/>
              <w:rPr>
                <w:sz w:val="1"/>
                <w:szCs w:val="1"/>
                <w:color w:val="auto"/>
              </w:rPr>
            </w:pPr>
          </w:p>
        </w:tc>
        <w:tc>
          <w:tcPr>
            <w:tcW w:w="34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6" w:lineRule="exact"/>
        <w:rPr>
          <w:sz w:val="20"/>
          <w:szCs w:val="20"/>
          <w:color w:val="auto"/>
        </w:rPr>
      </w:pPr>
    </w:p>
    <w:p>
      <w:pPr>
        <w:spacing w:after="0"/>
        <w:rPr>
          <w:sz w:val="20"/>
          <w:szCs w:val="20"/>
          <w:color w:val="auto"/>
        </w:rPr>
      </w:pPr>
      <w:r>
        <w:rPr>
          <w:rFonts w:ascii="Arial" w:cs="Arial" w:eastAsia="Arial" w:hAnsi="Arial"/>
          <w:sz w:val="17"/>
          <w:szCs w:val="17"/>
          <w:color w:val="auto"/>
        </w:rPr>
        <w:t>For information regarding our derivative instruments measured at fair value after netting and collateral, see Note 8. Fair Value Measurements.</w:t>
      </w: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11" w:name="page12"/>
    <w:bookmarkEnd w:id="11"/>
    <w:p>
      <w:pPr>
        <w:jc w:val="both"/>
        <w:spacing w:after="0" w:line="254" w:lineRule="auto"/>
        <w:rPr>
          <w:sz w:val="20"/>
          <w:szCs w:val="20"/>
          <w:color w:val="auto"/>
        </w:rPr>
      </w:pPr>
      <w:r>
        <w:rPr>
          <w:rFonts w:ascii="Arial" w:cs="Arial" w:eastAsia="Arial" w:hAnsi="Arial"/>
          <w:sz w:val="18"/>
          <w:szCs w:val="18"/>
          <w:color w:val="auto"/>
        </w:rPr>
        <w:t>The following amounts were recorded on our Consolidated Balance Sheets related to cumulative basis adjustments for fair value hedges (in millions):</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rPr>
              <w:t>Line item in the Consolidated Balance Sheets in</w:t>
            </w:r>
          </w:p>
        </w:tc>
        <w:tc>
          <w:tcPr>
            <w:tcW w:w="18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40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rPr>
              <w:t>Cumulative Amount of Fair Value Hedging</w:t>
            </w:r>
          </w:p>
        </w:tc>
        <w:tc>
          <w:tcPr>
            <w:tcW w:w="0" w:type="dxa"/>
            <w:vAlign w:val="bottom"/>
          </w:tcPr>
          <w:p>
            <w:pPr>
              <w:spacing w:after="0"/>
              <w:rPr>
                <w:sz w:val="1"/>
                <w:szCs w:val="1"/>
                <w:color w:val="auto"/>
              </w:rPr>
            </w:pPr>
          </w:p>
        </w:tc>
      </w:tr>
      <w:tr>
        <w:trPr>
          <w:trHeight w:val="133"/>
        </w:trPr>
        <w:tc>
          <w:tcPr>
            <w:tcW w:w="3800" w:type="dxa"/>
            <w:vAlign w:val="bottom"/>
            <w:gridSpan w:val="2"/>
            <w:vMerge w:val="continue"/>
          </w:tcPr>
          <w:p>
            <w:pPr>
              <w:spacing w:after="0"/>
              <w:rPr>
                <w:sz w:val="11"/>
                <w:szCs w:val="11"/>
                <w:color w:val="auto"/>
              </w:rPr>
            </w:pPr>
          </w:p>
        </w:tc>
        <w:tc>
          <w:tcPr>
            <w:tcW w:w="180" w:type="dxa"/>
            <w:vAlign w:val="bottom"/>
          </w:tcPr>
          <w:p>
            <w:pPr>
              <w:spacing w:after="0"/>
              <w:rPr>
                <w:sz w:val="11"/>
                <w:szCs w:val="11"/>
                <w:color w:val="auto"/>
              </w:rPr>
            </w:pPr>
          </w:p>
        </w:tc>
        <w:tc>
          <w:tcPr>
            <w:tcW w:w="3480" w:type="dxa"/>
            <w:vAlign w:val="bottom"/>
            <w:gridSpan w:val="4"/>
            <w:vMerge w:val="restart"/>
          </w:tcPr>
          <w:p>
            <w:pPr>
              <w:jc w:val="right"/>
              <w:ind w:right="160"/>
              <w:spacing w:after="0"/>
              <w:rPr>
                <w:sz w:val="20"/>
                <w:szCs w:val="20"/>
                <w:color w:val="auto"/>
              </w:rPr>
            </w:pPr>
            <w:r>
              <w:rPr>
                <w:rFonts w:ascii="Arial" w:cs="Arial" w:eastAsia="Arial" w:hAnsi="Arial"/>
                <w:sz w:val="14"/>
                <w:szCs w:val="14"/>
                <w:b w:val="1"/>
                <w:bCs w:val="1"/>
                <w:color w:val="auto"/>
              </w:rPr>
              <w:t>Carrying Amount of Hedged Assets/(Liabilities)</w:t>
            </w:r>
          </w:p>
        </w:tc>
        <w:tc>
          <w:tcPr>
            <w:tcW w:w="120" w:type="dxa"/>
            <w:vAlign w:val="bottom"/>
            <w:vMerge w:val="restart"/>
          </w:tcPr>
          <w:p>
            <w:pPr>
              <w:spacing w:after="0"/>
              <w:rPr>
                <w:sz w:val="11"/>
                <w:szCs w:val="11"/>
                <w:color w:val="auto"/>
              </w:rPr>
            </w:pPr>
          </w:p>
        </w:tc>
        <w:tc>
          <w:tcPr>
            <w:tcW w:w="3660" w:type="dxa"/>
            <w:vAlign w:val="bottom"/>
            <w:gridSpan w:val="5"/>
          </w:tcPr>
          <w:p>
            <w:pPr>
              <w:jc w:val="center"/>
              <w:spacing w:after="0" w:line="133" w:lineRule="exact"/>
              <w:rPr>
                <w:sz w:val="20"/>
                <w:szCs w:val="20"/>
                <w:color w:val="auto"/>
              </w:rPr>
            </w:pPr>
            <w:r>
              <w:rPr>
                <w:rFonts w:ascii="Arial" w:cs="Arial" w:eastAsia="Arial" w:hAnsi="Arial"/>
                <w:sz w:val="14"/>
                <w:szCs w:val="14"/>
                <w:b w:val="1"/>
                <w:bCs w:val="1"/>
                <w:color w:val="auto"/>
              </w:rPr>
              <w:t>Adjustment Included in the Carrying Amount of the</w:t>
            </w:r>
          </w:p>
        </w:tc>
        <w:tc>
          <w:tcPr>
            <w:tcW w:w="0" w:type="dxa"/>
            <w:vAlign w:val="bottom"/>
          </w:tcPr>
          <w:p>
            <w:pPr>
              <w:spacing w:after="0"/>
              <w:rPr>
                <w:sz w:val="1"/>
                <w:szCs w:val="1"/>
                <w:color w:val="auto"/>
              </w:rPr>
            </w:pPr>
          </w:p>
        </w:tc>
      </w:tr>
      <w:tr>
        <w:trPr>
          <w:trHeight w:val="173"/>
        </w:trPr>
        <w:tc>
          <w:tcPr>
            <w:tcW w:w="3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which the hedged item is included</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3480" w:type="dxa"/>
            <w:vAlign w:val="bottom"/>
            <w:tcBorders>
              <w:bottom w:val="single" w:sz="8" w:color="auto"/>
            </w:tcBorders>
            <w:gridSpan w:val="4"/>
            <w:vMerge w:val="continue"/>
          </w:tcPr>
          <w:p>
            <w:pPr>
              <w:spacing w:after="0"/>
              <w:rPr>
                <w:sz w:val="15"/>
                <w:szCs w:val="15"/>
                <w:color w:val="auto"/>
              </w:rPr>
            </w:pPr>
          </w:p>
        </w:tc>
        <w:tc>
          <w:tcPr>
            <w:tcW w:w="120" w:type="dxa"/>
            <w:vAlign w:val="bottom"/>
            <w:vMerge w:val="continue"/>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3400" w:type="dxa"/>
            <w:vAlign w:val="bottom"/>
            <w:tcBorders>
              <w:bottom w:val="single" w:sz="8" w:color="auto"/>
            </w:tcBorders>
            <w:gridSpan w:val="4"/>
          </w:tcPr>
          <w:p>
            <w:pPr>
              <w:jc w:val="center"/>
              <w:ind w:right="180"/>
              <w:spacing w:after="0"/>
              <w:rPr>
                <w:sz w:val="20"/>
                <w:szCs w:val="20"/>
                <w:color w:val="auto"/>
              </w:rPr>
            </w:pPr>
            <w:r>
              <w:rPr>
                <w:rFonts w:ascii="Arial" w:cs="Arial" w:eastAsia="Arial" w:hAnsi="Arial"/>
                <w:sz w:val="14"/>
                <w:szCs w:val="14"/>
                <w:b w:val="1"/>
                <w:bCs w:val="1"/>
                <w:color w:val="auto"/>
              </w:rPr>
              <w:t>Hedged Asset/(Liabilities)</w:t>
            </w:r>
          </w:p>
        </w:tc>
        <w:tc>
          <w:tcPr>
            <w:tcW w:w="0" w:type="dxa"/>
            <w:vAlign w:val="bottom"/>
          </w:tcPr>
          <w:p>
            <w:pPr>
              <w:spacing w:after="0"/>
              <w:rPr>
                <w:sz w:val="1"/>
                <w:szCs w:val="1"/>
                <w:color w:val="auto"/>
              </w:rPr>
            </w:pPr>
          </w:p>
        </w:tc>
      </w:tr>
      <w:tr>
        <w:trPr>
          <w:trHeight w:val="180"/>
        </w:trPr>
        <w:tc>
          <w:tcPr>
            <w:tcW w:w="36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720" w:type="dxa"/>
            <w:vAlign w:val="bottom"/>
            <w:gridSpan w:val="2"/>
          </w:tcPr>
          <w:p>
            <w:pPr>
              <w:ind w:left="200"/>
              <w:spacing w:after="0"/>
              <w:rPr>
                <w:sz w:val="20"/>
                <w:szCs w:val="20"/>
                <w:color w:val="auto"/>
              </w:rPr>
            </w:pPr>
            <w:r>
              <w:rPr>
                <w:rFonts w:ascii="Arial" w:cs="Arial" w:eastAsia="Arial" w:hAnsi="Arial"/>
                <w:sz w:val="14"/>
                <w:szCs w:val="14"/>
                <w:b w:val="1"/>
                <w:bCs w:val="1"/>
                <w:color w:val="auto"/>
              </w:rPr>
              <w:t>March 31, 2022</w:t>
            </w:r>
          </w:p>
        </w:tc>
        <w:tc>
          <w:tcPr>
            <w:tcW w:w="160" w:type="dxa"/>
            <w:vAlign w:val="bottom"/>
          </w:tcPr>
          <w:p>
            <w:pPr>
              <w:spacing w:after="0"/>
              <w:rPr>
                <w:sz w:val="15"/>
                <w:szCs w:val="15"/>
                <w:color w:val="auto"/>
              </w:rPr>
            </w:pPr>
          </w:p>
        </w:tc>
        <w:tc>
          <w:tcPr>
            <w:tcW w:w="172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rPr>
              <w:t>December 31, 2021</w:t>
            </w:r>
          </w:p>
        </w:tc>
        <w:tc>
          <w:tcPr>
            <w:tcW w:w="260" w:type="dxa"/>
            <w:vAlign w:val="bottom"/>
          </w:tcPr>
          <w:p>
            <w:pPr>
              <w:spacing w:after="0"/>
              <w:rPr>
                <w:sz w:val="15"/>
                <w:szCs w:val="15"/>
                <w:color w:val="auto"/>
              </w:rPr>
            </w:pPr>
          </w:p>
        </w:tc>
        <w:tc>
          <w:tcPr>
            <w:tcW w:w="1640" w:type="dxa"/>
            <w:vAlign w:val="bottom"/>
            <w:gridSpan w:val="2"/>
          </w:tcPr>
          <w:p>
            <w:pPr>
              <w:ind w:left="120"/>
              <w:spacing w:after="0"/>
              <w:rPr>
                <w:sz w:val="20"/>
                <w:szCs w:val="20"/>
                <w:color w:val="auto"/>
              </w:rPr>
            </w:pPr>
            <w:r>
              <w:rPr>
                <w:rFonts w:ascii="Arial" w:cs="Arial" w:eastAsia="Arial" w:hAnsi="Arial"/>
                <w:sz w:val="14"/>
                <w:szCs w:val="14"/>
                <w:b w:val="1"/>
                <w:bCs w:val="1"/>
                <w:color w:val="auto"/>
              </w:rPr>
              <w:t>March 31, 2022</w:t>
            </w:r>
          </w:p>
        </w:tc>
        <w:tc>
          <w:tcPr>
            <w:tcW w:w="180" w:type="dxa"/>
            <w:vAlign w:val="bottom"/>
          </w:tcPr>
          <w:p>
            <w:pPr>
              <w:spacing w:after="0"/>
              <w:rPr>
                <w:sz w:val="15"/>
                <w:szCs w:val="15"/>
                <w:color w:val="auto"/>
              </w:rPr>
            </w:pPr>
          </w:p>
        </w:tc>
        <w:tc>
          <w:tcPr>
            <w:tcW w:w="1580" w:type="dxa"/>
            <w:vAlign w:val="bottom"/>
          </w:tcPr>
          <w:p>
            <w:pPr>
              <w:jc w:val="right"/>
              <w:ind w:right="160"/>
              <w:spacing w:after="0"/>
              <w:rPr>
                <w:sz w:val="20"/>
                <w:szCs w:val="20"/>
                <w:color w:val="auto"/>
              </w:rPr>
            </w:pPr>
            <w:r>
              <w:rPr>
                <w:rFonts w:ascii="Arial" w:cs="Arial" w:eastAsia="Arial" w:hAnsi="Arial"/>
                <w:sz w:val="14"/>
                <w:szCs w:val="14"/>
                <w:b w:val="1"/>
                <w:bCs w:val="1"/>
                <w:color w:val="auto"/>
              </w:rPr>
              <w:t>December 31, 2021</w:t>
            </w:r>
          </w:p>
        </w:tc>
        <w:tc>
          <w:tcPr>
            <w:tcW w:w="0" w:type="dxa"/>
            <w:vAlign w:val="bottom"/>
          </w:tcPr>
          <w:p>
            <w:pPr>
              <w:spacing w:after="0"/>
              <w:rPr>
                <w:sz w:val="1"/>
                <w:szCs w:val="1"/>
                <w:color w:val="auto"/>
              </w:rPr>
            </w:pPr>
          </w:p>
        </w:tc>
      </w:tr>
      <w:tr>
        <w:trPr>
          <w:trHeight w:val="220"/>
        </w:trPr>
        <w:tc>
          <w:tcPr>
            <w:tcW w:w="3800" w:type="dxa"/>
            <w:vAlign w:val="bottom"/>
            <w:tcBorders>
              <w:top w:val="single" w:sz="8" w:color="CCEEFF"/>
            </w:tcBorders>
            <w:gridSpan w:val="2"/>
            <w:shd w:val="clear" w:color="auto" w:fill="CCEEFF"/>
          </w:tcPr>
          <w:p>
            <w:pPr>
              <w:ind w:left="20"/>
              <w:spacing w:after="0" w:line="206" w:lineRule="exact"/>
              <w:rPr>
                <w:sz w:val="20"/>
                <w:szCs w:val="20"/>
                <w:color w:val="auto"/>
              </w:rPr>
            </w:pPr>
            <w:r>
              <w:rPr>
                <w:rFonts w:ascii="Arial" w:cs="Arial" w:eastAsia="Arial" w:hAnsi="Arial"/>
                <w:sz w:val="18"/>
                <w:szCs w:val="18"/>
                <w:color w:val="auto"/>
              </w:rPr>
              <w:t>Inventory</w:t>
            </w: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8"/>
                <w:szCs w:val="18"/>
                <w:color w:val="auto"/>
              </w:rPr>
              <w:t>77.5</w:t>
            </w:r>
          </w:p>
        </w:tc>
        <w:tc>
          <w:tcPr>
            <w:tcW w:w="14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59.3</w:t>
            </w:r>
          </w:p>
        </w:tc>
        <w:tc>
          <w:tcPr>
            <w:tcW w:w="12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jc w:val="right"/>
              <w:ind w:right="60"/>
              <w:spacing w:after="0"/>
              <w:rPr>
                <w:sz w:val="20"/>
                <w:szCs w:val="20"/>
                <w:color w:val="auto"/>
              </w:rPr>
            </w:pPr>
            <w:r>
              <w:rPr>
                <w:rFonts w:ascii="Arial" w:cs="Arial" w:eastAsia="Arial" w:hAnsi="Arial"/>
                <w:sz w:val="18"/>
                <w:szCs w:val="18"/>
                <w:color w:val="auto"/>
                <w:w w:val="99"/>
              </w:rPr>
              <w:t>$</w:t>
            </w:r>
          </w:p>
        </w:tc>
        <w:tc>
          <w:tcPr>
            <w:tcW w:w="1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bl>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and Other Comprehensive Income (Loss)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Derivatives Designated as Hedging Instruments</w:t>
      </w:r>
    </w:p>
    <w:p>
      <w:pPr>
        <w:spacing w:after="0" w:line="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following table presents, on a pre-tax basis, the location and amount of gains (losses) on fair value and cash flow hedges recognized in income in our Condensed Consolidated Statements of Income and Comprehensive Income (in millions):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87"/>
        </w:trPr>
        <w:tc>
          <w:tcPr>
            <w:tcW w:w="40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60" w:type="dxa"/>
            <w:vAlign w:val="bottom"/>
            <w:tcBorders>
              <w:bottom w:val="single" w:sz="8" w:color="auto"/>
            </w:tcBorders>
            <w:gridSpan w:val="5"/>
          </w:tcPr>
          <w:p>
            <w:pPr>
              <w:ind w:left="300"/>
              <w:spacing w:after="0"/>
              <w:rPr>
                <w:sz w:val="20"/>
                <w:szCs w:val="20"/>
                <w:color w:val="auto"/>
              </w:rPr>
            </w:pPr>
            <w:r>
              <w:rPr>
                <w:rFonts w:ascii="Arial" w:cs="Arial" w:eastAsia="Arial" w:hAnsi="Arial"/>
                <w:sz w:val="14"/>
                <w:szCs w:val="14"/>
                <w:b w:val="1"/>
                <w:bCs w:val="1"/>
                <w:color w:val="auto"/>
              </w:rPr>
              <w:t>For the Three Months Ended</w:t>
            </w:r>
          </w:p>
        </w:tc>
        <w:tc>
          <w:tcPr>
            <w:tcW w:w="12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80"/>
        </w:trPr>
        <w:tc>
          <w:tcPr>
            <w:tcW w:w="40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 2022</w:t>
            </w:r>
          </w:p>
        </w:tc>
        <w:tc>
          <w:tcPr>
            <w:tcW w:w="1200" w:type="dxa"/>
            <w:vAlign w:val="bottom"/>
            <w:tcBorders>
              <w:bottom w:val="single" w:sz="8" w:color="auto"/>
            </w:tcBorders>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 2021</w:t>
            </w:r>
          </w:p>
        </w:tc>
        <w:tc>
          <w:tcPr>
            <w:tcW w:w="12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40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440" w:type="dxa"/>
            <w:vAlign w:val="bottom"/>
            <w:gridSpan w:val="3"/>
            <w:shd w:val="clear" w:color="auto" w:fill="CCEEFF"/>
          </w:tcPr>
          <w:p>
            <w:pPr>
              <w:jc w:val="center"/>
              <w:ind w:right="160"/>
              <w:spacing w:after="0" w:line="140" w:lineRule="exact"/>
              <w:rPr>
                <w:sz w:val="20"/>
                <w:szCs w:val="20"/>
                <w:color w:val="auto"/>
              </w:rPr>
            </w:pPr>
            <w:r>
              <w:rPr>
                <w:rFonts w:ascii="Arial" w:cs="Arial" w:eastAsia="Arial" w:hAnsi="Arial"/>
                <w:sz w:val="14"/>
                <w:szCs w:val="14"/>
                <w:b w:val="1"/>
                <w:bCs w:val="1"/>
                <w:color w:val="auto"/>
              </w:rPr>
              <w:t>Interest expense</w:t>
            </w:r>
          </w:p>
        </w:tc>
        <w:tc>
          <w:tcPr>
            <w:tcW w:w="14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00" w:type="dxa"/>
            <w:vAlign w:val="bottom"/>
            <w:gridSpan w:val="2"/>
            <w:shd w:val="clear" w:color="auto" w:fill="CCEEFF"/>
          </w:tcPr>
          <w:p>
            <w:pPr>
              <w:jc w:val="center"/>
              <w:spacing w:after="0" w:line="140" w:lineRule="exact"/>
              <w:rPr>
                <w:sz w:val="20"/>
                <w:szCs w:val="20"/>
                <w:color w:val="auto"/>
              </w:rPr>
            </w:pPr>
            <w:r>
              <w:rPr>
                <w:rFonts w:ascii="Arial" w:cs="Arial" w:eastAsia="Arial" w:hAnsi="Arial"/>
                <w:sz w:val="14"/>
                <w:szCs w:val="14"/>
                <w:b w:val="1"/>
                <w:bCs w:val="1"/>
                <w:color w:val="auto"/>
              </w:rPr>
              <w:t>Interest expense</w:t>
            </w:r>
          </w:p>
        </w:tc>
        <w:tc>
          <w:tcPr>
            <w:tcW w:w="0" w:type="dxa"/>
            <w:vAlign w:val="bottom"/>
          </w:tcPr>
          <w:p>
            <w:pPr>
              <w:spacing w:after="0"/>
              <w:rPr>
                <w:sz w:val="1"/>
                <w:szCs w:val="1"/>
                <w:color w:val="auto"/>
              </w:rPr>
            </w:pPr>
          </w:p>
        </w:tc>
      </w:tr>
      <w:tr>
        <w:trPr>
          <w:trHeight w:val="133"/>
        </w:trPr>
        <w:tc>
          <w:tcPr>
            <w:tcW w:w="40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jc w:val="center"/>
              <w:ind w:right="280"/>
              <w:spacing w:after="0"/>
              <w:rPr>
                <w:sz w:val="20"/>
                <w:szCs w:val="20"/>
                <w:color w:val="auto"/>
              </w:rPr>
            </w:pPr>
            <w:r>
              <w:rPr>
                <w:rFonts w:ascii="Arial" w:cs="Arial" w:eastAsia="Arial" w:hAnsi="Arial"/>
                <w:sz w:val="14"/>
                <w:szCs w:val="14"/>
                <w:b w:val="1"/>
                <w:bCs w:val="1"/>
                <w:color w:val="auto"/>
                <w:w w:val="99"/>
              </w:rPr>
              <w:t>Cost of</w:t>
            </w:r>
          </w:p>
        </w:tc>
        <w:tc>
          <w:tcPr>
            <w:tcW w:w="100" w:type="dxa"/>
            <w:vAlign w:val="bottom"/>
            <w:shd w:val="clear" w:color="auto" w:fill="CCEEFF"/>
          </w:tcPr>
          <w:p>
            <w:pPr>
              <w:spacing w:after="0"/>
              <w:rPr>
                <w:sz w:val="11"/>
                <w:szCs w:val="11"/>
                <w:color w:val="auto"/>
              </w:rPr>
            </w:pPr>
          </w:p>
        </w:tc>
        <w:tc>
          <w:tcPr>
            <w:tcW w:w="1340" w:type="dxa"/>
            <w:vAlign w:val="bottom"/>
            <w:gridSpan w:val="2"/>
            <w:shd w:val="clear" w:color="auto" w:fill="CCEEFF"/>
          </w:tcPr>
          <w:p>
            <w:pPr>
              <w:jc w:val="center"/>
              <w:ind w:right="260"/>
              <w:spacing w:after="0" w:line="133" w:lineRule="exact"/>
              <w:rPr>
                <w:sz w:val="20"/>
                <w:szCs w:val="20"/>
                <w:color w:val="auto"/>
              </w:rPr>
            </w:pPr>
            <w:r>
              <w:rPr>
                <w:rFonts w:ascii="Arial" w:cs="Arial" w:eastAsia="Arial" w:hAnsi="Arial"/>
                <w:sz w:val="14"/>
                <w:szCs w:val="14"/>
                <w:b w:val="1"/>
                <w:bCs w:val="1"/>
                <w:color w:val="auto"/>
              </w:rPr>
              <w:t>and other</w:t>
            </w:r>
          </w:p>
        </w:tc>
        <w:tc>
          <w:tcPr>
            <w:tcW w:w="14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gridSpan w:val="2"/>
            <w:vMerge w:val="restart"/>
            <w:shd w:val="clear" w:color="auto" w:fill="CCEEFF"/>
          </w:tcPr>
          <w:p>
            <w:pPr>
              <w:jc w:val="center"/>
              <w:ind w:right="260"/>
              <w:spacing w:after="0"/>
              <w:rPr>
                <w:sz w:val="20"/>
                <w:szCs w:val="20"/>
                <w:color w:val="auto"/>
              </w:rPr>
            </w:pPr>
            <w:r>
              <w:rPr>
                <w:rFonts w:ascii="Arial" w:cs="Arial" w:eastAsia="Arial" w:hAnsi="Arial"/>
                <w:sz w:val="14"/>
                <w:szCs w:val="14"/>
                <w:b w:val="1"/>
                <w:bCs w:val="1"/>
                <w:color w:val="auto"/>
              </w:rPr>
              <w:t>Cost of</w:t>
            </w:r>
          </w:p>
        </w:tc>
        <w:tc>
          <w:tcPr>
            <w:tcW w:w="100" w:type="dxa"/>
            <w:vAlign w:val="bottom"/>
            <w:shd w:val="clear" w:color="auto" w:fill="CCEEFF"/>
          </w:tcPr>
          <w:p>
            <w:pPr>
              <w:spacing w:after="0"/>
              <w:rPr>
                <w:sz w:val="11"/>
                <w:szCs w:val="11"/>
                <w:color w:val="auto"/>
              </w:rPr>
            </w:pPr>
          </w:p>
        </w:tc>
        <w:tc>
          <w:tcPr>
            <w:tcW w:w="1200" w:type="dxa"/>
            <w:vAlign w:val="bottom"/>
            <w:shd w:val="clear" w:color="auto" w:fill="CCEEFF"/>
          </w:tcPr>
          <w:p>
            <w:pPr>
              <w:jc w:val="center"/>
              <w:ind w:right="29"/>
              <w:spacing w:after="0" w:line="133" w:lineRule="exact"/>
              <w:rPr>
                <w:sz w:val="20"/>
                <w:szCs w:val="20"/>
                <w:color w:val="auto"/>
              </w:rPr>
            </w:pPr>
            <w:r>
              <w:rPr>
                <w:rFonts w:ascii="Arial" w:cs="Arial" w:eastAsia="Arial" w:hAnsi="Arial"/>
                <w:sz w:val="14"/>
                <w:szCs w:val="14"/>
                <w:b w:val="1"/>
                <w:bCs w:val="1"/>
                <w:color w:val="auto"/>
              </w:rPr>
              <w:t>and other</w:t>
            </w:r>
          </w:p>
        </w:tc>
        <w:tc>
          <w:tcPr>
            <w:tcW w:w="0" w:type="dxa"/>
            <w:vAlign w:val="bottom"/>
          </w:tcPr>
          <w:p>
            <w:pPr>
              <w:spacing w:after="0"/>
              <w:rPr>
                <w:sz w:val="1"/>
                <w:szCs w:val="1"/>
                <w:color w:val="auto"/>
              </w:rPr>
            </w:pPr>
          </w:p>
        </w:tc>
      </w:tr>
      <w:tr>
        <w:trPr>
          <w:trHeight w:val="133"/>
        </w:trPr>
        <w:tc>
          <w:tcPr>
            <w:tcW w:w="40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980" w:type="dxa"/>
            <w:vAlign w:val="bottom"/>
            <w:gridSpan w:val="2"/>
            <w:vMerge w:val="restart"/>
            <w:shd w:val="clear" w:color="auto" w:fill="CCEEFF"/>
          </w:tcPr>
          <w:p>
            <w:pPr>
              <w:ind w:left="40"/>
              <w:spacing w:after="0"/>
              <w:rPr>
                <w:sz w:val="20"/>
                <w:szCs w:val="20"/>
                <w:color w:val="auto"/>
              </w:rPr>
            </w:pPr>
            <w:r>
              <w:rPr>
                <w:rFonts w:ascii="Arial" w:cs="Arial" w:eastAsia="Arial" w:hAnsi="Arial"/>
                <w:sz w:val="14"/>
                <w:szCs w:val="14"/>
                <w:b w:val="1"/>
                <w:bCs w:val="1"/>
                <w:color w:val="auto"/>
              </w:rPr>
              <w:t>Revenue</w:t>
            </w:r>
          </w:p>
        </w:tc>
        <w:tc>
          <w:tcPr>
            <w:tcW w:w="120" w:type="dxa"/>
            <w:vAlign w:val="bottom"/>
            <w:shd w:val="clear" w:color="auto" w:fill="CCEEFF"/>
          </w:tcPr>
          <w:p>
            <w:pPr>
              <w:spacing w:after="0"/>
              <w:rPr>
                <w:sz w:val="11"/>
                <w:szCs w:val="11"/>
                <w:color w:val="auto"/>
              </w:rPr>
            </w:pPr>
          </w:p>
        </w:tc>
        <w:tc>
          <w:tcPr>
            <w:tcW w:w="1000" w:type="dxa"/>
            <w:vAlign w:val="bottom"/>
            <w:gridSpan w:val="2"/>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340" w:type="dxa"/>
            <w:vAlign w:val="bottom"/>
            <w:gridSpan w:val="2"/>
            <w:shd w:val="clear" w:color="auto" w:fill="CCEEFF"/>
          </w:tcPr>
          <w:p>
            <w:pPr>
              <w:jc w:val="center"/>
              <w:ind w:right="260"/>
              <w:spacing w:after="0" w:line="133" w:lineRule="exact"/>
              <w:rPr>
                <w:sz w:val="20"/>
                <w:szCs w:val="20"/>
                <w:color w:val="auto"/>
              </w:rPr>
            </w:pPr>
            <w:r>
              <w:rPr>
                <w:rFonts w:ascii="Arial" w:cs="Arial" w:eastAsia="Arial" w:hAnsi="Arial"/>
                <w:sz w:val="14"/>
                <w:szCs w:val="14"/>
                <w:b w:val="1"/>
                <w:bCs w:val="1"/>
                <w:color w:val="auto"/>
              </w:rPr>
              <w:t>financing costs,</w:t>
            </w:r>
          </w:p>
        </w:tc>
        <w:tc>
          <w:tcPr>
            <w:tcW w:w="140" w:type="dxa"/>
            <w:vAlign w:val="bottom"/>
            <w:shd w:val="clear" w:color="auto" w:fill="CCEEFF"/>
          </w:tcPr>
          <w:p>
            <w:pPr>
              <w:spacing w:after="0"/>
              <w:rPr>
                <w:sz w:val="11"/>
                <w:szCs w:val="11"/>
                <w:color w:val="auto"/>
              </w:rPr>
            </w:pPr>
          </w:p>
        </w:tc>
        <w:tc>
          <w:tcPr>
            <w:tcW w:w="980" w:type="dxa"/>
            <w:vAlign w:val="bottom"/>
            <w:gridSpan w:val="2"/>
            <w:vMerge w:val="restart"/>
            <w:shd w:val="clear" w:color="auto" w:fill="CCEEFF"/>
          </w:tcPr>
          <w:p>
            <w:pPr>
              <w:ind w:left="40"/>
              <w:spacing w:after="0"/>
              <w:rPr>
                <w:sz w:val="20"/>
                <w:szCs w:val="20"/>
                <w:color w:val="auto"/>
              </w:rPr>
            </w:pPr>
            <w:r>
              <w:rPr>
                <w:rFonts w:ascii="Arial" w:cs="Arial" w:eastAsia="Arial" w:hAnsi="Arial"/>
                <w:sz w:val="14"/>
                <w:szCs w:val="14"/>
                <w:b w:val="1"/>
                <w:bCs w:val="1"/>
                <w:color w:val="auto"/>
              </w:rPr>
              <w:t>Revenue</w:t>
            </w:r>
          </w:p>
        </w:tc>
        <w:tc>
          <w:tcPr>
            <w:tcW w:w="120" w:type="dxa"/>
            <w:vAlign w:val="bottom"/>
            <w:shd w:val="clear" w:color="auto" w:fill="CCEEFF"/>
          </w:tcPr>
          <w:p>
            <w:pPr>
              <w:spacing w:after="0"/>
              <w:rPr>
                <w:sz w:val="11"/>
                <w:szCs w:val="11"/>
                <w:color w:val="auto"/>
              </w:rPr>
            </w:pPr>
          </w:p>
        </w:tc>
        <w:tc>
          <w:tcPr>
            <w:tcW w:w="1000" w:type="dxa"/>
            <w:vAlign w:val="bottom"/>
            <w:gridSpan w:val="2"/>
            <w:vMerge w:val="continue"/>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200" w:type="dxa"/>
            <w:vAlign w:val="bottom"/>
            <w:shd w:val="clear" w:color="auto" w:fill="CCEEFF"/>
          </w:tcPr>
          <w:p>
            <w:pPr>
              <w:jc w:val="center"/>
              <w:ind w:right="49"/>
              <w:spacing w:after="0" w:line="133" w:lineRule="exact"/>
              <w:rPr>
                <w:sz w:val="20"/>
                <w:szCs w:val="20"/>
                <w:color w:val="auto"/>
              </w:rPr>
            </w:pPr>
            <w:r>
              <w:rPr>
                <w:rFonts w:ascii="Arial" w:cs="Arial" w:eastAsia="Arial" w:hAnsi="Arial"/>
                <w:sz w:val="14"/>
                <w:szCs w:val="14"/>
                <w:b w:val="1"/>
                <w:bCs w:val="1"/>
                <w:color w:val="auto"/>
              </w:rPr>
              <w:t>financing costs,</w:t>
            </w:r>
          </w:p>
        </w:tc>
        <w:tc>
          <w:tcPr>
            <w:tcW w:w="0" w:type="dxa"/>
            <w:vAlign w:val="bottom"/>
          </w:tcPr>
          <w:p>
            <w:pPr>
              <w:spacing w:after="0"/>
              <w:rPr>
                <w:sz w:val="1"/>
                <w:szCs w:val="1"/>
                <w:color w:val="auto"/>
              </w:rPr>
            </w:pPr>
          </w:p>
        </w:tc>
      </w:tr>
      <w:tr>
        <w:trPr>
          <w:trHeight w:val="173"/>
        </w:trPr>
        <w:tc>
          <w:tcPr>
            <w:tcW w:w="40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center"/>
              <w:ind w:right="260"/>
              <w:spacing w:after="0"/>
              <w:rPr>
                <w:sz w:val="20"/>
                <w:szCs w:val="20"/>
                <w:color w:val="auto"/>
              </w:rPr>
            </w:pPr>
            <w:r>
              <w:rPr>
                <w:rFonts w:ascii="Arial" w:cs="Arial" w:eastAsia="Arial" w:hAnsi="Arial"/>
                <w:sz w:val="14"/>
                <w:szCs w:val="14"/>
                <w:b w:val="1"/>
                <w:bCs w:val="1"/>
                <w:color w:val="auto"/>
              </w:rPr>
              <w:t>revenue</w:t>
            </w:r>
          </w:p>
        </w:tc>
        <w:tc>
          <w:tcPr>
            <w:tcW w:w="100" w:type="dxa"/>
            <w:vAlign w:val="bottom"/>
            <w:shd w:val="clear" w:color="auto" w:fill="CCEEFF"/>
          </w:tcPr>
          <w:p>
            <w:pPr>
              <w:spacing w:after="0"/>
              <w:rPr>
                <w:sz w:val="15"/>
                <w:szCs w:val="15"/>
                <w:color w:val="auto"/>
              </w:rPr>
            </w:pPr>
          </w:p>
        </w:tc>
        <w:tc>
          <w:tcPr>
            <w:tcW w:w="1340" w:type="dxa"/>
            <w:vAlign w:val="bottom"/>
            <w:gridSpan w:val="2"/>
            <w:shd w:val="clear" w:color="auto" w:fill="CCEEFF"/>
          </w:tcPr>
          <w:p>
            <w:pPr>
              <w:jc w:val="center"/>
              <w:ind w:right="240"/>
              <w:spacing w:after="0"/>
              <w:rPr>
                <w:sz w:val="20"/>
                <w:szCs w:val="20"/>
                <w:color w:val="auto"/>
              </w:rPr>
            </w:pPr>
            <w:r>
              <w:rPr>
                <w:rFonts w:ascii="Arial" w:cs="Arial" w:eastAsia="Arial" w:hAnsi="Arial"/>
                <w:sz w:val="14"/>
                <w:szCs w:val="14"/>
                <w:b w:val="1"/>
                <w:bCs w:val="1"/>
                <w:color w:val="auto"/>
              </w:rPr>
              <w:t>net</w:t>
            </w:r>
          </w:p>
        </w:tc>
        <w:tc>
          <w:tcPr>
            <w:tcW w:w="140" w:type="dxa"/>
            <w:vAlign w:val="bottom"/>
            <w:shd w:val="clear" w:color="auto" w:fill="CCEEFF"/>
          </w:tcPr>
          <w:p>
            <w:pPr>
              <w:spacing w:after="0"/>
              <w:rPr>
                <w:sz w:val="15"/>
                <w:szCs w:val="15"/>
                <w:color w:val="auto"/>
              </w:rPr>
            </w:pPr>
          </w:p>
        </w:tc>
        <w:tc>
          <w:tcPr>
            <w:tcW w:w="9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gridSpan w:val="2"/>
            <w:shd w:val="clear" w:color="auto" w:fill="CCEEFF"/>
          </w:tcPr>
          <w:p>
            <w:pPr>
              <w:jc w:val="center"/>
              <w:ind w:right="260"/>
              <w:spacing w:after="0"/>
              <w:rPr>
                <w:sz w:val="20"/>
                <w:szCs w:val="20"/>
                <w:color w:val="auto"/>
              </w:rPr>
            </w:pPr>
            <w:r>
              <w:rPr>
                <w:rFonts w:ascii="Arial" w:cs="Arial" w:eastAsia="Arial" w:hAnsi="Arial"/>
                <w:sz w:val="14"/>
                <w:szCs w:val="14"/>
                <w:b w:val="1"/>
                <w:bCs w:val="1"/>
                <w:color w:val="auto"/>
              </w:rPr>
              <w:t>revenue</w:t>
            </w:r>
          </w:p>
        </w:tc>
        <w:tc>
          <w:tcPr>
            <w:tcW w:w="100" w:type="dxa"/>
            <w:vAlign w:val="bottom"/>
            <w:shd w:val="clear" w:color="auto" w:fill="CCEEFF"/>
          </w:tcPr>
          <w:p>
            <w:pPr>
              <w:spacing w:after="0"/>
              <w:rPr>
                <w:sz w:val="15"/>
                <w:szCs w:val="15"/>
                <w:color w:val="auto"/>
              </w:rPr>
            </w:pPr>
          </w:p>
        </w:tc>
        <w:tc>
          <w:tcPr>
            <w:tcW w:w="1200" w:type="dxa"/>
            <w:vAlign w:val="bottom"/>
            <w:shd w:val="clear" w:color="auto" w:fill="CCEEFF"/>
          </w:tcPr>
          <w:p>
            <w:pPr>
              <w:jc w:val="center"/>
              <w:ind w:right="29"/>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31"/>
        </w:trPr>
        <w:tc>
          <w:tcPr>
            <w:tcW w:w="4000" w:type="dxa"/>
            <w:vAlign w:val="bottom"/>
          </w:tcPr>
          <w:p>
            <w:pPr>
              <w:ind w:left="20"/>
              <w:spacing w:after="0" w:line="131" w:lineRule="exact"/>
              <w:rPr>
                <w:sz w:val="20"/>
                <w:szCs w:val="20"/>
                <w:color w:val="auto"/>
              </w:rPr>
            </w:pPr>
            <w:r>
              <w:rPr>
                <w:rFonts w:ascii="Arial" w:cs="Arial" w:eastAsia="Arial" w:hAnsi="Arial"/>
                <w:sz w:val="14"/>
                <w:szCs w:val="14"/>
                <w:color w:val="auto"/>
              </w:rPr>
              <w:t>Total amounts of income and expense line items in which the</w:t>
            </w: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12,382.0</w:t>
            </w:r>
          </w:p>
        </w:tc>
        <w:tc>
          <w:tcPr>
            <w:tcW w:w="140" w:type="dxa"/>
            <w:vAlign w:val="bottom"/>
          </w:tcPr>
          <w:p>
            <w:pPr>
              <w:spacing w:after="0"/>
              <w:rPr>
                <w:sz w:val="11"/>
                <w:szCs w:val="11"/>
                <w:color w:val="auto"/>
              </w:rPr>
            </w:pPr>
          </w:p>
        </w:tc>
        <w:tc>
          <w:tcPr>
            <w:tcW w:w="12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12,151.1</w:t>
            </w:r>
          </w:p>
        </w:tc>
        <w:tc>
          <w:tcPr>
            <w:tcW w:w="140" w:type="dxa"/>
            <w:vAlign w:val="bottom"/>
          </w:tcPr>
          <w:p>
            <w:pPr>
              <w:spacing w:after="0"/>
              <w:rPr>
                <w:sz w:val="11"/>
                <w:szCs w:val="11"/>
                <w:color w:val="auto"/>
              </w:rPr>
            </w:pPr>
          </w:p>
        </w:tc>
        <w:tc>
          <w:tcPr>
            <w:tcW w:w="1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76"/>
              </w:rPr>
              <w:t>$</w:t>
            </w:r>
          </w:p>
        </w:tc>
        <w:tc>
          <w:tcPr>
            <w:tcW w:w="12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14.3</w:t>
            </w:r>
          </w:p>
        </w:tc>
        <w:tc>
          <w:tcPr>
            <w:tcW w:w="140" w:type="dxa"/>
            <w:vAlign w:val="bottom"/>
          </w:tcPr>
          <w:p>
            <w:pPr>
              <w:spacing w:after="0"/>
              <w:rPr>
                <w:sz w:val="11"/>
                <w:szCs w:val="11"/>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5,957.9</w:t>
            </w:r>
          </w:p>
        </w:tc>
        <w:tc>
          <w:tcPr>
            <w:tcW w:w="140" w:type="dxa"/>
            <w:vAlign w:val="bottom"/>
          </w:tcPr>
          <w:p>
            <w:pPr>
              <w:spacing w:after="0"/>
              <w:rPr>
                <w:sz w:val="11"/>
                <w:szCs w:val="11"/>
                <w:color w:val="auto"/>
              </w:rPr>
            </w:pPr>
          </w:p>
        </w:tc>
        <w:tc>
          <w:tcPr>
            <w:tcW w:w="12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5,766.3</w:t>
            </w:r>
          </w:p>
        </w:tc>
        <w:tc>
          <w:tcPr>
            <w:tcW w:w="140" w:type="dxa"/>
            <w:vAlign w:val="bottom"/>
          </w:tcPr>
          <w:p>
            <w:pPr>
              <w:spacing w:after="0"/>
              <w:rPr>
                <w:sz w:val="11"/>
                <w:szCs w:val="11"/>
                <w:color w:val="auto"/>
              </w:rPr>
            </w:pPr>
          </w:p>
        </w:tc>
        <w:tc>
          <w:tcPr>
            <w:tcW w:w="1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11.1</w:t>
            </w:r>
          </w:p>
        </w:tc>
        <w:tc>
          <w:tcPr>
            <w:tcW w:w="0" w:type="dxa"/>
            <w:vAlign w:val="bottom"/>
          </w:tcPr>
          <w:p>
            <w:pPr>
              <w:spacing w:after="0"/>
              <w:rPr>
                <w:sz w:val="1"/>
                <w:szCs w:val="1"/>
                <w:color w:val="auto"/>
              </w:rPr>
            </w:pPr>
          </w:p>
        </w:tc>
      </w:tr>
      <w:tr>
        <w:trPr>
          <w:trHeight w:val="169"/>
        </w:trPr>
        <w:tc>
          <w:tcPr>
            <w:tcW w:w="4000" w:type="dxa"/>
            <w:vAlign w:val="bottom"/>
          </w:tcPr>
          <w:p>
            <w:pPr>
              <w:ind w:left="20"/>
              <w:spacing w:after="0"/>
              <w:rPr>
                <w:sz w:val="20"/>
                <w:szCs w:val="20"/>
                <w:color w:val="auto"/>
              </w:rPr>
            </w:pPr>
            <w:r>
              <w:rPr>
                <w:rFonts w:ascii="Arial" w:cs="Arial" w:eastAsia="Arial" w:hAnsi="Arial"/>
                <w:sz w:val="14"/>
                <w:szCs w:val="14"/>
                <w:color w:val="auto"/>
              </w:rPr>
              <w:t>effects of fair value or cash flow hedged are recorded</w:t>
            </w:r>
          </w:p>
        </w:tc>
        <w:tc>
          <w:tcPr>
            <w:tcW w:w="160" w:type="dxa"/>
            <w:vAlign w:val="bottom"/>
            <w:vMerge w:val="continue"/>
          </w:tcPr>
          <w:p>
            <w:pPr>
              <w:spacing w:after="0"/>
              <w:rPr>
                <w:sz w:val="14"/>
                <w:szCs w:val="14"/>
                <w:color w:val="auto"/>
              </w:rPr>
            </w:pPr>
          </w:p>
        </w:tc>
        <w:tc>
          <w:tcPr>
            <w:tcW w:w="8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vMerge w:val="continue"/>
          </w:tcPr>
          <w:p>
            <w:pPr>
              <w:spacing w:after="0"/>
              <w:rPr>
                <w:sz w:val="14"/>
                <w:szCs w:val="14"/>
                <w:color w:val="auto"/>
              </w:rPr>
            </w:pPr>
          </w:p>
        </w:tc>
        <w:tc>
          <w:tcPr>
            <w:tcW w:w="8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vMerge w:val="continue"/>
          </w:tcPr>
          <w:p>
            <w:pPr>
              <w:spacing w:after="0"/>
              <w:rPr>
                <w:sz w:val="14"/>
                <w:szCs w:val="14"/>
                <w:color w:val="auto"/>
              </w:rPr>
            </w:pPr>
          </w:p>
        </w:tc>
        <w:tc>
          <w:tcPr>
            <w:tcW w:w="12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40" w:type="dxa"/>
            <w:vAlign w:val="bottom"/>
            <w:vMerge w:val="continue"/>
          </w:tcPr>
          <w:p>
            <w:pPr>
              <w:spacing w:after="0"/>
              <w:rPr>
                <w:sz w:val="14"/>
                <w:szCs w:val="14"/>
                <w:color w:val="auto"/>
              </w:rPr>
            </w:pPr>
          </w:p>
        </w:tc>
        <w:tc>
          <w:tcPr>
            <w:tcW w:w="8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vMerge w:val="continue"/>
          </w:tcPr>
          <w:p>
            <w:pPr>
              <w:spacing w:after="0"/>
              <w:rPr>
                <w:sz w:val="14"/>
                <w:szCs w:val="14"/>
                <w:color w:val="auto"/>
              </w:rPr>
            </w:pPr>
          </w:p>
        </w:tc>
        <w:tc>
          <w:tcPr>
            <w:tcW w:w="8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vMerge w:val="continue"/>
          </w:tcPr>
          <w:p>
            <w:pPr>
              <w:spacing w:after="0"/>
              <w:rPr>
                <w:sz w:val="14"/>
                <w:szCs w:val="14"/>
                <w:color w:val="auto"/>
              </w:rPr>
            </w:pPr>
          </w:p>
        </w:tc>
        <w:tc>
          <w:tcPr>
            <w:tcW w:w="12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4000" w:type="dxa"/>
            <w:vAlign w:val="bottom"/>
            <w:shd w:val="clear" w:color="auto" w:fill="CCEEFF"/>
          </w:tcPr>
          <w:p>
            <w:pPr>
              <w:ind w:left="140"/>
              <w:spacing w:after="0"/>
              <w:rPr>
                <w:sz w:val="20"/>
                <w:szCs w:val="20"/>
                <w:color w:val="auto"/>
              </w:rPr>
            </w:pPr>
            <w:r>
              <w:rPr>
                <w:rFonts w:ascii="Arial" w:cs="Arial" w:eastAsia="Arial" w:hAnsi="Arial"/>
                <w:sz w:val="14"/>
                <w:szCs w:val="14"/>
                <w:color w:val="auto"/>
              </w:rPr>
              <w:t>Gains (losses) on fair value hedge relationships:</w:t>
            </w:r>
          </w:p>
        </w:tc>
        <w:tc>
          <w:tcPr>
            <w:tcW w:w="16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000" w:type="dxa"/>
            <w:vAlign w:val="bottom"/>
          </w:tcPr>
          <w:p>
            <w:pPr>
              <w:ind w:left="240"/>
              <w:spacing w:after="0"/>
              <w:rPr>
                <w:sz w:val="20"/>
                <w:szCs w:val="20"/>
                <w:color w:val="auto"/>
              </w:rPr>
            </w:pPr>
            <w:r>
              <w:rPr>
                <w:rFonts w:ascii="Arial" w:cs="Arial" w:eastAsia="Arial" w:hAnsi="Arial"/>
                <w:sz w:val="14"/>
                <w:szCs w:val="14"/>
                <w:color w:val="auto"/>
              </w:rPr>
              <w:t>Commodity contracts:</w:t>
            </w:r>
          </w:p>
        </w:tc>
        <w:tc>
          <w:tcPr>
            <w:tcW w:w="1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000" w:type="dxa"/>
            <w:vAlign w:val="bottom"/>
            <w:shd w:val="clear" w:color="auto" w:fill="CCEEFF"/>
          </w:tcPr>
          <w:p>
            <w:pPr>
              <w:ind w:left="460"/>
              <w:spacing w:after="0"/>
              <w:rPr>
                <w:sz w:val="20"/>
                <w:szCs w:val="20"/>
                <w:color w:val="auto"/>
              </w:rPr>
            </w:pPr>
            <w:r>
              <w:rPr>
                <w:rFonts w:ascii="Arial" w:cs="Arial" w:eastAsia="Arial" w:hAnsi="Arial"/>
                <w:sz w:val="14"/>
                <w:szCs w:val="14"/>
                <w:color w:val="auto"/>
              </w:rPr>
              <w:t>Hedged item</w:t>
            </w:r>
          </w:p>
        </w:tc>
        <w:tc>
          <w:tcPr>
            <w:tcW w:w="16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28.6</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34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980" w:type="dxa"/>
            <w:vAlign w:val="bottom"/>
            <w:gridSpan w:val="2"/>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12.0</w:t>
            </w: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4000" w:type="dxa"/>
            <w:vAlign w:val="bottom"/>
          </w:tcPr>
          <w:p>
            <w:pPr>
              <w:ind w:left="460"/>
              <w:spacing w:after="0"/>
              <w:rPr>
                <w:sz w:val="20"/>
                <w:szCs w:val="20"/>
                <w:color w:val="auto"/>
              </w:rPr>
            </w:pPr>
            <w:r>
              <w:rPr>
                <w:rFonts w:ascii="Arial" w:cs="Arial" w:eastAsia="Arial" w:hAnsi="Arial"/>
                <w:sz w:val="14"/>
                <w:szCs w:val="14"/>
                <w:color w:val="auto"/>
              </w:rPr>
              <w:t>Derivatives designated as hedging instruments</w:t>
            </w:r>
          </w:p>
        </w:tc>
        <w:tc>
          <w:tcPr>
            <w:tcW w:w="160" w:type="dxa"/>
            <w:vAlign w:val="bottom"/>
          </w:tcPr>
          <w:p>
            <w:pPr>
              <w:spacing w:after="0"/>
              <w:rPr>
                <w:sz w:val="16"/>
                <w:szCs w:val="16"/>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(41.2)</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(8.4)</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87"/>
        </w:trPr>
        <w:tc>
          <w:tcPr>
            <w:tcW w:w="4000" w:type="dxa"/>
            <w:vAlign w:val="bottom"/>
            <w:shd w:val="clear" w:color="auto" w:fill="CCEEFF"/>
          </w:tcPr>
          <w:p>
            <w:pPr>
              <w:ind w:left="120"/>
              <w:spacing w:after="0"/>
              <w:rPr>
                <w:sz w:val="20"/>
                <w:szCs w:val="20"/>
                <w:color w:val="auto"/>
              </w:rPr>
            </w:pPr>
            <w:r>
              <w:rPr>
                <w:rFonts w:ascii="Arial" w:cs="Arial" w:eastAsia="Arial" w:hAnsi="Arial"/>
                <w:sz w:val="14"/>
                <w:szCs w:val="14"/>
                <w:color w:val="auto"/>
              </w:rPr>
              <w:t>Gains (losses) on cash flow hedge relationships:</w:t>
            </w:r>
          </w:p>
        </w:tc>
        <w:tc>
          <w:tcPr>
            <w:tcW w:w="16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4000" w:type="dxa"/>
            <w:vAlign w:val="bottom"/>
          </w:tcPr>
          <w:p>
            <w:pPr>
              <w:ind w:left="240"/>
              <w:spacing w:after="0"/>
              <w:rPr>
                <w:sz w:val="20"/>
                <w:szCs w:val="20"/>
                <w:color w:val="auto"/>
              </w:rPr>
            </w:pPr>
            <w:r>
              <w:rPr>
                <w:rFonts w:ascii="Arial" w:cs="Arial" w:eastAsia="Arial" w:hAnsi="Arial"/>
                <w:sz w:val="14"/>
                <w:szCs w:val="14"/>
                <w:color w:val="auto"/>
              </w:rPr>
              <w:t>Commodity contracts:</w:t>
            </w:r>
          </w:p>
        </w:tc>
        <w:tc>
          <w:tcPr>
            <w:tcW w:w="1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1"/>
        </w:trPr>
        <w:tc>
          <w:tcPr>
            <w:tcW w:w="4000" w:type="dxa"/>
            <w:vAlign w:val="bottom"/>
            <w:shd w:val="clear" w:color="auto" w:fill="CCEEFF"/>
          </w:tcPr>
          <w:p>
            <w:pPr>
              <w:ind w:left="460"/>
              <w:spacing w:after="0" w:line="151" w:lineRule="exact"/>
              <w:rPr>
                <w:sz w:val="20"/>
                <w:szCs w:val="20"/>
                <w:color w:val="auto"/>
              </w:rPr>
            </w:pPr>
            <w:r>
              <w:rPr>
                <w:rFonts w:ascii="Arial" w:cs="Arial" w:eastAsia="Arial" w:hAnsi="Arial"/>
                <w:sz w:val="14"/>
                <w:szCs w:val="14"/>
                <w:color w:val="auto"/>
              </w:rPr>
              <w:t>Amount of gain (loss) reclassified from Accumulated</w:t>
            </w:r>
          </w:p>
        </w:tc>
        <w:tc>
          <w:tcPr>
            <w:tcW w:w="160" w:type="dxa"/>
            <w:vAlign w:val="bottom"/>
            <w:shd w:val="clear" w:color="auto" w:fill="CCEEFF"/>
          </w:tcPr>
          <w:p>
            <w:pPr>
              <w:spacing w:after="0"/>
              <w:rPr>
                <w:sz w:val="13"/>
                <w:szCs w:val="13"/>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(33.0)</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134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21.0</w:t>
            </w:r>
          </w:p>
        </w:tc>
        <w:tc>
          <w:tcPr>
            <w:tcW w:w="14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9"/>
        </w:trPr>
        <w:tc>
          <w:tcPr>
            <w:tcW w:w="4000" w:type="dxa"/>
            <w:vAlign w:val="bottom"/>
            <w:shd w:val="clear" w:color="auto" w:fill="CCEEFF"/>
          </w:tcPr>
          <w:p>
            <w:pPr>
              <w:ind w:left="460"/>
              <w:spacing w:after="0"/>
              <w:rPr>
                <w:sz w:val="20"/>
                <w:szCs w:val="20"/>
                <w:color w:val="auto"/>
              </w:rPr>
            </w:pPr>
            <w:r>
              <w:rPr>
                <w:rFonts w:ascii="Arial" w:cs="Arial" w:eastAsia="Arial" w:hAnsi="Arial"/>
                <w:sz w:val="14"/>
                <w:szCs w:val="14"/>
                <w:color w:val="auto"/>
              </w:rPr>
              <w:t>other comprehensive income (loss) into net income</w:t>
            </w:r>
          </w:p>
        </w:tc>
        <w:tc>
          <w:tcPr>
            <w:tcW w:w="160" w:type="dxa"/>
            <w:vAlign w:val="bottom"/>
            <w:shd w:val="clear" w:color="auto" w:fill="CCEEFF"/>
          </w:tcPr>
          <w:p>
            <w:pPr>
              <w:spacing w:after="0"/>
              <w:rPr>
                <w:sz w:val="14"/>
                <w:szCs w:val="14"/>
                <w:color w:val="auto"/>
              </w:rPr>
            </w:pPr>
          </w:p>
        </w:tc>
        <w:tc>
          <w:tcPr>
            <w:tcW w:w="840" w:type="dxa"/>
            <w:vAlign w:val="bottom"/>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340" w:type="dxa"/>
            <w:vAlign w:val="bottom"/>
            <w:gridSpan w:val="2"/>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840" w:type="dxa"/>
            <w:vAlign w:val="bottom"/>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87"/>
        </w:trPr>
        <w:tc>
          <w:tcPr>
            <w:tcW w:w="4000" w:type="dxa"/>
            <w:vAlign w:val="bottom"/>
          </w:tcPr>
          <w:p>
            <w:pPr>
              <w:ind w:left="240"/>
              <w:spacing w:after="0"/>
              <w:rPr>
                <w:sz w:val="20"/>
                <w:szCs w:val="20"/>
                <w:color w:val="auto"/>
              </w:rPr>
            </w:pPr>
            <w:r>
              <w:rPr>
                <w:rFonts w:ascii="Arial" w:cs="Arial" w:eastAsia="Arial" w:hAnsi="Arial"/>
                <w:sz w:val="14"/>
                <w:szCs w:val="14"/>
                <w:color w:val="auto"/>
              </w:rPr>
              <w:t>Interest rate contracts:</w:t>
            </w:r>
          </w:p>
        </w:tc>
        <w:tc>
          <w:tcPr>
            <w:tcW w:w="1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1"/>
        </w:trPr>
        <w:tc>
          <w:tcPr>
            <w:tcW w:w="4000" w:type="dxa"/>
            <w:vAlign w:val="bottom"/>
            <w:shd w:val="clear" w:color="auto" w:fill="CCEEFF"/>
          </w:tcPr>
          <w:p>
            <w:pPr>
              <w:ind w:left="460"/>
              <w:spacing w:after="0" w:line="151" w:lineRule="exact"/>
              <w:rPr>
                <w:sz w:val="20"/>
                <w:szCs w:val="20"/>
                <w:color w:val="auto"/>
              </w:rPr>
            </w:pPr>
            <w:r>
              <w:rPr>
                <w:rFonts w:ascii="Arial" w:cs="Arial" w:eastAsia="Arial" w:hAnsi="Arial"/>
                <w:sz w:val="14"/>
                <w:szCs w:val="14"/>
                <w:color w:val="auto"/>
              </w:rPr>
              <w:t>Amount of gain (loss) reclassified from Accumulated</w:t>
            </w:r>
          </w:p>
        </w:tc>
        <w:tc>
          <w:tcPr>
            <w:tcW w:w="160" w:type="dxa"/>
            <w:vAlign w:val="bottom"/>
            <w:shd w:val="clear" w:color="auto" w:fill="CCEEFF"/>
          </w:tcPr>
          <w:p>
            <w:pPr>
              <w:spacing w:after="0"/>
              <w:rPr>
                <w:sz w:val="13"/>
                <w:szCs w:val="13"/>
                <w:color w:val="auto"/>
              </w:rPr>
            </w:pPr>
          </w:p>
        </w:tc>
        <w:tc>
          <w:tcPr>
            <w:tcW w:w="98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00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(0.3)</w:t>
            </w:r>
          </w:p>
        </w:tc>
        <w:tc>
          <w:tcPr>
            <w:tcW w:w="14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98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00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3"/>
                <w:szCs w:val="13"/>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0" w:type="dxa"/>
            <w:vAlign w:val="bottom"/>
          </w:tcPr>
          <w:p>
            <w:pPr>
              <w:spacing w:after="0"/>
              <w:rPr>
                <w:sz w:val="1"/>
                <w:szCs w:val="1"/>
                <w:color w:val="auto"/>
              </w:rPr>
            </w:pPr>
          </w:p>
        </w:tc>
      </w:tr>
      <w:tr>
        <w:trPr>
          <w:trHeight w:val="169"/>
        </w:trPr>
        <w:tc>
          <w:tcPr>
            <w:tcW w:w="4000" w:type="dxa"/>
            <w:vAlign w:val="bottom"/>
            <w:shd w:val="clear" w:color="auto" w:fill="CCEEFF"/>
          </w:tcPr>
          <w:p>
            <w:pPr>
              <w:ind w:left="460"/>
              <w:spacing w:after="0"/>
              <w:rPr>
                <w:sz w:val="20"/>
                <w:szCs w:val="20"/>
                <w:color w:val="auto"/>
              </w:rPr>
            </w:pPr>
            <w:r>
              <w:rPr>
                <w:rFonts w:ascii="Arial" w:cs="Arial" w:eastAsia="Arial" w:hAnsi="Arial"/>
                <w:sz w:val="14"/>
                <w:szCs w:val="14"/>
                <w:color w:val="auto"/>
              </w:rPr>
              <w:t>other comprehensive income (loss) into net income</w:t>
            </w:r>
          </w:p>
        </w:tc>
        <w:tc>
          <w:tcPr>
            <w:tcW w:w="160" w:type="dxa"/>
            <w:vAlign w:val="bottom"/>
            <w:shd w:val="clear" w:color="auto" w:fill="CCEEFF"/>
          </w:tcPr>
          <w:p>
            <w:pPr>
              <w:spacing w:after="0"/>
              <w:rPr>
                <w:sz w:val="14"/>
                <w:szCs w:val="14"/>
                <w:color w:val="auto"/>
              </w:rPr>
            </w:pPr>
          </w:p>
        </w:tc>
        <w:tc>
          <w:tcPr>
            <w:tcW w:w="98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0" w:type="dxa"/>
            <w:vAlign w:val="bottom"/>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80" w:type="dxa"/>
            <w:vAlign w:val="bottom"/>
            <w:gridSpan w:val="2"/>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20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1"/>
        </w:trPr>
        <w:tc>
          <w:tcPr>
            <w:tcW w:w="4000" w:type="dxa"/>
            <w:vAlign w:val="bottom"/>
          </w:tcPr>
          <w:p>
            <w:pPr>
              <w:ind w:left="20"/>
              <w:spacing w:after="0" w:line="131" w:lineRule="exact"/>
              <w:rPr>
                <w:sz w:val="20"/>
                <w:szCs w:val="20"/>
                <w:color w:val="auto"/>
              </w:rPr>
            </w:pPr>
            <w:r>
              <w:rPr>
                <w:rFonts w:ascii="Arial" w:cs="Arial" w:eastAsia="Arial" w:hAnsi="Arial"/>
                <w:sz w:val="14"/>
                <w:szCs w:val="14"/>
                <w:color w:val="auto"/>
              </w:rPr>
              <w:t>Total amount of income and expense line items excluding</w:t>
            </w:r>
          </w:p>
        </w:tc>
        <w:tc>
          <w:tcPr>
            <w:tcW w:w="16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w:t>
            </w:r>
          </w:p>
        </w:tc>
        <w:tc>
          <w:tcPr>
            <w:tcW w:w="8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12,415.0</w:t>
            </w:r>
          </w:p>
        </w:tc>
        <w:tc>
          <w:tcPr>
            <w:tcW w:w="140" w:type="dxa"/>
            <w:vAlign w:val="bottom"/>
          </w:tcPr>
          <w:p>
            <w:pPr>
              <w:spacing w:after="0"/>
              <w:rPr>
                <w:sz w:val="11"/>
                <w:szCs w:val="11"/>
                <w:color w:val="auto"/>
              </w:rPr>
            </w:pPr>
          </w:p>
        </w:tc>
        <w:tc>
          <w:tcPr>
            <w:tcW w:w="12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12,138.6</w:t>
            </w:r>
          </w:p>
        </w:tc>
        <w:tc>
          <w:tcPr>
            <w:tcW w:w="140" w:type="dxa"/>
            <w:vAlign w:val="bottom"/>
          </w:tcPr>
          <w:p>
            <w:pPr>
              <w:spacing w:after="0"/>
              <w:rPr>
                <w:sz w:val="11"/>
                <w:szCs w:val="11"/>
                <w:color w:val="auto"/>
              </w:rPr>
            </w:pPr>
          </w:p>
        </w:tc>
        <w:tc>
          <w:tcPr>
            <w:tcW w:w="1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76"/>
              </w:rPr>
              <w:t>$</w:t>
            </w:r>
          </w:p>
        </w:tc>
        <w:tc>
          <w:tcPr>
            <w:tcW w:w="12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14.0</w:t>
            </w:r>
          </w:p>
        </w:tc>
        <w:tc>
          <w:tcPr>
            <w:tcW w:w="140" w:type="dxa"/>
            <w:vAlign w:val="bottom"/>
          </w:tcPr>
          <w:p>
            <w:pPr>
              <w:spacing w:after="0"/>
              <w:rPr>
                <w:sz w:val="11"/>
                <w:szCs w:val="11"/>
                <w:color w:val="auto"/>
              </w:rPr>
            </w:pPr>
          </w:p>
        </w:tc>
        <w:tc>
          <w:tcPr>
            <w:tcW w:w="1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76"/>
              </w:rPr>
              <w:t>$</w:t>
            </w:r>
          </w:p>
        </w:tc>
        <w:tc>
          <w:tcPr>
            <w:tcW w:w="84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5,969.6</w:t>
            </w:r>
          </w:p>
        </w:tc>
        <w:tc>
          <w:tcPr>
            <w:tcW w:w="140" w:type="dxa"/>
            <w:vAlign w:val="bottom"/>
          </w:tcPr>
          <w:p>
            <w:pPr>
              <w:spacing w:after="0"/>
              <w:rPr>
                <w:sz w:val="11"/>
                <w:szCs w:val="11"/>
                <w:color w:val="auto"/>
              </w:rPr>
            </w:pPr>
          </w:p>
        </w:tc>
        <w:tc>
          <w:tcPr>
            <w:tcW w:w="12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5,791.0</w:t>
            </w:r>
          </w:p>
        </w:tc>
        <w:tc>
          <w:tcPr>
            <w:tcW w:w="140" w:type="dxa"/>
            <w:vAlign w:val="bottom"/>
          </w:tcPr>
          <w:p>
            <w:pPr>
              <w:spacing w:after="0"/>
              <w:rPr>
                <w:sz w:val="11"/>
                <w:szCs w:val="11"/>
                <w:color w:val="auto"/>
              </w:rPr>
            </w:pPr>
          </w:p>
        </w:tc>
        <w:tc>
          <w:tcPr>
            <w:tcW w:w="1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w:t>
            </w:r>
          </w:p>
        </w:tc>
        <w:tc>
          <w:tcPr>
            <w:tcW w:w="1200" w:type="dxa"/>
            <w:vAlign w:val="bottom"/>
            <w:tcBorders>
              <w:top w:val="single" w:sz="8" w:color="auto"/>
            </w:tcBorders>
            <w:vMerge w:val="restart"/>
          </w:tcPr>
          <w:p>
            <w:pPr>
              <w:jc w:val="right"/>
              <w:spacing w:after="0"/>
              <w:rPr>
                <w:sz w:val="20"/>
                <w:szCs w:val="20"/>
                <w:color w:val="auto"/>
              </w:rPr>
            </w:pPr>
            <w:r>
              <w:rPr>
                <w:rFonts w:ascii="Arial" w:cs="Arial" w:eastAsia="Arial" w:hAnsi="Arial"/>
                <w:sz w:val="14"/>
                <w:szCs w:val="14"/>
                <w:color w:val="auto"/>
              </w:rPr>
              <w:t>10.8</w:t>
            </w:r>
          </w:p>
        </w:tc>
        <w:tc>
          <w:tcPr>
            <w:tcW w:w="0" w:type="dxa"/>
            <w:vAlign w:val="bottom"/>
          </w:tcPr>
          <w:p>
            <w:pPr>
              <w:spacing w:after="0"/>
              <w:rPr>
                <w:sz w:val="1"/>
                <w:szCs w:val="1"/>
                <w:color w:val="auto"/>
              </w:rPr>
            </w:pPr>
          </w:p>
        </w:tc>
      </w:tr>
      <w:tr>
        <w:trPr>
          <w:trHeight w:val="147"/>
        </w:trPr>
        <w:tc>
          <w:tcPr>
            <w:tcW w:w="4000" w:type="dxa"/>
            <w:vAlign w:val="bottom"/>
          </w:tcPr>
          <w:p>
            <w:pPr>
              <w:ind w:left="20"/>
              <w:spacing w:after="0" w:line="142" w:lineRule="exact"/>
              <w:rPr>
                <w:sz w:val="20"/>
                <w:szCs w:val="20"/>
                <w:color w:val="auto"/>
              </w:rPr>
            </w:pPr>
            <w:r>
              <w:rPr>
                <w:rFonts w:ascii="Arial" w:cs="Arial" w:eastAsia="Arial" w:hAnsi="Arial"/>
                <w:sz w:val="14"/>
                <w:szCs w:val="14"/>
                <w:color w:val="auto"/>
              </w:rPr>
              <w:t>the impact of hedges</w:t>
            </w:r>
          </w:p>
        </w:tc>
        <w:tc>
          <w:tcPr>
            <w:tcW w:w="160" w:type="dxa"/>
            <w:vAlign w:val="bottom"/>
            <w:tcBorders>
              <w:bottom w:val="single" w:sz="8" w:color="auto"/>
            </w:tcBorders>
            <w:vMerge w:val="continue"/>
          </w:tcPr>
          <w:p>
            <w:pPr>
              <w:spacing w:after="0"/>
              <w:rPr>
                <w:sz w:val="12"/>
                <w:szCs w:val="12"/>
                <w:color w:val="auto"/>
              </w:rPr>
            </w:pPr>
          </w:p>
        </w:tc>
        <w:tc>
          <w:tcPr>
            <w:tcW w:w="840" w:type="dxa"/>
            <w:vAlign w:val="bottom"/>
            <w:tcBorders>
              <w:bottom w:val="single" w:sz="8" w:color="auto"/>
            </w:tcBorders>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bottom w:val="single" w:sz="8" w:color="auto"/>
            </w:tcBorders>
            <w:vMerge w:val="continue"/>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Borders>
              <w:bottom w:val="single" w:sz="8" w:color="auto"/>
            </w:tcBorders>
            <w:vMerge w:val="continue"/>
          </w:tcPr>
          <w:p>
            <w:pPr>
              <w:spacing w:after="0"/>
              <w:rPr>
                <w:sz w:val="12"/>
                <w:szCs w:val="12"/>
                <w:color w:val="auto"/>
              </w:rPr>
            </w:pPr>
          </w:p>
        </w:tc>
        <w:tc>
          <w:tcPr>
            <w:tcW w:w="1200" w:type="dxa"/>
            <w:vAlign w:val="bottom"/>
            <w:tcBorders>
              <w:bottom w:val="single" w:sz="8" w:color="auto"/>
            </w:tcBorders>
            <w:vMerge w:val="continue"/>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bottom w:val="single" w:sz="8" w:color="auto"/>
            </w:tcBorders>
            <w:vMerge w:val="continue"/>
          </w:tcPr>
          <w:p>
            <w:pPr>
              <w:spacing w:after="0"/>
              <w:rPr>
                <w:sz w:val="12"/>
                <w:szCs w:val="12"/>
                <w:color w:val="auto"/>
              </w:rPr>
            </w:pPr>
          </w:p>
        </w:tc>
        <w:tc>
          <w:tcPr>
            <w:tcW w:w="840" w:type="dxa"/>
            <w:vAlign w:val="bottom"/>
            <w:tcBorders>
              <w:bottom w:val="single" w:sz="8" w:color="auto"/>
            </w:tcBorders>
            <w:vMerge w:val="continue"/>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bottom w:val="single" w:sz="8" w:color="auto"/>
            </w:tcBorders>
            <w:vMerge w:val="continue"/>
          </w:tcPr>
          <w:p>
            <w:pPr>
              <w:spacing w:after="0"/>
              <w:rPr>
                <w:sz w:val="12"/>
                <w:szCs w:val="12"/>
                <w:color w:val="auto"/>
              </w:rPr>
            </w:pPr>
          </w:p>
        </w:tc>
        <w:tc>
          <w:tcPr>
            <w:tcW w:w="860" w:type="dxa"/>
            <w:vAlign w:val="bottom"/>
            <w:tcBorders>
              <w:bottom w:val="single" w:sz="8" w:color="auto"/>
            </w:tcBorders>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Borders>
              <w:bottom w:val="single" w:sz="8" w:color="auto"/>
            </w:tcBorders>
            <w:vMerge w:val="continue"/>
          </w:tcPr>
          <w:p>
            <w:pPr>
              <w:spacing w:after="0"/>
              <w:rPr>
                <w:sz w:val="12"/>
                <w:szCs w:val="12"/>
                <w:color w:val="auto"/>
              </w:rPr>
            </w:pPr>
          </w:p>
        </w:tc>
        <w:tc>
          <w:tcPr>
            <w:tcW w:w="1200" w:type="dxa"/>
            <w:vAlign w:val="bottom"/>
            <w:tcBorders>
              <w:bottom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0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59"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The following table presents, on a pre-tax basis, the amounts not recorded in Accumulated other comprehensive income (loss) due to intra-period settlement but recognized in Revenue and Cost of revenue in our Condensed Consolidated Statements of Income and Comprehensive Income (in millions):</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550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98"/>
              </w:rPr>
              <w:t>Gain (Loss) Not Recorded in Accumulated other</w:t>
            </w:r>
          </w:p>
        </w:tc>
        <w:tc>
          <w:tcPr>
            <w:tcW w:w="1960" w:type="dxa"/>
            <w:vAlign w:val="bottom"/>
            <w:vMerge w:val="restart"/>
          </w:tcPr>
          <w:p>
            <w:pPr>
              <w:spacing w:after="0"/>
              <w:rPr>
                <w:sz w:val="20"/>
                <w:szCs w:val="20"/>
                <w:color w:val="auto"/>
              </w:rPr>
            </w:pPr>
            <w:r>
              <w:rPr>
                <w:rFonts w:ascii="Arial" w:cs="Arial" w:eastAsia="Arial" w:hAnsi="Arial"/>
                <w:sz w:val="18"/>
                <w:szCs w:val="18"/>
                <w:b w:val="1"/>
                <w:bCs w:val="1"/>
                <w:color w:val="auto"/>
              </w:rPr>
              <w:t>Location</w:t>
            </w:r>
          </w:p>
        </w:tc>
        <w:tc>
          <w:tcPr>
            <w:tcW w:w="120" w:type="dxa"/>
            <w:vAlign w:val="bottom"/>
            <w:vMerge w:val="restart"/>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3500" w:type="dxa"/>
            <w:vAlign w:val="bottom"/>
            <w:tcBorders>
              <w:bottom w:val="single" w:sz="8" w:color="auto"/>
            </w:tcBorders>
            <w:gridSpan w:val="4"/>
          </w:tcPr>
          <w:p>
            <w:pPr>
              <w:jc w:val="right"/>
              <w:ind w:right="91"/>
              <w:spacing w:after="0"/>
              <w:rPr>
                <w:sz w:val="20"/>
                <w:szCs w:val="20"/>
                <w:color w:val="auto"/>
              </w:rPr>
            </w:pPr>
            <w:r>
              <w:rPr>
                <w:rFonts w:ascii="Arial" w:cs="Arial" w:eastAsia="Arial" w:hAnsi="Arial"/>
                <w:sz w:val="18"/>
                <w:szCs w:val="18"/>
                <w:b w:val="1"/>
                <w:bCs w:val="1"/>
                <w:color w:val="auto"/>
                <w:w w:val="99"/>
              </w:rPr>
              <w:t>For the Three Months Ended March 31,</w:t>
            </w:r>
          </w:p>
        </w:tc>
        <w:tc>
          <w:tcPr>
            <w:tcW w:w="0" w:type="dxa"/>
            <w:vAlign w:val="bottom"/>
          </w:tcPr>
          <w:p>
            <w:pPr>
              <w:spacing w:after="0"/>
              <w:rPr>
                <w:sz w:val="1"/>
                <w:szCs w:val="1"/>
                <w:color w:val="auto"/>
              </w:rPr>
            </w:pPr>
          </w:p>
        </w:tc>
      </w:tr>
      <w:tr>
        <w:trPr>
          <w:trHeight w:val="21"/>
        </w:trPr>
        <w:tc>
          <w:tcPr>
            <w:tcW w:w="5500" w:type="dxa"/>
            <w:vAlign w:val="bottom"/>
            <w:gridSpan w:val="2"/>
            <w:vMerge w:val="continue"/>
          </w:tcPr>
          <w:p>
            <w:pPr>
              <w:spacing w:after="0" w:line="20" w:lineRule="exact"/>
              <w:rPr>
                <w:sz w:val="1"/>
                <w:szCs w:val="1"/>
                <w:color w:val="auto"/>
              </w:rPr>
            </w:pPr>
          </w:p>
        </w:tc>
        <w:tc>
          <w:tcPr>
            <w:tcW w:w="1960" w:type="dxa"/>
            <w:vAlign w:val="bottom"/>
            <w:vMerge w:val="continue"/>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0" w:type="dxa"/>
            <w:vAlign w:val="bottom"/>
            <w:vMerge w:val="restart"/>
          </w:tcPr>
          <w:p>
            <w:pPr>
              <w:jc w:val="right"/>
              <w:ind w:right="591"/>
              <w:spacing w:after="0"/>
              <w:rPr>
                <w:sz w:val="20"/>
                <w:szCs w:val="20"/>
                <w:color w:val="auto"/>
              </w:rPr>
            </w:pPr>
            <w:r>
              <w:rPr>
                <w:rFonts w:ascii="Arial" w:cs="Arial" w:eastAsia="Arial" w:hAnsi="Arial"/>
                <w:sz w:val="18"/>
                <w:szCs w:val="18"/>
                <w:b w:val="1"/>
                <w:bCs w:val="1"/>
                <w:color w:val="auto"/>
              </w:rPr>
              <w:t>2022</w:t>
            </w: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360" w:type="dxa"/>
            <w:vAlign w:val="bottom"/>
            <w:vMerge w:val="restart"/>
          </w:tcPr>
          <w:p>
            <w:pPr>
              <w:jc w:val="right"/>
              <w:ind w:right="591"/>
              <w:spacing w:after="0"/>
              <w:rPr>
                <w:sz w:val="20"/>
                <w:szCs w:val="20"/>
                <w:color w:val="auto"/>
              </w:rPr>
            </w:pPr>
            <w:r>
              <w:rPr>
                <w:rFonts w:ascii="Arial" w:cs="Arial" w:eastAsia="Arial" w:hAnsi="Arial"/>
                <w:sz w:val="18"/>
                <w:szCs w:val="18"/>
                <w:b w:val="1"/>
                <w:bCs w:val="1"/>
                <w:color w:val="auto"/>
              </w:rPr>
              <w:t>2021</w:t>
            </w:r>
          </w:p>
        </w:tc>
        <w:tc>
          <w:tcPr>
            <w:tcW w:w="0" w:type="dxa"/>
            <w:vAlign w:val="bottom"/>
          </w:tcPr>
          <w:p>
            <w:pPr>
              <w:spacing w:after="0" w:line="20" w:lineRule="exact"/>
              <w:rPr>
                <w:sz w:val="1"/>
                <w:szCs w:val="1"/>
                <w:color w:val="auto"/>
              </w:rPr>
            </w:pPr>
          </w:p>
        </w:tc>
      </w:tr>
      <w:tr>
        <w:trPr>
          <w:trHeight w:val="227"/>
        </w:trPr>
        <w:tc>
          <w:tcPr>
            <w:tcW w:w="53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comprehensive income (loss) Due to Intra-Period Settlement</w:t>
            </w:r>
          </w:p>
        </w:tc>
        <w:tc>
          <w:tcPr>
            <w:tcW w:w="140" w:type="dxa"/>
            <w:vAlign w:val="bottom"/>
            <w:tcBorders>
              <w:bottom w:val="single" w:sz="8" w:color="CCEEFF"/>
            </w:tcBorders>
          </w:tcPr>
          <w:p>
            <w:pPr>
              <w:spacing w:after="0"/>
              <w:rPr>
                <w:sz w:val="19"/>
                <w:szCs w:val="19"/>
                <w:color w:val="auto"/>
              </w:rPr>
            </w:pPr>
          </w:p>
        </w:tc>
        <w:tc>
          <w:tcPr>
            <w:tcW w:w="196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vMerge w:val="continue"/>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55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Commodity contracts</w:t>
            </w:r>
          </w:p>
        </w:tc>
        <w:tc>
          <w:tcPr>
            <w:tcW w:w="20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Revenue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(75.3)</w:t>
            </w:r>
          </w:p>
        </w:tc>
        <w:tc>
          <w:tcPr>
            <w:tcW w:w="14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(76.8)</w:t>
            </w:r>
          </w:p>
        </w:tc>
        <w:tc>
          <w:tcPr>
            <w:tcW w:w="0" w:type="dxa"/>
            <w:vAlign w:val="bottom"/>
          </w:tcPr>
          <w:p>
            <w:pPr>
              <w:spacing w:after="0"/>
              <w:rPr>
                <w:sz w:val="1"/>
                <w:szCs w:val="1"/>
                <w:color w:val="auto"/>
              </w:rPr>
            </w:pPr>
          </w:p>
        </w:tc>
      </w:tr>
      <w:tr>
        <w:trPr>
          <w:trHeight w:val="225"/>
        </w:trPr>
        <w:tc>
          <w:tcPr>
            <w:tcW w:w="5500" w:type="dxa"/>
            <w:vAlign w:val="bottom"/>
            <w:gridSpan w:val="2"/>
          </w:tcPr>
          <w:p>
            <w:pPr>
              <w:ind w:left="20"/>
              <w:spacing w:after="0"/>
              <w:rPr>
                <w:sz w:val="20"/>
                <w:szCs w:val="20"/>
                <w:color w:val="auto"/>
              </w:rPr>
            </w:pPr>
            <w:r>
              <w:rPr>
                <w:rFonts w:ascii="Arial" w:cs="Arial" w:eastAsia="Arial" w:hAnsi="Arial"/>
                <w:sz w:val="18"/>
                <w:szCs w:val="18"/>
                <w:color w:val="auto"/>
              </w:rPr>
              <w:t>Commodity contracts</w:t>
            </w:r>
          </w:p>
        </w:tc>
        <w:tc>
          <w:tcPr>
            <w:tcW w:w="2080" w:type="dxa"/>
            <w:vAlign w:val="bottom"/>
            <w:gridSpan w:val="2"/>
          </w:tcPr>
          <w:p>
            <w:pPr>
              <w:spacing w:after="0"/>
              <w:rPr>
                <w:sz w:val="20"/>
                <w:szCs w:val="20"/>
                <w:color w:val="auto"/>
              </w:rPr>
            </w:pPr>
            <w:r>
              <w:rPr>
                <w:rFonts w:ascii="Arial" w:cs="Arial" w:eastAsia="Arial" w:hAnsi="Arial"/>
                <w:sz w:val="18"/>
                <w:szCs w:val="18"/>
                <w:color w:val="auto"/>
              </w:rPr>
              <w:t>Cost of revenue</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600" w:type="dxa"/>
            <w:vAlign w:val="bottom"/>
          </w:tcPr>
          <w:p>
            <w:pPr>
              <w:jc w:val="right"/>
              <w:spacing w:after="0"/>
              <w:rPr>
                <w:sz w:val="20"/>
                <w:szCs w:val="20"/>
                <w:color w:val="auto"/>
              </w:rPr>
            </w:pPr>
            <w:r>
              <w:rPr>
                <w:rFonts w:ascii="Arial" w:cs="Arial" w:eastAsia="Arial" w:hAnsi="Arial"/>
                <w:sz w:val="18"/>
                <w:szCs w:val="18"/>
                <w:color w:val="auto"/>
              </w:rPr>
              <w:t>1.4</w:t>
            </w:r>
          </w:p>
        </w:tc>
        <w:tc>
          <w:tcPr>
            <w:tcW w:w="140" w:type="dxa"/>
            <w:vAlign w:val="bottom"/>
          </w:tcPr>
          <w:p>
            <w:pPr>
              <w:spacing w:after="0"/>
              <w:rPr>
                <w:sz w:val="19"/>
                <w:szCs w:val="19"/>
                <w:color w:val="auto"/>
              </w:rPr>
            </w:pPr>
          </w:p>
        </w:tc>
        <w:tc>
          <w:tcPr>
            <w:tcW w:w="400" w:type="dxa"/>
            <w:vAlign w:val="bottom"/>
          </w:tcPr>
          <w:p>
            <w:pPr>
              <w:jc w:val="right"/>
              <w:ind w:right="191"/>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bl>
    <w:p>
      <w:pPr>
        <w:spacing w:after="0" w:line="20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For the three months ended March 31, 2022 and 2021, there were no gains or losses recognized in earnings related to our fair value or cash flow hedges that were excluded from the assessment of hedge effectiveness.</w:t>
      </w:r>
    </w:p>
    <w:p>
      <w:pPr>
        <w:spacing w:after="0" w:line="9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As of March 31, 2022, on a pre-tax basis, $47.3 million is scheduled to be reclassified from Accumulated other comprehensive income (loss) as a decrease to Revenue related to designated commodity cash flow hedges that will mature within the next twelve months.</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12" w:name="page13"/>
    <w:bookmarkEnd w:id="12"/>
    <w:p>
      <w:pPr>
        <w:jc w:val="both"/>
        <w:spacing w:after="0" w:line="250" w:lineRule="auto"/>
        <w:rPr>
          <w:sz w:val="20"/>
          <w:szCs w:val="20"/>
          <w:color w:val="auto"/>
        </w:rPr>
      </w:pPr>
      <w:r>
        <w:rPr>
          <w:rFonts w:ascii="Arial" w:cs="Arial" w:eastAsia="Arial" w:hAnsi="Arial"/>
          <w:sz w:val="18"/>
          <w:szCs w:val="18"/>
          <w:color w:val="auto"/>
        </w:rPr>
        <w:t>The following tables present the effect and financial statement location of our derivative instruments in cash flow hedging relationships on Accumulated other comprehensive income (loss) and in our Condensed Consolidated Statements of Income and Comprehensive Income (in millions):</w:t>
      </w:r>
    </w:p>
    <w:p>
      <w:pPr>
        <w:sectPr>
          <w:pgSz w:w="11900" w:h="16838" w:orient="portrait"/>
          <w:cols w:equalWidth="0" w:num="1">
            <w:col w:w="11240"/>
          </w:cols>
          <w:pgMar w:left="320" w:top="1113" w:right="339" w:bottom="1440" w:gutter="0" w:footer="0" w:header="0"/>
        </w:sectPr>
      </w:pPr>
    </w:p>
    <w:p>
      <w:pPr>
        <w:spacing w:after="0" w:line="200" w:lineRule="exact"/>
        <w:rPr>
          <w:sz w:val="20"/>
          <w:szCs w:val="20"/>
          <w:color w:val="auto"/>
        </w:rPr>
      </w:pPr>
    </w:p>
    <w:p>
      <w:pPr>
        <w:spacing w:after="0" w:line="212" w:lineRule="exact"/>
        <w:rPr>
          <w:sz w:val="20"/>
          <w:szCs w:val="20"/>
          <w:color w:val="auto"/>
        </w:rPr>
      </w:pPr>
    </w:p>
    <w:p>
      <w:pPr>
        <w:jc w:val="center"/>
        <w:ind w:left="20" w:right="240"/>
        <w:spacing w:after="0" w:line="236" w:lineRule="auto"/>
        <w:rPr>
          <w:sz w:val="20"/>
          <w:szCs w:val="20"/>
          <w:color w:val="auto"/>
        </w:rPr>
      </w:pPr>
      <w:r>
        <w:rPr>
          <w:rFonts w:ascii="Arial" w:cs="Arial" w:eastAsia="Arial" w:hAnsi="Arial"/>
          <w:sz w:val="18"/>
          <w:szCs w:val="18"/>
          <w:b w:val="1"/>
          <w:bCs w:val="1"/>
          <w:color w:val="auto"/>
        </w:rPr>
        <w:t>Amount of Gain (Loss) Recognized in Accumulated other comprehensive income (loss), Net of Income Tax (Expense) Benefit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1905</wp:posOffset>
            </wp:positionV>
            <wp:extent cx="7134225" cy="152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4225" cy="152400"/>
                    </a:xfrm>
                    <a:prstGeom prst="rect">
                      <a:avLst/>
                    </a:prstGeom>
                    <a:noFill/>
                  </pic:spPr>
                </pic:pic>
              </a:graphicData>
            </a:graphic>
          </wp:anchor>
        </w:drawing>
      </w:r>
    </w:p>
    <w:p>
      <w:pPr>
        <w:spacing w:after="0" w:line="9" w:lineRule="exact"/>
        <w:rPr>
          <w:sz w:val="20"/>
          <w:szCs w:val="20"/>
          <w:color w:val="auto"/>
        </w:rPr>
      </w:pPr>
    </w:p>
    <w:p>
      <w:pPr>
        <w:ind w:left="20"/>
        <w:spacing w:after="0"/>
        <w:rPr>
          <w:sz w:val="20"/>
          <w:szCs w:val="20"/>
          <w:color w:val="auto"/>
        </w:rPr>
      </w:pPr>
      <w:r>
        <w:rPr>
          <w:rFonts w:ascii="Arial" w:cs="Arial" w:eastAsia="Arial" w:hAnsi="Arial"/>
          <w:sz w:val="18"/>
          <w:szCs w:val="18"/>
          <w:color w:val="auto"/>
        </w:rPr>
        <w:t>Commodity contracts (Revenue)</w:t>
      </w:r>
    </w:p>
    <w:p>
      <w:pPr>
        <w:spacing w:after="0" w:line="20" w:lineRule="exact"/>
        <w:rPr>
          <w:sz w:val="20"/>
          <w:szCs w:val="20"/>
          <w:color w:val="auto"/>
        </w:rPr>
      </w:pPr>
    </w:p>
    <w:p>
      <w:pPr>
        <w:ind w:left="20"/>
        <w:spacing w:after="0"/>
        <w:rPr>
          <w:sz w:val="20"/>
          <w:szCs w:val="20"/>
          <w:color w:val="auto"/>
        </w:rPr>
      </w:pPr>
      <w:r>
        <w:rPr>
          <w:rFonts w:ascii="Arial" w:cs="Arial" w:eastAsia="Arial" w:hAnsi="Arial"/>
          <w:sz w:val="18"/>
          <w:szCs w:val="18"/>
          <w:color w:val="auto"/>
        </w:rPr>
        <w:t>Commodity contracts (Cost of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4445</wp:posOffset>
            </wp:positionV>
            <wp:extent cx="7134225" cy="144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4225" cy="144145"/>
                    </a:xfrm>
                    <a:prstGeom prst="rect">
                      <a:avLst/>
                    </a:prstGeom>
                    <a:noFill/>
                  </pic:spPr>
                </pic:pic>
              </a:graphicData>
            </a:graphic>
          </wp:anchor>
        </w:drawing>
      </w:r>
    </w:p>
    <w:p>
      <w:pPr>
        <w:ind w:left="20"/>
        <w:spacing w:after="0"/>
        <w:rPr>
          <w:sz w:val="20"/>
          <w:szCs w:val="20"/>
          <w:color w:val="auto"/>
        </w:rPr>
      </w:pPr>
      <w:r>
        <w:rPr>
          <w:rFonts w:ascii="Arial" w:cs="Arial" w:eastAsia="Arial" w:hAnsi="Arial"/>
          <w:sz w:val="18"/>
          <w:szCs w:val="18"/>
          <w:color w:val="auto"/>
        </w:rPr>
        <w:t>Interest rate contracts (Interest expense and other financing costs, net)</w:t>
      </w:r>
    </w:p>
    <w:p>
      <w:pPr>
        <w:spacing w:after="0" w:line="60" w:lineRule="exact"/>
        <w:rPr>
          <w:sz w:val="20"/>
          <w:szCs w:val="20"/>
          <w:color w:val="auto"/>
        </w:rPr>
      </w:pPr>
    </w:p>
    <w:p>
      <w:pPr>
        <w:ind w:left="20"/>
        <w:spacing w:after="0"/>
        <w:rPr>
          <w:sz w:val="20"/>
          <w:szCs w:val="20"/>
          <w:color w:val="auto"/>
        </w:rPr>
      </w:pPr>
      <w:r>
        <w:rPr>
          <w:rFonts w:ascii="Arial" w:cs="Arial" w:eastAsia="Arial" w:hAnsi="Arial"/>
          <w:sz w:val="18"/>
          <w:szCs w:val="18"/>
          <w:color w:val="auto"/>
        </w:rPr>
        <w:t>Total gain (loss)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5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8"/>
              </w:rPr>
              <w:t>Amount of Gain (Loss) Reclassified from</w:t>
            </w:r>
          </w:p>
        </w:tc>
        <w:tc>
          <w:tcPr>
            <w:tcW w:w="2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3"/>
        </w:trPr>
        <w:tc>
          <w:tcPr>
            <w:tcW w:w="4560" w:type="dxa"/>
            <w:vAlign w:val="bottom"/>
            <w:gridSpan w:val="2"/>
          </w:tcPr>
          <w:p>
            <w:pPr>
              <w:jc w:val="center"/>
              <w:ind w:right="120"/>
              <w:spacing w:after="0" w:line="174" w:lineRule="exact"/>
              <w:rPr>
                <w:sz w:val="20"/>
                <w:szCs w:val="20"/>
                <w:color w:val="auto"/>
              </w:rPr>
            </w:pPr>
            <w:r>
              <w:rPr>
                <w:rFonts w:ascii="Arial" w:cs="Arial" w:eastAsia="Arial" w:hAnsi="Arial"/>
                <w:sz w:val="18"/>
                <w:szCs w:val="18"/>
                <w:b w:val="1"/>
                <w:bCs w:val="1"/>
                <w:color w:val="auto"/>
                <w:w w:val="98"/>
              </w:rPr>
              <w:t>Accumulated other comprehensive income (loss)</w:t>
            </w:r>
          </w:p>
        </w:tc>
        <w:tc>
          <w:tcPr>
            <w:tcW w:w="28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3"/>
        </w:trPr>
        <w:tc>
          <w:tcPr>
            <w:tcW w:w="4560" w:type="dxa"/>
            <w:vAlign w:val="bottom"/>
            <w:gridSpan w:val="2"/>
          </w:tcPr>
          <w:p>
            <w:pPr>
              <w:ind w:left="40"/>
              <w:spacing w:after="0" w:line="174" w:lineRule="exact"/>
              <w:rPr>
                <w:sz w:val="20"/>
                <w:szCs w:val="20"/>
                <w:color w:val="auto"/>
              </w:rPr>
            </w:pPr>
            <w:r>
              <w:rPr>
                <w:rFonts w:ascii="Arial" w:cs="Arial" w:eastAsia="Arial" w:hAnsi="Arial"/>
                <w:sz w:val="18"/>
                <w:szCs w:val="18"/>
                <w:b w:val="1"/>
                <w:bCs w:val="1"/>
                <w:color w:val="auto"/>
              </w:rPr>
              <w:t>into Net income (loss), Net of Income Tax (Expense)</w:t>
            </w:r>
          </w:p>
        </w:tc>
        <w:tc>
          <w:tcPr>
            <w:tcW w:w="280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Location</w:t>
            </w:r>
          </w:p>
        </w:tc>
        <w:tc>
          <w:tcPr>
            <w:tcW w:w="0" w:type="dxa"/>
            <w:vAlign w:val="bottom"/>
          </w:tcPr>
          <w:p>
            <w:pPr>
              <w:spacing w:after="0"/>
              <w:rPr>
                <w:sz w:val="1"/>
                <w:szCs w:val="1"/>
                <w:color w:val="auto"/>
              </w:rPr>
            </w:pPr>
          </w:p>
        </w:tc>
      </w:tr>
      <w:tr>
        <w:trPr>
          <w:trHeight w:val="227"/>
        </w:trPr>
        <w:tc>
          <w:tcPr>
            <w:tcW w:w="44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Benefit</w:t>
            </w:r>
          </w:p>
        </w:tc>
        <w:tc>
          <w:tcPr>
            <w:tcW w:w="120" w:type="dxa"/>
            <w:vAlign w:val="bottom"/>
          </w:tcPr>
          <w:p>
            <w:pPr>
              <w:spacing w:after="0"/>
              <w:rPr>
                <w:sz w:val="19"/>
                <w:szCs w:val="19"/>
                <w:color w:val="auto"/>
              </w:rPr>
            </w:pPr>
          </w:p>
        </w:tc>
        <w:tc>
          <w:tcPr>
            <w:tcW w:w="28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4560" w:type="dxa"/>
            <w:vAlign w:val="bottom"/>
            <w:gridSpan w:val="2"/>
          </w:tcPr>
          <w:p>
            <w:pPr>
              <w:ind w:left="20"/>
              <w:spacing w:after="0"/>
              <w:rPr>
                <w:sz w:val="20"/>
                <w:szCs w:val="20"/>
                <w:color w:val="auto"/>
              </w:rPr>
            </w:pPr>
            <w:r>
              <w:rPr>
                <w:rFonts w:ascii="Arial" w:cs="Arial" w:eastAsia="Arial" w:hAnsi="Arial"/>
                <w:sz w:val="18"/>
                <w:szCs w:val="18"/>
                <w:color w:val="auto"/>
              </w:rPr>
              <w:t>Commodity contracts</w:t>
            </w:r>
          </w:p>
        </w:tc>
        <w:tc>
          <w:tcPr>
            <w:tcW w:w="2800" w:type="dxa"/>
            <w:vAlign w:val="bottom"/>
          </w:tcPr>
          <w:p>
            <w:pPr>
              <w:ind w:left="20"/>
              <w:spacing w:after="0"/>
              <w:rPr>
                <w:sz w:val="20"/>
                <w:szCs w:val="20"/>
                <w:color w:val="auto"/>
              </w:rPr>
            </w:pPr>
            <w:r>
              <w:rPr>
                <w:rFonts w:ascii="Arial" w:cs="Arial" w:eastAsia="Arial" w:hAnsi="Arial"/>
                <w:sz w:val="18"/>
                <w:szCs w:val="18"/>
                <w:color w:val="auto"/>
              </w:rPr>
              <w:t>Revenue</w:t>
            </w:r>
          </w:p>
        </w:tc>
        <w:tc>
          <w:tcPr>
            <w:tcW w:w="0" w:type="dxa"/>
            <w:vAlign w:val="bottom"/>
          </w:tcPr>
          <w:p>
            <w:pPr>
              <w:spacing w:after="0"/>
              <w:rPr>
                <w:sz w:val="1"/>
                <w:szCs w:val="1"/>
                <w:color w:val="auto"/>
              </w:rPr>
            </w:pPr>
          </w:p>
        </w:tc>
      </w:tr>
      <w:tr>
        <w:trPr>
          <w:trHeight w:val="227"/>
        </w:trPr>
        <w:tc>
          <w:tcPr>
            <w:tcW w:w="4560" w:type="dxa"/>
            <w:vAlign w:val="bottom"/>
            <w:gridSpan w:val="2"/>
          </w:tcPr>
          <w:p>
            <w:pPr>
              <w:ind w:left="20"/>
              <w:spacing w:after="0"/>
              <w:rPr>
                <w:sz w:val="20"/>
                <w:szCs w:val="20"/>
                <w:color w:val="auto"/>
              </w:rPr>
            </w:pPr>
            <w:r>
              <w:rPr>
                <w:rFonts w:ascii="Arial" w:cs="Arial" w:eastAsia="Arial" w:hAnsi="Arial"/>
                <w:sz w:val="18"/>
                <w:szCs w:val="18"/>
                <w:color w:val="auto"/>
              </w:rPr>
              <w:t>Commodity contracts</w:t>
            </w:r>
          </w:p>
        </w:tc>
        <w:tc>
          <w:tcPr>
            <w:tcW w:w="2800" w:type="dxa"/>
            <w:vAlign w:val="bottom"/>
          </w:tcPr>
          <w:p>
            <w:pPr>
              <w:ind w:left="20"/>
              <w:spacing w:after="0"/>
              <w:rPr>
                <w:sz w:val="20"/>
                <w:szCs w:val="20"/>
                <w:color w:val="auto"/>
              </w:rPr>
            </w:pPr>
            <w:r>
              <w:rPr>
                <w:rFonts w:ascii="Arial" w:cs="Arial" w:eastAsia="Arial" w:hAnsi="Arial"/>
                <w:sz w:val="18"/>
                <w:szCs w:val="18"/>
                <w:color w:val="auto"/>
              </w:rPr>
              <w:t>Cost of revenue</w:t>
            </w:r>
          </w:p>
        </w:tc>
        <w:tc>
          <w:tcPr>
            <w:tcW w:w="0" w:type="dxa"/>
            <w:vAlign w:val="bottom"/>
          </w:tcPr>
          <w:p>
            <w:pPr>
              <w:spacing w:after="0"/>
              <w:rPr>
                <w:sz w:val="1"/>
                <w:szCs w:val="1"/>
                <w:color w:val="auto"/>
              </w:rPr>
            </w:pPr>
          </w:p>
        </w:tc>
      </w:tr>
      <w:tr>
        <w:trPr>
          <w:trHeight w:val="187"/>
        </w:trPr>
        <w:tc>
          <w:tcPr>
            <w:tcW w:w="4560" w:type="dxa"/>
            <w:vAlign w:val="bottom"/>
            <w:gridSpan w:val="2"/>
            <w:vMerge w:val="restart"/>
          </w:tcPr>
          <w:p>
            <w:pPr>
              <w:ind w:left="20"/>
              <w:spacing w:after="0"/>
              <w:rPr>
                <w:sz w:val="20"/>
                <w:szCs w:val="20"/>
                <w:color w:val="auto"/>
              </w:rPr>
            </w:pPr>
            <w:r>
              <w:rPr>
                <w:rFonts w:ascii="Arial" w:cs="Arial" w:eastAsia="Arial" w:hAnsi="Arial"/>
                <w:sz w:val="18"/>
                <w:szCs w:val="18"/>
                <w:color w:val="auto"/>
              </w:rPr>
              <w:t>Interest rate contracts</w:t>
            </w:r>
          </w:p>
        </w:tc>
        <w:tc>
          <w:tcPr>
            <w:tcW w:w="2800" w:type="dxa"/>
            <w:vAlign w:val="bottom"/>
          </w:tcPr>
          <w:p>
            <w:pPr>
              <w:ind w:left="20"/>
              <w:spacing w:after="0" w:line="188" w:lineRule="exact"/>
              <w:rPr>
                <w:sz w:val="20"/>
                <w:szCs w:val="20"/>
                <w:color w:val="auto"/>
              </w:rPr>
            </w:pPr>
            <w:r>
              <w:rPr>
                <w:rFonts w:ascii="Arial" w:cs="Arial" w:eastAsia="Arial" w:hAnsi="Arial"/>
                <w:sz w:val="18"/>
                <w:szCs w:val="18"/>
                <w:color w:val="auto"/>
              </w:rPr>
              <w:t>Interest expense and other</w:t>
            </w:r>
          </w:p>
        </w:tc>
        <w:tc>
          <w:tcPr>
            <w:tcW w:w="0" w:type="dxa"/>
            <w:vAlign w:val="bottom"/>
          </w:tcPr>
          <w:p>
            <w:pPr>
              <w:spacing w:after="0"/>
              <w:rPr>
                <w:sz w:val="1"/>
                <w:szCs w:val="1"/>
                <w:color w:val="auto"/>
              </w:rPr>
            </w:pPr>
          </w:p>
        </w:tc>
      </w:tr>
      <w:tr>
        <w:trPr>
          <w:trHeight w:val="120"/>
        </w:trPr>
        <w:tc>
          <w:tcPr>
            <w:tcW w:w="4560" w:type="dxa"/>
            <w:vAlign w:val="bottom"/>
            <w:gridSpan w:val="2"/>
            <w:vMerge w:val="continue"/>
          </w:tcPr>
          <w:p>
            <w:pPr>
              <w:spacing w:after="0"/>
              <w:rPr>
                <w:sz w:val="10"/>
                <w:szCs w:val="10"/>
                <w:color w:val="auto"/>
              </w:rPr>
            </w:pPr>
          </w:p>
        </w:tc>
        <w:tc>
          <w:tcPr>
            <w:tcW w:w="2800" w:type="dxa"/>
            <w:vAlign w:val="bottom"/>
            <w:vMerge w:val="restart"/>
          </w:tcPr>
          <w:p>
            <w:pPr>
              <w:ind w:left="20"/>
              <w:spacing w:after="0"/>
              <w:rPr>
                <w:sz w:val="20"/>
                <w:szCs w:val="20"/>
                <w:color w:val="auto"/>
              </w:rPr>
            </w:pPr>
            <w:r>
              <w:rPr>
                <w:rFonts w:ascii="Arial" w:cs="Arial" w:eastAsia="Arial" w:hAnsi="Arial"/>
                <w:sz w:val="18"/>
                <w:szCs w:val="18"/>
                <w:color w:val="auto"/>
              </w:rPr>
              <w:t>financing costs, net</w:t>
            </w:r>
          </w:p>
        </w:tc>
        <w:tc>
          <w:tcPr>
            <w:tcW w:w="0" w:type="dxa"/>
            <w:vAlign w:val="bottom"/>
          </w:tcPr>
          <w:p>
            <w:pPr>
              <w:spacing w:after="0"/>
              <w:rPr>
                <w:sz w:val="1"/>
                <w:szCs w:val="1"/>
                <w:color w:val="auto"/>
              </w:rPr>
            </w:pPr>
          </w:p>
        </w:tc>
      </w:tr>
      <w:tr>
        <w:trPr>
          <w:trHeight w:val="93"/>
        </w:trPr>
        <w:tc>
          <w:tcPr>
            <w:tcW w:w="4440" w:type="dxa"/>
            <w:vAlign w:val="bottom"/>
          </w:tcPr>
          <w:p>
            <w:pPr>
              <w:spacing w:after="0"/>
              <w:rPr>
                <w:sz w:val="8"/>
                <w:szCs w:val="8"/>
                <w:color w:val="auto"/>
              </w:rPr>
            </w:pPr>
          </w:p>
        </w:tc>
        <w:tc>
          <w:tcPr>
            <w:tcW w:w="120" w:type="dxa"/>
            <w:vAlign w:val="bottom"/>
          </w:tcPr>
          <w:p>
            <w:pPr>
              <w:spacing w:after="0"/>
              <w:rPr>
                <w:sz w:val="8"/>
                <w:szCs w:val="8"/>
                <w:color w:val="auto"/>
              </w:rPr>
            </w:pPr>
          </w:p>
        </w:tc>
        <w:tc>
          <w:tcPr>
            <w:tcW w:w="28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67"/>
        </w:trPr>
        <w:tc>
          <w:tcPr>
            <w:tcW w:w="4560" w:type="dxa"/>
            <w:vAlign w:val="bottom"/>
            <w:gridSpan w:val="2"/>
          </w:tcPr>
          <w:p>
            <w:pPr>
              <w:ind w:left="20"/>
              <w:spacing w:after="0"/>
              <w:rPr>
                <w:sz w:val="20"/>
                <w:szCs w:val="20"/>
                <w:color w:val="auto"/>
              </w:rPr>
            </w:pPr>
            <w:r>
              <w:rPr>
                <w:rFonts w:ascii="Arial" w:cs="Arial" w:eastAsia="Arial" w:hAnsi="Arial"/>
                <w:sz w:val="18"/>
                <w:szCs w:val="18"/>
                <w:color w:val="auto"/>
              </w:rPr>
              <w:t>Total gain (loss)</w:t>
            </w:r>
          </w:p>
        </w:tc>
        <w:tc>
          <w:tcPr>
            <w:tcW w:w="280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-718820</wp:posOffset>
            </wp:positionV>
            <wp:extent cx="7134225" cy="152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4225" cy="15240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-422275</wp:posOffset>
            </wp:positionV>
            <wp:extent cx="7134225" cy="2540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4225" cy="25400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99"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For the 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18415</wp:posOffset>
            </wp:positionV>
            <wp:extent cx="23044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304415" cy="8255"/>
                    </a:xfrm>
                    <a:prstGeom prst="rect">
                      <a:avLst/>
                    </a:prstGeom>
                    <a:noFill/>
                  </pic:spPr>
                </pic:pic>
              </a:graphicData>
            </a:graphic>
          </wp:anchor>
        </w:drawing>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3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91"/>
              <w:spacing w:after="0"/>
              <w:rPr>
                <w:sz w:val="20"/>
                <w:szCs w:val="20"/>
                <w:color w:val="auto"/>
              </w:rPr>
            </w:pPr>
            <w:r>
              <w:rPr>
                <w:rFonts w:ascii="Arial" w:cs="Arial" w:eastAsia="Arial" w:hAnsi="Arial"/>
                <w:sz w:val="18"/>
                <w:szCs w:val="18"/>
                <w:b w:val="1"/>
                <w:bCs w:val="1"/>
                <w:color w:val="auto"/>
              </w:rPr>
              <w:t>2022</w:t>
            </w:r>
          </w:p>
        </w:tc>
        <w:tc>
          <w:tcPr>
            <w:tcW w:w="14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91"/>
              <w:spacing w:after="0"/>
              <w:rPr>
                <w:sz w:val="20"/>
                <w:szCs w:val="20"/>
                <w:color w:val="auto"/>
              </w:rPr>
            </w:pPr>
            <w:r>
              <w:rPr>
                <w:rFonts w:ascii="Arial" w:cs="Arial" w:eastAsia="Arial" w:hAnsi="Arial"/>
                <w:sz w:val="18"/>
                <w:szCs w:val="18"/>
                <w:b w:val="1"/>
                <w:bCs w:val="1"/>
                <w:color w:val="auto"/>
              </w:rPr>
              <w:t>2021</w:t>
            </w:r>
          </w:p>
        </w:tc>
      </w:tr>
      <w:tr>
        <w:trPr>
          <w:trHeight w:val="219"/>
        </w:trPr>
        <w:tc>
          <w:tcPr>
            <w:tcW w:w="380" w:type="dxa"/>
            <w:vAlign w:val="bottom"/>
          </w:tcPr>
          <w:p>
            <w:pPr>
              <w:jc w:val="right"/>
              <w:ind w:right="191"/>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(52.7)</w:t>
            </w:r>
          </w:p>
        </w:tc>
        <w:tc>
          <w:tcPr>
            <w:tcW w:w="140" w:type="dxa"/>
            <w:vAlign w:val="bottom"/>
          </w:tcPr>
          <w:p>
            <w:pPr>
              <w:spacing w:after="0"/>
              <w:rPr>
                <w:sz w:val="19"/>
                <w:szCs w:val="19"/>
                <w:color w:val="auto"/>
              </w:rPr>
            </w:pPr>
          </w:p>
        </w:tc>
        <w:tc>
          <w:tcPr>
            <w:tcW w:w="380" w:type="dxa"/>
            <w:vAlign w:val="bottom"/>
          </w:tcPr>
          <w:p>
            <w:pPr>
              <w:jc w:val="right"/>
              <w:ind w:right="171"/>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(62.8)</w:t>
            </w:r>
          </w:p>
        </w:tc>
      </w:tr>
      <w:tr>
        <w:trPr>
          <w:trHeight w:val="227"/>
        </w:trPr>
        <w:tc>
          <w:tcPr>
            <w:tcW w:w="380" w:type="dxa"/>
            <w:vAlign w:val="bottom"/>
          </w:tcPr>
          <w:p>
            <w:pPr>
              <w:spacing w:after="0"/>
              <w:rPr>
                <w:sz w:val="19"/>
                <w:szCs w:val="19"/>
                <w:color w:val="auto"/>
              </w:rPr>
            </w:pPr>
          </w:p>
        </w:tc>
        <w:tc>
          <w:tcPr>
            <w:tcW w:w="15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84.6</w:t>
            </w:r>
          </w:p>
        </w:tc>
      </w:tr>
      <w:tr>
        <w:trPr>
          <w:trHeight w:val="228"/>
        </w:trPr>
        <w:tc>
          <w:tcPr>
            <w:tcW w:w="3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w:t>
            </w:r>
          </w:p>
        </w:tc>
        <w:tc>
          <w:tcPr>
            <w:tcW w:w="14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w:t>
            </w:r>
          </w:p>
        </w:tc>
      </w:tr>
      <w:tr>
        <w:trPr>
          <w:trHeight w:val="220"/>
        </w:trPr>
        <w:tc>
          <w:tcPr>
            <w:tcW w:w="380" w:type="dxa"/>
            <w:vAlign w:val="bottom"/>
            <w:tcBorders>
              <w:bottom w:val="single" w:sz="8" w:color="auto"/>
            </w:tcBorders>
          </w:tcPr>
          <w:p>
            <w:pPr>
              <w:jc w:val="right"/>
              <w:ind w:right="191"/>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(44.1)</w:t>
            </w:r>
          </w:p>
        </w:tc>
        <w:tc>
          <w:tcPr>
            <w:tcW w:w="140" w:type="dxa"/>
            <w:vAlign w:val="bottom"/>
          </w:tcPr>
          <w:p>
            <w:pPr>
              <w:spacing w:after="0"/>
              <w:rPr>
                <w:sz w:val="19"/>
                <w:szCs w:val="19"/>
                <w:color w:val="auto"/>
              </w:rPr>
            </w:pPr>
          </w:p>
        </w:tc>
        <w:tc>
          <w:tcPr>
            <w:tcW w:w="380" w:type="dxa"/>
            <w:vAlign w:val="bottom"/>
            <w:tcBorders>
              <w:bottom w:val="single" w:sz="8" w:color="auto"/>
            </w:tcBorders>
          </w:tcPr>
          <w:p>
            <w:pPr>
              <w:jc w:val="right"/>
              <w:ind w:right="171"/>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25.5</w:t>
            </w:r>
          </w:p>
        </w:tc>
      </w:tr>
      <w:tr>
        <w:trPr>
          <w:trHeight w:val="21"/>
        </w:trPr>
        <w:tc>
          <w:tcPr>
            <w:tcW w:w="3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24" w:lineRule="exact"/>
        <w:rPr>
          <w:sz w:val="20"/>
          <w:szCs w:val="20"/>
          <w:color w:val="auto"/>
        </w:rPr>
      </w:pPr>
    </w:p>
    <w:p>
      <w:pPr>
        <w:ind w:left="160"/>
        <w:spacing w:after="0"/>
        <w:rPr>
          <w:sz w:val="20"/>
          <w:szCs w:val="20"/>
          <w:color w:val="auto"/>
        </w:rPr>
      </w:pPr>
      <w:r>
        <w:rPr>
          <w:rFonts w:ascii="Arial" w:cs="Arial" w:eastAsia="Arial" w:hAnsi="Arial"/>
          <w:sz w:val="18"/>
          <w:szCs w:val="18"/>
          <w:b w:val="1"/>
          <w:bCs w:val="1"/>
          <w:color w:val="auto"/>
        </w:rPr>
        <w:t>For the 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18415</wp:posOffset>
            </wp:positionV>
            <wp:extent cx="230441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304415" cy="8255"/>
                    </a:xfrm>
                    <a:prstGeom prst="rect">
                      <a:avLst/>
                    </a:prstGeom>
                    <a:noFill/>
                  </pic:spPr>
                </pic:pic>
              </a:graphicData>
            </a:graphic>
          </wp:anchor>
        </w:drawing>
      </w:r>
    </w:p>
    <w:p>
      <w:pPr>
        <w:spacing w:after="0" w:line="40"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3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91"/>
              <w:spacing w:after="0"/>
              <w:rPr>
                <w:sz w:val="20"/>
                <w:szCs w:val="20"/>
                <w:color w:val="auto"/>
              </w:rPr>
            </w:pPr>
            <w:r>
              <w:rPr>
                <w:rFonts w:ascii="Arial" w:cs="Arial" w:eastAsia="Arial" w:hAnsi="Arial"/>
                <w:sz w:val="18"/>
                <w:szCs w:val="18"/>
                <w:b w:val="1"/>
                <w:bCs w:val="1"/>
                <w:color w:val="auto"/>
              </w:rPr>
              <w:t>2022</w:t>
            </w:r>
          </w:p>
        </w:tc>
        <w:tc>
          <w:tcPr>
            <w:tcW w:w="14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591"/>
              <w:spacing w:after="0"/>
              <w:rPr>
                <w:sz w:val="20"/>
                <w:szCs w:val="20"/>
                <w:color w:val="auto"/>
              </w:rPr>
            </w:pPr>
            <w:r>
              <w:rPr>
                <w:rFonts w:ascii="Arial" w:cs="Arial" w:eastAsia="Arial" w:hAnsi="Arial"/>
                <w:sz w:val="18"/>
                <w:szCs w:val="18"/>
                <w:b w:val="1"/>
                <w:bCs w:val="1"/>
                <w:color w:val="auto"/>
              </w:rPr>
              <w:t>2021</w:t>
            </w:r>
          </w:p>
        </w:tc>
      </w:tr>
      <w:tr>
        <w:trPr>
          <w:trHeight w:val="219"/>
        </w:trPr>
        <w:tc>
          <w:tcPr>
            <w:tcW w:w="380" w:type="dxa"/>
            <w:vAlign w:val="bottom"/>
          </w:tcPr>
          <w:p>
            <w:pPr>
              <w:jc w:val="right"/>
              <w:ind w:right="191"/>
              <w:spacing w:after="0"/>
              <w:rPr>
                <w:sz w:val="20"/>
                <w:szCs w:val="20"/>
                <w:color w:val="auto"/>
              </w:rPr>
            </w:pPr>
            <w:r>
              <w:rPr>
                <w:rFonts w:ascii="Arial" w:cs="Arial" w:eastAsia="Arial" w:hAnsi="Arial"/>
                <w:sz w:val="18"/>
                <w:szCs w:val="18"/>
                <w:color w:val="auto"/>
                <w:w w:val="7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(24.6)</w:t>
            </w:r>
          </w:p>
        </w:tc>
        <w:tc>
          <w:tcPr>
            <w:tcW w:w="140" w:type="dxa"/>
            <w:vAlign w:val="bottom"/>
          </w:tcPr>
          <w:p>
            <w:pPr>
              <w:spacing w:after="0"/>
              <w:rPr>
                <w:sz w:val="19"/>
                <w:szCs w:val="19"/>
                <w:color w:val="auto"/>
              </w:rPr>
            </w:pPr>
          </w:p>
        </w:tc>
        <w:tc>
          <w:tcPr>
            <w:tcW w:w="380" w:type="dxa"/>
            <w:vAlign w:val="bottom"/>
          </w:tcPr>
          <w:p>
            <w:pPr>
              <w:jc w:val="right"/>
              <w:ind w:right="171"/>
              <w:spacing w:after="0"/>
              <w:rPr>
                <w:sz w:val="20"/>
                <w:szCs w:val="20"/>
                <w:color w:val="auto"/>
              </w:rPr>
            </w:pPr>
            <w:r>
              <w:rPr>
                <w:rFonts w:ascii="Arial" w:cs="Arial" w:eastAsia="Arial" w:hAnsi="Arial"/>
                <w:sz w:val="18"/>
                <w:szCs w:val="18"/>
                <w:color w:val="auto"/>
                <w:w w:val="99"/>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(11.7)</w:t>
            </w:r>
          </w:p>
        </w:tc>
      </w:tr>
      <w:tr>
        <w:trPr>
          <w:trHeight w:val="227"/>
        </w:trPr>
        <w:tc>
          <w:tcPr>
            <w:tcW w:w="380" w:type="dxa"/>
            <w:vAlign w:val="bottom"/>
          </w:tcPr>
          <w:p>
            <w:pPr>
              <w:spacing w:after="0"/>
              <w:rPr>
                <w:sz w:val="19"/>
                <w:szCs w:val="19"/>
                <w:color w:val="auto"/>
              </w:rPr>
            </w:pPr>
          </w:p>
        </w:tc>
        <w:tc>
          <w:tcPr>
            <w:tcW w:w="1500" w:type="dxa"/>
            <w:vAlign w:val="bottom"/>
            <w:gridSpan w:val="2"/>
          </w:tcPr>
          <w:p>
            <w:pPr>
              <w:ind w:left="11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21.0</w:t>
            </w:r>
          </w:p>
        </w:tc>
      </w:tr>
      <w:tr>
        <w:trPr>
          <w:trHeight w:val="401"/>
        </w:trPr>
        <w:tc>
          <w:tcPr>
            <w:tcW w:w="3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w:t>
            </w:r>
          </w:p>
        </w:tc>
        <w:tc>
          <w:tcPr>
            <w:tcW w:w="140" w:type="dxa"/>
            <w:vAlign w:val="bottom"/>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(0.2)</w:t>
            </w:r>
          </w:p>
        </w:tc>
      </w:tr>
      <w:tr>
        <w:trPr>
          <w:trHeight w:val="220"/>
        </w:trPr>
        <w:tc>
          <w:tcPr>
            <w:tcW w:w="380" w:type="dxa"/>
            <w:vAlign w:val="bottom"/>
            <w:tcBorders>
              <w:bottom w:val="single" w:sz="8" w:color="auto"/>
            </w:tcBorders>
          </w:tcPr>
          <w:p>
            <w:pPr>
              <w:jc w:val="right"/>
              <w:ind w:right="191"/>
              <w:spacing w:after="0"/>
              <w:rPr>
                <w:sz w:val="20"/>
                <w:szCs w:val="20"/>
                <w:color w:val="auto"/>
              </w:rPr>
            </w:pPr>
            <w:r>
              <w:rPr>
                <w:rFonts w:ascii="Arial" w:cs="Arial" w:eastAsia="Arial" w:hAnsi="Arial"/>
                <w:sz w:val="18"/>
                <w:szCs w:val="18"/>
                <w:color w:val="auto"/>
                <w:w w:val="7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(24.8)</w:t>
            </w:r>
          </w:p>
        </w:tc>
        <w:tc>
          <w:tcPr>
            <w:tcW w:w="140" w:type="dxa"/>
            <w:vAlign w:val="bottom"/>
          </w:tcPr>
          <w:p>
            <w:pPr>
              <w:spacing w:after="0"/>
              <w:rPr>
                <w:sz w:val="19"/>
                <w:szCs w:val="19"/>
                <w:color w:val="auto"/>
              </w:rPr>
            </w:pPr>
          </w:p>
        </w:tc>
        <w:tc>
          <w:tcPr>
            <w:tcW w:w="380" w:type="dxa"/>
            <w:vAlign w:val="bottom"/>
            <w:tcBorders>
              <w:bottom w:val="single" w:sz="8" w:color="auto"/>
            </w:tcBorders>
          </w:tcPr>
          <w:p>
            <w:pPr>
              <w:jc w:val="right"/>
              <w:ind w:right="171"/>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w:t>
            </w:r>
          </w:p>
        </w:tc>
      </w:tr>
      <w:tr>
        <w:trPr>
          <w:trHeight w:val="21"/>
        </w:trPr>
        <w:tc>
          <w:tcPr>
            <w:tcW w:w="3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360" w:space="260"/>
            <w:col w:w="3620"/>
          </w:cols>
          <w:pgMar w:left="320" w:top="1113" w:right="339" w:bottom="1440" w:gutter="0" w:footer="0" w:header="0"/>
          <w:type w:val="continuous"/>
        </w:sectPr>
      </w:pP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Derivatives Not Designated as Hedging Instruments</w:t>
      </w:r>
    </w:p>
    <w:p>
      <w:pPr>
        <w:spacing w:after="0" w:line="6" w:lineRule="exact"/>
        <w:rPr>
          <w:sz w:val="20"/>
          <w:szCs w:val="20"/>
          <w:color w:val="auto"/>
        </w:rPr>
      </w:pPr>
    </w:p>
    <w:p>
      <w:pPr>
        <w:jc w:val="both"/>
        <w:spacing w:after="0" w:line="250" w:lineRule="auto"/>
        <w:rPr>
          <w:sz w:val="20"/>
          <w:szCs w:val="20"/>
          <w:color w:val="auto"/>
        </w:rPr>
      </w:pPr>
      <w:r>
        <w:rPr>
          <w:rFonts w:ascii="Arial" w:cs="Arial" w:eastAsia="Arial" w:hAnsi="Arial"/>
          <w:sz w:val="18"/>
          <w:szCs w:val="18"/>
          <w:color w:val="auto"/>
        </w:rPr>
        <w:t>The following table presents the amount and financial statement location in our Condensed Consolidated Statements of Income and Comprehensive Income of realized and unrealized gains (losses) recognized on derivative instruments not designated as hedging instruments (in millions):</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490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Derivative Instruments - Non-designated</w:t>
            </w:r>
          </w:p>
        </w:tc>
        <w:tc>
          <w:tcPr>
            <w:tcW w:w="140" w:type="dxa"/>
            <w:vAlign w:val="bottom"/>
            <w:vMerge w:val="restart"/>
          </w:tcPr>
          <w:p>
            <w:pPr>
              <w:spacing w:after="0"/>
              <w:rPr>
                <w:sz w:val="20"/>
                <w:szCs w:val="20"/>
                <w:color w:val="auto"/>
              </w:rPr>
            </w:pPr>
          </w:p>
        </w:tc>
        <w:tc>
          <w:tcPr>
            <w:tcW w:w="240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Location</w:t>
            </w:r>
          </w:p>
        </w:tc>
        <w:tc>
          <w:tcPr>
            <w:tcW w:w="140" w:type="dxa"/>
            <w:vAlign w:val="bottom"/>
            <w:vMerge w:val="restart"/>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3520" w:type="dxa"/>
            <w:vAlign w:val="bottom"/>
            <w:tcBorders>
              <w:bottom w:val="single" w:sz="8" w:color="auto"/>
            </w:tcBorders>
            <w:gridSpan w:val="4"/>
          </w:tcPr>
          <w:p>
            <w:pPr>
              <w:jc w:val="right"/>
              <w:ind w:right="111"/>
              <w:spacing w:after="0"/>
              <w:rPr>
                <w:sz w:val="20"/>
                <w:szCs w:val="20"/>
                <w:color w:val="auto"/>
              </w:rPr>
            </w:pPr>
            <w:r>
              <w:rPr>
                <w:rFonts w:ascii="Arial" w:cs="Arial" w:eastAsia="Arial" w:hAnsi="Arial"/>
                <w:sz w:val="18"/>
                <w:szCs w:val="18"/>
                <w:b w:val="1"/>
                <w:bCs w:val="1"/>
                <w:color w:val="auto"/>
                <w:w w:val="99"/>
              </w:rPr>
              <w:t>For the Three Months Ended March 31,</w:t>
            </w:r>
          </w:p>
        </w:tc>
        <w:tc>
          <w:tcPr>
            <w:tcW w:w="0" w:type="dxa"/>
            <w:vAlign w:val="bottom"/>
          </w:tcPr>
          <w:p>
            <w:pPr>
              <w:spacing w:after="0"/>
              <w:rPr>
                <w:sz w:val="1"/>
                <w:szCs w:val="1"/>
                <w:color w:val="auto"/>
              </w:rPr>
            </w:pPr>
          </w:p>
        </w:tc>
      </w:tr>
      <w:tr>
        <w:trPr>
          <w:trHeight w:val="221"/>
        </w:trPr>
        <w:tc>
          <w:tcPr>
            <w:tcW w:w="490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CCEEFF"/>
            </w:tcBorders>
            <w:vMerge w:val="continue"/>
          </w:tcPr>
          <w:p>
            <w:pPr>
              <w:spacing w:after="0"/>
              <w:rPr>
                <w:sz w:val="19"/>
                <w:szCs w:val="19"/>
                <w:color w:val="auto"/>
              </w:rPr>
            </w:pPr>
          </w:p>
        </w:tc>
        <w:tc>
          <w:tcPr>
            <w:tcW w:w="240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CCEEFF"/>
            </w:tcBorders>
            <w:vMerge w:val="continue"/>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ind w:right="591"/>
              <w:spacing w:after="0"/>
              <w:rPr>
                <w:sz w:val="20"/>
                <w:szCs w:val="20"/>
                <w:color w:val="auto"/>
              </w:rPr>
            </w:pPr>
            <w:r>
              <w:rPr>
                <w:rFonts w:ascii="Arial" w:cs="Arial" w:eastAsia="Arial" w:hAnsi="Arial"/>
                <w:sz w:val="18"/>
                <w:szCs w:val="18"/>
                <w:b w:val="1"/>
                <w:bCs w:val="1"/>
                <w:color w:val="auto"/>
              </w:rPr>
              <w:t>2022</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ind w:right="591"/>
              <w:spacing w:after="0"/>
              <w:rPr>
                <w:sz w:val="20"/>
                <w:szCs w:val="20"/>
                <w:color w:val="auto"/>
              </w:rPr>
            </w:pPr>
            <w:r>
              <w:rPr>
                <w:rFonts w:ascii="Arial" w:cs="Arial" w:eastAsia="Arial" w:hAnsi="Arial"/>
                <w:sz w:val="18"/>
                <w:szCs w:val="18"/>
                <w:b w:val="1"/>
                <w:bCs w:val="1"/>
                <w:color w:val="auto"/>
              </w:rPr>
              <w:t>2021</w:t>
            </w:r>
          </w:p>
        </w:tc>
        <w:tc>
          <w:tcPr>
            <w:tcW w:w="0" w:type="dxa"/>
            <w:vAlign w:val="bottom"/>
          </w:tcPr>
          <w:p>
            <w:pPr>
              <w:spacing w:after="0"/>
              <w:rPr>
                <w:sz w:val="1"/>
                <w:szCs w:val="1"/>
                <w:color w:val="auto"/>
              </w:rPr>
            </w:pPr>
          </w:p>
        </w:tc>
      </w:tr>
      <w:tr>
        <w:trPr>
          <w:trHeight w:val="220"/>
        </w:trPr>
        <w:tc>
          <w:tcPr>
            <w:tcW w:w="50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Commodity contracts</w:t>
            </w:r>
          </w:p>
        </w:tc>
        <w:tc>
          <w:tcPr>
            <w:tcW w:w="2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76.9</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(303.8)</w:t>
            </w:r>
          </w:p>
        </w:tc>
        <w:tc>
          <w:tcPr>
            <w:tcW w:w="0" w:type="dxa"/>
            <w:vAlign w:val="bottom"/>
          </w:tcPr>
          <w:p>
            <w:pPr>
              <w:spacing w:after="0"/>
              <w:rPr>
                <w:sz w:val="1"/>
                <w:szCs w:val="1"/>
                <w:color w:val="auto"/>
              </w:rPr>
            </w:pPr>
          </w:p>
        </w:tc>
      </w:tr>
      <w:tr>
        <w:trPr>
          <w:trHeight w:val="226"/>
        </w:trPr>
        <w:tc>
          <w:tcPr>
            <w:tcW w:w="490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2540" w:type="dxa"/>
            <w:vAlign w:val="bottom"/>
            <w:tcBorders>
              <w:bottom w:val="single" w:sz="8" w:color="CCEEFF"/>
            </w:tcBorders>
            <w:gridSpan w:val="2"/>
          </w:tcPr>
          <w:p>
            <w:pPr>
              <w:ind w:left="20"/>
              <w:spacing w:after="0"/>
              <w:rPr>
                <w:sz w:val="20"/>
                <w:szCs w:val="20"/>
                <w:color w:val="auto"/>
              </w:rPr>
            </w:pPr>
            <w:r>
              <w:rPr>
                <w:rFonts w:ascii="Arial" w:cs="Arial" w:eastAsia="Arial" w:hAnsi="Arial"/>
                <w:sz w:val="18"/>
                <w:szCs w:val="18"/>
                <w:color w:val="auto"/>
              </w:rPr>
              <w:t>Cost of revenue</w:t>
            </w:r>
          </w:p>
        </w:tc>
        <w:tc>
          <w:tcPr>
            <w:tcW w:w="14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(6.4)</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313.0</w:t>
            </w:r>
          </w:p>
        </w:tc>
        <w:tc>
          <w:tcPr>
            <w:tcW w:w="0" w:type="dxa"/>
            <w:vAlign w:val="bottom"/>
          </w:tcPr>
          <w:p>
            <w:pPr>
              <w:spacing w:after="0"/>
              <w:rPr>
                <w:sz w:val="1"/>
                <w:szCs w:val="1"/>
                <w:color w:val="auto"/>
              </w:rPr>
            </w:pPr>
          </w:p>
        </w:tc>
      </w:tr>
      <w:tr>
        <w:trPr>
          <w:trHeight w:val="221"/>
        </w:trPr>
        <w:tc>
          <w:tcPr>
            <w:tcW w:w="4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4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70.5</w:t>
            </w: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9"/>
        </w:trPr>
        <w:tc>
          <w:tcPr>
            <w:tcW w:w="5040" w:type="dxa"/>
            <w:vAlign w:val="bottom"/>
            <w:gridSpan w:val="2"/>
          </w:tcPr>
          <w:p>
            <w:pPr>
              <w:ind w:left="20"/>
              <w:spacing w:after="0" w:line="206" w:lineRule="exact"/>
              <w:rPr>
                <w:sz w:val="20"/>
                <w:szCs w:val="20"/>
                <w:color w:val="auto"/>
              </w:rPr>
            </w:pPr>
            <w:r>
              <w:rPr>
                <w:rFonts w:ascii="Arial" w:cs="Arial" w:eastAsia="Arial" w:hAnsi="Arial"/>
                <w:sz w:val="18"/>
                <w:szCs w:val="18"/>
                <w:color w:val="auto"/>
              </w:rPr>
              <w:t>Foreign currency contracts</w:t>
            </w:r>
          </w:p>
        </w:tc>
        <w:tc>
          <w:tcPr>
            <w:tcW w:w="2540" w:type="dxa"/>
            <w:vAlign w:val="bottom"/>
            <w:gridSpan w:val="2"/>
          </w:tcPr>
          <w:p>
            <w:pPr>
              <w:ind w:left="20"/>
              <w:spacing w:after="0" w:line="206" w:lineRule="exact"/>
              <w:rPr>
                <w:sz w:val="20"/>
                <w:szCs w:val="20"/>
                <w:color w:val="auto"/>
              </w:rPr>
            </w:pPr>
            <w:r>
              <w:rPr>
                <w:rFonts w:ascii="Arial" w:cs="Arial" w:eastAsia="Arial" w:hAnsi="Arial"/>
                <w:sz w:val="18"/>
                <w:szCs w:val="18"/>
                <w:color w:val="auto"/>
              </w:rPr>
              <w:t>Revenue</w:t>
            </w:r>
          </w:p>
        </w:tc>
        <w:tc>
          <w:tcPr>
            <w:tcW w:w="14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(0.6)</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0.4</w:t>
            </w:r>
          </w:p>
        </w:tc>
        <w:tc>
          <w:tcPr>
            <w:tcW w:w="0" w:type="dxa"/>
            <w:vAlign w:val="bottom"/>
          </w:tcPr>
          <w:p>
            <w:pPr>
              <w:spacing w:after="0"/>
              <w:rPr>
                <w:sz w:val="1"/>
                <w:szCs w:val="1"/>
                <w:color w:val="auto"/>
              </w:rPr>
            </w:pPr>
          </w:p>
        </w:tc>
      </w:tr>
      <w:tr>
        <w:trPr>
          <w:trHeight w:val="227"/>
        </w:trPr>
        <w:tc>
          <w:tcPr>
            <w:tcW w:w="4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5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Other (expense), net</w:t>
            </w:r>
          </w:p>
        </w:tc>
        <w:tc>
          <w:tcPr>
            <w:tcW w:w="140" w:type="dxa"/>
            <w:vAlign w:val="bottom"/>
            <w:tcBorders>
              <w:bottom w:val="single" w:sz="8" w:color="auto"/>
            </w:tcBorders>
            <w:shd w:val="clear" w:color="auto" w:fill="CCEEFF"/>
          </w:tcPr>
          <w:p>
            <w:pPr>
              <w:spacing w:after="0"/>
              <w:rPr>
                <w:sz w:val="19"/>
                <w:szCs w:val="19"/>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20"/>
        </w:trPr>
        <w:tc>
          <w:tcPr>
            <w:tcW w:w="490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2400" w:type="dxa"/>
            <w:vAlign w:val="bottom"/>
            <w:tcBorders>
              <w:bottom w:val="single" w:sz="8" w:color="CCEEFF"/>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45"/>
        </w:trPr>
        <w:tc>
          <w:tcPr>
            <w:tcW w:w="5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Total gain (loss)</w:t>
            </w:r>
          </w:p>
        </w:tc>
        <w:tc>
          <w:tcPr>
            <w:tcW w:w="24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67.6</w:t>
            </w:r>
          </w:p>
        </w:tc>
        <w:tc>
          <w:tcPr>
            <w:tcW w:w="12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12.9</w:t>
            </w:r>
          </w:p>
        </w:tc>
        <w:tc>
          <w:tcPr>
            <w:tcW w:w="0" w:type="dxa"/>
            <w:vAlign w:val="bottom"/>
          </w:tcPr>
          <w:p>
            <w:pPr>
              <w:spacing w:after="0"/>
              <w:rPr>
                <w:sz w:val="1"/>
                <w:szCs w:val="1"/>
                <w:color w:val="auto"/>
              </w:rPr>
            </w:pPr>
          </w:p>
        </w:tc>
      </w:tr>
      <w:tr>
        <w:trPr>
          <w:trHeight w:val="20"/>
        </w:trPr>
        <w:tc>
          <w:tcPr>
            <w:tcW w:w="49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4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6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Credit-Risk-Related Contingent Features</w:t>
      </w:r>
    </w:p>
    <w:p>
      <w:pPr>
        <w:spacing w:after="0" w:line="2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We enter into derivative contracts which may require us to post collateral periodically. Certain of these derivative contracts contain credit-risk-related contingent clauses which are triggered by credit events. These credit events may include the requirement to post additional collateral or the immediate settlement of the derivative instruments upon the occurrence of a credit downgrade or if certain defined financial ratios fall below an established threshold. The following table presents the potential collateral requirements for derivative liabilities with credit-risk-contingent features (in millions):</w:t>
      </w:r>
    </w:p>
    <w:p>
      <w:pPr>
        <w:spacing w:after="0" w:line="118"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20" w:type="dxa"/>
            <w:vAlign w:val="bottom"/>
            <w:tcBorders>
              <w:bottom w:val="single" w:sz="8" w:color="CCEEFF"/>
            </w:tcBorders>
          </w:tcPr>
          <w:p>
            <w:pPr>
              <w:spacing w:after="0"/>
              <w:rPr>
                <w:sz w:val="20"/>
                <w:szCs w:val="20"/>
                <w:color w:val="auto"/>
              </w:rPr>
            </w:pP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March 31, 2022</w:t>
            </w:r>
          </w:p>
        </w:tc>
        <w:tc>
          <w:tcPr>
            <w:tcW w:w="440" w:type="dxa"/>
            <w:vAlign w:val="bottom"/>
            <w:tcBorders>
              <w:bottom w:val="single" w:sz="8" w:color="auto"/>
            </w:tcBorders>
          </w:tcPr>
          <w:p>
            <w:pPr>
              <w:spacing w:after="0"/>
              <w:rPr>
                <w:sz w:val="20"/>
                <w:szCs w:val="20"/>
                <w:color w:val="auto"/>
              </w:rPr>
            </w:pPr>
          </w:p>
        </w:tc>
        <w:tc>
          <w:tcPr>
            <w:tcW w:w="14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000" w:type="dxa"/>
            <w:vAlign w:val="bottom"/>
            <w:tcBorders>
              <w:bottom w:val="single" w:sz="8" w:color="auto"/>
            </w:tcBorders>
          </w:tcPr>
          <w:p>
            <w:pPr>
              <w:jc w:val="right"/>
              <w:ind w:right="211"/>
              <w:spacing w:after="0"/>
              <w:rPr>
                <w:sz w:val="20"/>
                <w:szCs w:val="20"/>
                <w:color w:val="auto"/>
              </w:rPr>
            </w:pPr>
            <w:r>
              <w:rPr>
                <w:rFonts w:ascii="Arial" w:cs="Arial" w:eastAsia="Arial" w:hAnsi="Arial"/>
                <w:sz w:val="18"/>
                <w:szCs w:val="18"/>
                <w:b w:val="1"/>
                <w:bCs w:val="1"/>
                <w:color w:val="auto"/>
              </w:rPr>
              <w:t>December 31, 2021</w:t>
            </w:r>
          </w:p>
        </w:tc>
      </w:tr>
      <w:tr>
        <w:trPr>
          <w:trHeight w:val="221"/>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derivative liability positions with credit contingent features</w:t>
            </w:r>
          </w:p>
        </w:tc>
        <w:tc>
          <w:tcPr>
            <w:tcW w:w="1740" w:type="dxa"/>
            <w:vAlign w:val="bottom"/>
            <w:shd w:val="clear" w:color="auto" w:fill="CCEEFF"/>
          </w:tcPr>
          <w:p>
            <w:pPr>
              <w:jc w:val="right"/>
              <w:ind w:right="1531"/>
              <w:spacing w:after="0"/>
              <w:rPr>
                <w:sz w:val="20"/>
                <w:szCs w:val="20"/>
                <w:color w:val="auto"/>
              </w:rPr>
            </w:pPr>
            <w:r>
              <w:rPr>
                <w:rFonts w:ascii="Arial" w:cs="Arial" w:eastAsia="Arial" w:hAnsi="Arial"/>
                <w:sz w:val="18"/>
                <w:szCs w:val="18"/>
                <w:color w:val="auto"/>
                <w:w w:val="99"/>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Collateral posted and held by our counterparties</w:t>
            </w:r>
          </w:p>
        </w:tc>
        <w:tc>
          <w:tcPr>
            <w:tcW w:w="1740" w:type="dxa"/>
            <w:vAlign w:val="bottom"/>
          </w:tcPr>
          <w:p>
            <w:pPr>
              <w:spacing w:after="0"/>
              <w:rPr>
                <w:sz w:val="19"/>
                <w:szCs w:val="19"/>
                <w:color w:val="auto"/>
              </w:rPr>
            </w:pPr>
          </w:p>
        </w:tc>
        <w:tc>
          <w:tcPr>
            <w:tcW w:w="5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45"/>
        </w:trPr>
        <w:tc>
          <w:tcPr>
            <w:tcW w:w="67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Maximum additional potential collateral requirements</w:t>
            </w:r>
          </w:p>
        </w:tc>
        <w:tc>
          <w:tcPr>
            <w:tcW w:w="1740" w:type="dxa"/>
            <w:vAlign w:val="bottom"/>
            <w:tcBorders>
              <w:top w:val="single" w:sz="8" w:color="auto"/>
              <w:bottom w:val="single" w:sz="8" w:color="auto"/>
            </w:tcBorders>
            <w:shd w:val="clear" w:color="auto" w:fill="CCEEFF"/>
          </w:tcPr>
          <w:p>
            <w:pPr>
              <w:jc w:val="right"/>
              <w:ind w:right="1531"/>
              <w:spacing w:after="0"/>
              <w:rPr>
                <w:sz w:val="20"/>
                <w:szCs w:val="20"/>
                <w:color w:val="auto"/>
              </w:rPr>
            </w:pPr>
            <w:r>
              <w:rPr>
                <w:rFonts w:ascii="Arial" w:cs="Arial" w:eastAsia="Arial" w:hAnsi="Arial"/>
                <w:sz w:val="18"/>
                <w:szCs w:val="18"/>
                <w:color w:val="auto"/>
                <w:w w:val="99"/>
              </w:rPr>
              <w:t>$</w:t>
            </w: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w:t>
            </w:r>
          </w:p>
        </w:tc>
      </w:tr>
      <w:tr>
        <w:trPr>
          <w:trHeight w:val="20"/>
        </w:trPr>
        <w:tc>
          <w:tcPr>
            <w:tcW w:w="6720" w:type="dxa"/>
            <w:vAlign w:val="bottom"/>
            <w:tcBorders>
              <w:top w:val="single" w:sz="8" w:color="CCEEFF"/>
            </w:tcBorders>
          </w:tcPr>
          <w:p>
            <w:pPr>
              <w:spacing w:after="0" w:line="20" w:lineRule="exact"/>
              <w:rPr>
                <w:sz w:val="1"/>
                <w:szCs w:val="1"/>
                <w:color w:val="auto"/>
              </w:rPr>
            </w:pPr>
          </w:p>
        </w:tc>
        <w:tc>
          <w:tcPr>
            <w:tcW w:w="174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2000" w:type="dxa"/>
            <w:vAlign w:val="bottom"/>
            <w:tcBorders>
              <w:top w:val="single" w:sz="8" w:color="CCEEFF"/>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As of March 31, 2022 and December 31, 2021, there was no collateral held by our counterparties on these derivative contracts with credit-risk-contingent features.</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type w:val="continuous"/>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6. Debt, Interest Income, Expense, and Other Finance Costs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Credit Facility</w:t>
      </w:r>
    </w:p>
    <w:p>
      <w:pPr>
        <w:spacing w:after="0" w:line="2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On April 1, 2022, the Company entered into Amendment No. 8 to Fourth Amended and Restated Credit Agreement (the "Amendment") to: (i) increase the revolving credit facility to $1.5 billion; (ii) provide a new term loan of $500 million, thereby increasing the total borrowing capacity under the credit facility to $2.0 billion; (iii) modify the pricing of the loans, including the reference rates for various currencies to reflect the discontinuation of LIBOR; (iv) extend the maturity to April 1, 2027; and (v) modify certain financial and other covenants to provide greater operating flexibility.</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Long-Term Debt</w:t>
      </w:r>
    </w:p>
    <w:p>
      <w:pPr>
        <w:spacing w:after="0" w:line="28" w:lineRule="exact"/>
        <w:rPr>
          <w:sz w:val="20"/>
          <w:szCs w:val="20"/>
          <w:color w:val="auto"/>
        </w:rPr>
      </w:pPr>
    </w:p>
    <w:p>
      <w:pPr>
        <w:spacing w:after="0"/>
        <w:rPr>
          <w:sz w:val="20"/>
          <w:szCs w:val="20"/>
          <w:color w:val="auto"/>
        </w:rPr>
      </w:pPr>
      <w:r>
        <w:rPr>
          <w:rFonts w:ascii="Arial" w:cs="Arial" w:eastAsia="Arial" w:hAnsi="Arial"/>
          <w:sz w:val="18"/>
          <w:szCs w:val="18"/>
          <w:color w:val="auto"/>
        </w:rPr>
        <w:t>Our outstanding debt consists of the following (in millions):</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40" w:type="dxa"/>
            <w:vAlign w:val="bottom"/>
            <w:gridSpan w:val="2"/>
          </w:tcPr>
          <w:p>
            <w:pPr>
              <w:ind w:left="180"/>
              <w:spacing w:after="0"/>
              <w:rPr>
                <w:sz w:val="20"/>
                <w:szCs w:val="20"/>
                <w:color w:val="auto"/>
              </w:rPr>
            </w:pPr>
            <w:r>
              <w:rPr>
                <w:rFonts w:ascii="Arial" w:cs="Arial" w:eastAsia="Arial" w:hAnsi="Arial"/>
                <w:sz w:val="18"/>
                <w:szCs w:val="18"/>
                <w:b w:val="1"/>
                <w:bCs w:val="1"/>
                <w:color w:val="auto"/>
              </w:rPr>
              <w:t>March 31, 2022</w:t>
            </w:r>
          </w:p>
        </w:tc>
        <w:tc>
          <w:tcPr>
            <w:tcW w:w="200" w:type="dxa"/>
            <w:vAlign w:val="bottom"/>
          </w:tcPr>
          <w:p>
            <w:pPr>
              <w:spacing w:after="0"/>
              <w:rPr>
                <w:sz w:val="20"/>
                <w:szCs w:val="20"/>
                <w:color w:val="auto"/>
              </w:rPr>
            </w:pPr>
          </w:p>
        </w:tc>
        <w:tc>
          <w:tcPr>
            <w:tcW w:w="2000" w:type="dxa"/>
            <w:vAlign w:val="bottom"/>
          </w:tcPr>
          <w:p>
            <w:pPr>
              <w:jc w:val="right"/>
              <w:ind w:right="211"/>
              <w:spacing w:after="0"/>
              <w:rPr>
                <w:sz w:val="20"/>
                <w:szCs w:val="20"/>
                <w:color w:val="auto"/>
              </w:rPr>
            </w:pPr>
            <w:r>
              <w:rPr>
                <w:rFonts w:ascii="Arial" w:cs="Arial" w:eastAsia="Arial" w:hAnsi="Arial"/>
                <w:sz w:val="18"/>
                <w:szCs w:val="18"/>
                <w:b w:val="1"/>
                <w:bCs w:val="1"/>
                <w:color w:val="auto"/>
              </w:rPr>
              <w:t>December 31, 2021</w:t>
            </w:r>
          </w:p>
        </w:tc>
      </w:tr>
      <w:tr>
        <w:trPr>
          <w:trHeight w:val="221"/>
        </w:trPr>
        <w:tc>
          <w:tcPr>
            <w:tcW w:w="6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Credit Facility</w:t>
            </w:r>
          </w:p>
        </w:tc>
        <w:tc>
          <w:tcPr>
            <w:tcW w:w="280" w:type="dxa"/>
            <w:vAlign w:val="bottom"/>
            <w:tcBorders>
              <w:top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424.8</w:t>
            </w:r>
          </w:p>
        </w:tc>
        <w:tc>
          <w:tcPr>
            <w:tcW w:w="140" w:type="dxa"/>
            <w:vAlign w:val="bottom"/>
            <w:tcBorders>
              <w:top w:val="single" w:sz="8" w:color="CCEEFF"/>
            </w:tcBorders>
            <w:shd w:val="clear" w:color="auto" w:fill="CCEEFF"/>
          </w:tcPr>
          <w:p>
            <w:pPr>
              <w:spacing w:after="0"/>
              <w:rPr>
                <w:sz w:val="19"/>
                <w:szCs w:val="19"/>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Term loans</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436.7</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484.1</w:t>
            </w:r>
          </w:p>
        </w:tc>
      </w:tr>
      <w:tr>
        <w:trPr>
          <w:trHeight w:val="228"/>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Finance leases</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21.2</w:t>
            </w:r>
          </w:p>
        </w:tc>
      </w:tr>
      <w:tr>
        <w:trPr>
          <w:trHeight w:val="226"/>
        </w:trPr>
        <w:tc>
          <w:tcPr>
            <w:tcW w:w="67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Other</w:t>
            </w:r>
          </w:p>
        </w:tc>
        <w:tc>
          <w:tcPr>
            <w:tcW w:w="28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1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w:t>
            </w:r>
          </w:p>
        </w:tc>
      </w:tr>
      <w:tr>
        <w:trPr>
          <w:trHeight w:val="221"/>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debt</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884.2</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508.7</w:t>
            </w:r>
          </w:p>
        </w:tc>
      </w:tr>
      <w:tr>
        <w:trPr>
          <w:trHeight w:val="227"/>
        </w:trPr>
        <w:tc>
          <w:tcPr>
            <w:tcW w:w="6720" w:type="dxa"/>
            <w:vAlign w:val="bottom"/>
            <w:tcBorders>
              <w:bottom w:val="single" w:sz="8" w:color="CCEEFF"/>
            </w:tcBorders>
          </w:tcPr>
          <w:p>
            <w:pPr>
              <w:ind w:left="140"/>
              <w:spacing w:after="0" w:line="226" w:lineRule="exact"/>
              <w:rPr>
                <w:sz w:val="20"/>
                <w:szCs w:val="20"/>
                <w:color w:val="auto"/>
              </w:rPr>
            </w:pPr>
            <w:r>
              <w:rPr>
                <w:rFonts w:ascii="Arial" w:cs="Arial" w:eastAsia="Arial" w:hAnsi="Arial"/>
                <w:sz w:val="18"/>
                <w:szCs w:val="18"/>
                <w:color w:val="auto"/>
              </w:rPr>
              <w:t xml:space="preserve">Less: Current maturities of long-term debt and finance leases </w:t>
            </w:r>
            <w:r>
              <w:rPr>
                <w:rFonts w:ascii="Arial" w:cs="Arial" w:eastAsia="Arial" w:hAnsi="Arial"/>
                <w:sz w:val="23"/>
                <w:szCs w:val="23"/>
                <w:color w:val="auto"/>
                <w:vertAlign w:val="superscript"/>
              </w:rPr>
              <w:t>(1)</w:t>
            </w:r>
          </w:p>
        </w:tc>
        <w:tc>
          <w:tcPr>
            <w:tcW w:w="28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15.0</w:t>
            </w:r>
          </w:p>
        </w:tc>
        <w:tc>
          <w:tcPr>
            <w:tcW w:w="1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30.6</w:t>
            </w:r>
          </w:p>
        </w:tc>
      </w:tr>
      <w:tr>
        <w:trPr>
          <w:trHeight w:val="245"/>
        </w:trPr>
        <w:tc>
          <w:tcPr>
            <w:tcW w:w="67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Long-term debt</w:t>
            </w:r>
          </w:p>
        </w:tc>
        <w:tc>
          <w:tcPr>
            <w:tcW w:w="28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869.1</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478.1</w:t>
            </w:r>
          </w:p>
        </w:tc>
      </w:tr>
      <w:tr>
        <w:trPr>
          <w:trHeight w:val="20"/>
        </w:trPr>
        <w:tc>
          <w:tcPr>
            <w:tcW w:w="67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2000" w:type="dxa"/>
            <w:vAlign w:val="bottom"/>
            <w:tcBorders>
              <w:top w:val="single" w:sz="8" w:color="CCEEFF"/>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320" w:hanging="313"/>
        <w:spacing w:after="0"/>
        <w:tabs>
          <w:tab w:leader="none" w:pos="320" w:val="left"/>
        </w:tabs>
        <w:numPr>
          <w:ilvl w:val="0"/>
          <w:numId w:val="6"/>
        </w:numPr>
        <w:rPr>
          <w:rFonts w:ascii="Arial" w:cs="Arial" w:eastAsia="Arial" w:hAnsi="Arial"/>
          <w:sz w:val="23"/>
          <w:szCs w:val="23"/>
          <w:color w:val="auto"/>
          <w:vertAlign w:val="superscript"/>
        </w:rPr>
      </w:pPr>
      <w:r>
        <w:rPr>
          <w:rFonts w:ascii="Arial" w:cs="Arial" w:eastAsia="Arial" w:hAnsi="Arial"/>
          <w:sz w:val="18"/>
          <w:szCs w:val="18"/>
          <w:color w:val="auto"/>
        </w:rPr>
        <w:t>Current maturities as of March 31, 2022 reflect the terms of the Credit Facility amendment effective April 1, 2022 as discussed above.</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Expense</w:t>
      </w:r>
    </w:p>
    <w:p>
      <w:pPr>
        <w:spacing w:after="0" w:line="2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additional information about our Interest income (expense), and other financing costs, net (in millions):</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40" w:type="dxa"/>
            <w:vAlign w:val="bottom"/>
          </w:tcPr>
          <w:p>
            <w:pPr>
              <w:spacing w:after="0"/>
              <w:rPr>
                <w:sz w:val="20"/>
                <w:szCs w:val="20"/>
                <w:color w:val="auto"/>
              </w:rPr>
            </w:pPr>
          </w:p>
        </w:tc>
        <w:tc>
          <w:tcPr>
            <w:tcW w:w="394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For the Three Months Ended March 31,</w:t>
            </w:r>
          </w:p>
        </w:tc>
        <w:tc>
          <w:tcPr>
            <w:tcW w:w="560" w:type="dxa"/>
            <w:vAlign w:val="bottom"/>
            <w:tcBorders>
              <w:bottom w:val="single" w:sz="8" w:color="auto"/>
            </w:tcBorders>
          </w:tcPr>
          <w:p>
            <w:pPr>
              <w:spacing w:after="0"/>
              <w:rPr>
                <w:sz w:val="20"/>
                <w:szCs w:val="20"/>
                <w:color w:val="auto"/>
              </w:rPr>
            </w:pPr>
          </w:p>
        </w:tc>
      </w:tr>
      <w:tr>
        <w:trPr>
          <w:trHeight w:val="221"/>
        </w:trPr>
        <w:tc>
          <w:tcPr>
            <w:tcW w:w="6740" w:type="dxa"/>
            <w:vAlign w:val="bottom"/>
            <w:tcBorders>
              <w:bottom w:val="single" w:sz="8" w:color="CCEEFF"/>
            </w:tcBorders>
          </w:tcPr>
          <w:p>
            <w:pPr>
              <w:spacing w:after="0"/>
              <w:rPr>
                <w:sz w:val="19"/>
                <w:szCs w:val="19"/>
                <w:color w:val="auto"/>
              </w:rPr>
            </w:pPr>
          </w:p>
        </w:tc>
        <w:tc>
          <w:tcPr>
            <w:tcW w:w="1480" w:type="dxa"/>
            <w:vAlign w:val="bottom"/>
            <w:tcBorders>
              <w:bottom w:val="single" w:sz="8" w:color="auto"/>
            </w:tcBorders>
          </w:tcPr>
          <w:p>
            <w:pPr>
              <w:jc w:val="right"/>
              <w:ind w:right="111"/>
              <w:spacing w:after="0"/>
              <w:rPr>
                <w:sz w:val="20"/>
                <w:szCs w:val="20"/>
                <w:color w:val="auto"/>
              </w:rPr>
            </w:pPr>
            <w:r>
              <w:rPr>
                <w:rFonts w:ascii="Arial" w:cs="Arial" w:eastAsia="Arial" w:hAnsi="Arial"/>
                <w:sz w:val="18"/>
                <w:szCs w:val="18"/>
                <w:b w:val="1"/>
                <w:bCs w:val="1"/>
                <w:color w:val="auto"/>
              </w:rPr>
              <w:t>2022</w:t>
            </w:r>
          </w:p>
        </w:tc>
        <w:tc>
          <w:tcPr>
            <w:tcW w:w="700" w:type="dxa"/>
            <w:vAlign w:val="bottom"/>
            <w:tcBorders>
              <w:bottom w:val="single" w:sz="8" w:color="auto"/>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1620" w:type="dxa"/>
            <w:vAlign w:val="bottom"/>
            <w:tcBorders>
              <w:bottom w:val="single" w:sz="8" w:color="auto"/>
            </w:tcBorders>
          </w:tcPr>
          <w:p>
            <w:pPr>
              <w:jc w:val="right"/>
              <w:ind w:right="251"/>
              <w:spacing w:after="0"/>
              <w:rPr>
                <w:sz w:val="20"/>
                <w:szCs w:val="20"/>
                <w:color w:val="auto"/>
              </w:rPr>
            </w:pPr>
            <w:r>
              <w:rPr>
                <w:rFonts w:ascii="Arial" w:cs="Arial" w:eastAsia="Arial" w:hAnsi="Arial"/>
                <w:sz w:val="18"/>
                <w:szCs w:val="18"/>
                <w:b w:val="1"/>
                <w:bCs w:val="1"/>
                <w:color w:val="auto"/>
              </w:rPr>
              <w:t>2021</w:t>
            </w:r>
          </w:p>
        </w:tc>
        <w:tc>
          <w:tcPr>
            <w:tcW w:w="560" w:type="dxa"/>
            <w:vAlign w:val="bottom"/>
            <w:tcBorders>
              <w:bottom w:val="single" w:sz="8" w:color="auto"/>
            </w:tcBorders>
          </w:tcPr>
          <w:p>
            <w:pPr>
              <w:spacing w:after="0"/>
              <w:rPr>
                <w:sz w:val="19"/>
                <w:szCs w:val="19"/>
                <w:color w:val="auto"/>
              </w:rPr>
            </w:pPr>
          </w:p>
        </w:tc>
      </w:tr>
      <w:tr>
        <w:trPr>
          <w:trHeight w:val="220"/>
        </w:trPr>
        <w:tc>
          <w:tcPr>
            <w:tcW w:w="6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income</w:t>
            </w:r>
          </w:p>
        </w:tc>
        <w:tc>
          <w:tcPr>
            <w:tcW w:w="1480" w:type="dxa"/>
            <w:vAlign w:val="bottom"/>
            <w:shd w:val="clear" w:color="auto" w:fill="CCEEFF"/>
          </w:tcPr>
          <w:p>
            <w:pPr>
              <w:jc w:val="right"/>
              <w:ind w:right="1291"/>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40" w:type="dxa"/>
            <w:vAlign w:val="bottom"/>
            <w:shd w:val="clear" w:color="auto" w:fill="CCEEFF"/>
          </w:tcPr>
          <w:p>
            <w:pPr>
              <w:spacing w:after="0"/>
              <w:rPr>
                <w:sz w:val="19"/>
                <w:szCs w:val="19"/>
                <w:color w:val="auto"/>
              </w:rPr>
            </w:pPr>
          </w:p>
        </w:tc>
        <w:tc>
          <w:tcPr>
            <w:tcW w:w="1620" w:type="dxa"/>
            <w:vAlign w:val="bottom"/>
            <w:shd w:val="clear" w:color="auto" w:fill="CCEEFF"/>
          </w:tcPr>
          <w:p>
            <w:pPr>
              <w:jc w:val="right"/>
              <w:ind w:right="1431"/>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w:t>
            </w:r>
          </w:p>
        </w:tc>
      </w:tr>
      <w:tr>
        <w:trPr>
          <w:trHeight w:val="226"/>
        </w:trPr>
        <w:tc>
          <w:tcPr>
            <w:tcW w:w="674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Interest expense and other financing costs</w:t>
            </w:r>
          </w:p>
        </w:tc>
        <w:tc>
          <w:tcPr>
            <w:tcW w:w="14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w:t>
            </w:r>
          </w:p>
        </w:tc>
        <w:tc>
          <w:tcPr>
            <w:tcW w:w="140" w:type="dxa"/>
            <w:vAlign w:val="bottom"/>
            <w:tcBorders>
              <w:bottom w:val="single" w:sz="8" w:color="CCEEFF"/>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w:t>
            </w:r>
          </w:p>
        </w:tc>
      </w:tr>
      <w:tr>
        <w:trPr>
          <w:trHeight w:val="245"/>
        </w:trPr>
        <w:tc>
          <w:tcPr>
            <w:tcW w:w="6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expense and other financing costs, net</w:t>
            </w:r>
          </w:p>
        </w:tc>
        <w:tc>
          <w:tcPr>
            <w:tcW w:w="1480" w:type="dxa"/>
            <w:vAlign w:val="bottom"/>
            <w:tcBorders>
              <w:bottom w:val="single" w:sz="8" w:color="auto"/>
            </w:tcBorders>
            <w:shd w:val="clear" w:color="auto" w:fill="CCEEFF"/>
          </w:tcPr>
          <w:p>
            <w:pPr>
              <w:jc w:val="right"/>
              <w:ind w:right="1291"/>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(14.3)</w:t>
            </w:r>
          </w:p>
        </w:tc>
        <w:tc>
          <w:tcPr>
            <w:tcW w:w="140" w:type="dxa"/>
            <w:vAlign w:val="bottom"/>
            <w:tcBorders>
              <w:bottom w:val="single" w:sz="8" w:color="CCEEFF"/>
            </w:tcBorders>
            <w:shd w:val="clear" w:color="auto" w:fill="CCEEFF"/>
          </w:tcPr>
          <w:p>
            <w:pPr>
              <w:spacing w:after="0"/>
              <w:rPr>
                <w:sz w:val="20"/>
                <w:szCs w:val="20"/>
                <w:color w:val="auto"/>
              </w:rPr>
            </w:pPr>
          </w:p>
        </w:tc>
        <w:tc>
          <w:tcPr>
            <w:tcW w:w="1620" w:type="dxa"/>
            <w:vAlign w:val="bottom"/>
            <w:tcBorders>
              <w:bottom w:val="single" w:sz="8" w:color="auto"/>
            </w:tcBorders>
            <w:shd w:val="clear" w:color="auto" w:fill="CCEEFF"/>
          </w:tcPr>
          <w:p>
            <w:pPr>
              <w:jc w:val="right"/>
              <w:ind w:right="1431"/>
              <w:spacing w:after="0"/>
              <w:rPr>
                <w:sz w:val="20"/>
                <w:szCs w:val="20"/>
                <w:color w:val="auto"/>
              </w:rPr>
            </w:pPr>
            <w:r>
              <w:rPr>
                <w:rFonts w:ascii="Arial" w:cs="Arial" w:eastAsia="Arial" w:hAnsi="Arial"/>
                <w:sz w:val="18"/>
                <w:szCs w:val="18"/>
                <w:color w:val="auto"/>
                <w:w w:val="79"/>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w:t>
            </w: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2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r>
    </w:tbl>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Shareholders' Equity</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Dividends</w:t>
      </w:r>
    </w:p>
    <w:p>
      <w:pPr>
        <w:spacing w:after="0" w:line="2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During the three months ended March 31, 2022, the Company's Board of Directors declared quarterly cash dividends of $0.12 per common share representing $7.6 million in total dividends, which were paid on April 8, 2022. During the three months ended March 31, 2021, the Company's Board of Directors declared quarterly cash dividends of $0.12 per common share representing $7.5 million in total dividends, which were paid on April 9, 2021.</w:t>
      </w: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Accumulated Other Comprehensive Income (Loss)</w:t>
      </w:r>
    </w:p>
    <w:p>
      <w:pPr>
        <w:spacing w:after="0" w:line="28" w:lineRule="exact"/>
        <w:rPr>
          <w:sz w:val="20"/>
          <w:szCs w:val="20"/>
          <w:color w:val="auto"/>
        </w:rPr>
      </w:pPr>
    </w:p>
    <w:p>
      <w:pPr>
        <w:jc w:val="both"/>
        <w:spacing w:after="0" w:line="250" w:lineRule="auto"/>
        <w:rPr>
          <w:sz w:val="20"/>
          <w:szCs w:val="20"/>
          <w:color w:val="auto"/>
        </w:rPr>
      </w:pPr>
      <w:r>
        <w:rPr>
          <w:rFonts w:ascii="Arial" w:cs="Arial" w:eastAsia="Arial" w:hAnsi="Arial"/>
          <w:sz w:val="18"/>
          <w:szCs w:val="18"/>
          <w:color w:val="auto"/>
        </w:rPr>
        <w:t>Our Accumulated other comprehensive income (loss), consists of foreign currency translation adjustments related to our subsidiaries that have a functional currency other than the U.S. dollar and unrealized gains (losses) from derivative instruments designated as cash flow hedges. The after-tax changes in Accumulated other comprehensive income (loss) by component were as follows (in millions):</w:t>
      </w:r>
    </w:p>
    <w:p>
      <w:pPr>
        <w:spacing w:after="0" w:line="9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5800" w:type="dxa"/>
            <w:vAlign w:val="bottom"/>
          </w:tcPr>
          <w:p>
            <w:pPr>
              <w:spacing w:after="0"/>
              <w:rPr>
                <w:sz w:val="17"/>
                <w:szCs w:val="17"/>
                <w:color w:val="auto"/>
              </w:rPr>
            </w:pPr>
          </w:p>
        </w:tc>
        <w:tc>
          <w:tcPr>
            <w:tcW w:w="1780" w:type="dxa"/>
            <w:vAlign w:val="bottom"/>
            <w:gridSpan w:val="3"/>
          </w:tcPr>
          <w:p>
            <w:pPr>
              <w:jc w:val="center"/>
              <w:ind w:right="140"/>
              <w:spacing w:after="0"/>
              <w:rPr>
                <w:sz w:val="20"/>
                <w:szCs w:val="20"/>
                <w:color w:val="auto"/>
              </w:rPr>
            </w:pPr>
            <w:r>
              <w:rPr>
                <w:rFonts w:ascii="Arial" w:cs="Arial" w:eastAsia="Arial" w:hAnsi="Arial"/>
                <w:sz w:val="18"/>
                <w:szCs w:val="18"/>
                <w:b w:val="1"/>
                <w:bCs w:val="1"/>
                <w:color w:val="auto"/>
                <w:w w:val="98"/>
              </w:rPr>
              <w:t>Foreign Currency</w:t>
            </w:r>
          </w:p>
        </w:tc>
        <w:tc>
          <w:tcPr>
            <w:tcW w:w="6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60" w:type="dxa"/>
            <w:vAlign w:val="bottom"/>
            <w:gridSpan w:val="2"/>
          </w:tcPr>
          <w:p>
            <w:pPr>
              <w:jc w:val="center"/>
              <w:spacing w:after="0"/>
              <w:rPr>
                <w:sz w:val="20"/>
                <w:szCs w:val="20"/>
                <w:color w:val="auto"/>
              </w:rPr>
            </w:pPr>
            <w:r>
              <w:rPr>
                <w:rFonts w:ascii="Arial" w:cs="Arial" w:eastAsia="Arial" w:hAnsi="Arial"/>
                <w:sz w:val="18"/>
                <w:szCs w:val="18"/>
                <w:b w:val="1"/>
                <w:bCs w:val="1"/>
                <w:color w:val="auto"/>
                <w:w w:val="98"/>
              </w:rPr>
              <w:t>Accumulated Other</w:t>
            </w:r>
          </w:p>
        </w:tc>
        <w:tc>
          <w:tcPr>
            <w:tcW w:w="0" w:type="dxa"/>
            <w:vAlign w:val="bottom"/>
          </w:tcPr>
          <w:p>
            <w:pPr>
              <w:spacing w:after="0"/>
              <w:rPr>
                <w:sz w:val="1"/>
                <w:szCs w:val="1"/>
                <w:color w:val="auto"/>
              </w:rPr>
            </w:pPr>
          </w:p>
        </w:tc>
      </w:tr>
      <w:tr>
        <w:trPr>
          <w:trHeight w:val="173"/>
        </w:trPr>
        <w:tc>
          <w:tcPr>
            <w:tcW w:w="5800" w:type="dxa"/>
            <w:vAlign w:val="bottom"/>
          </w:tcPr>
          <w:p>
            <w:pPr>
              <w:ind w:left="20"/>
              <w:spacing w:after="0" w:line="174" w:lineRule="exact"/>
              <w:rPr>
                <w:sz w:val="20"/>
                <w:szCs w:val="20"/>
                <w:color w:val="auto"/>
              </w:rPr>
            </w:pPr>
            <w:r>
              <w:rPr>
                <w:rFonts w:ascii="Arial" w:cs="Arial" w:eastAsia="Arial" w:hAnsi="Arial"/>
                <w:sz w:val="18"/>
                <w:szCs w:val="18"/>
                <w:color w:val="auto"/>
              </w:rPr>
              <w:t>Balance as of</w:t>
            </w:r>
          </w:p>
        </w:tc>
        <w:tc>
          <w:tcPr>
            <w:tcW w:w="200" w:type="dxa"/>
            <w:vAlign w:val="bottom"/>
          </w:tcPr>
          <w:p>
            <w:pPr>
              <w:spacing w:after="0"/>
              <w:rPr>
                <w:sz w:val="15"/>
                <w:szCs w:val="15"/>
                <w:color w:val="auto"/>
              </w:rPr>
            </w:pPr>
          </w:p>
        </w:tc>
        <w:tc>
          <w:tcPr>
            <w:tcW w:w="1580" w:type="dxa"/>
            <w:vAlign w:val="bottom"/>
            <w:gridSpan w:val="2"/>
          </w:tcPr>
          <w:p>
            <w:pPr>
              <w:jc w:val="center"/>
              <w:ind w:right="320"/>
              <w:spacing w:after="0" w:line="174" w:lineRule="exact"/>
              <w:rPr>
                <w:sz w:val="20"/>
                <w:szCs w:val="20"/>
                <w:color w:val="auto"/>
              </w:rPr>
            </w:pPr>
            <w:r>
              <w:rPr>
                <w:rFonts w:ascii="Arial" w:cs="Arial" w:eastAsia="Arial" w:hAnsi="Arial"/>
                <w:sz w:val="18"/>
                <w:szCs w:val="18"/>
                <w:b w:val="1"/>
                <w:bCs w:val="1"/>
                <w:color w:val="auto"/>
                <w:w w:val="96"/>
              </w:rPr>
              <w:t>Translation</w:t>
            </w:r>
          </w:p>
        </w:tc>
        <w:tc>
          <w:tcPr>
            <w:tcW w:w="1800" w:type="dxa"/>
            <w:vAlign w:val="bottom"/>
            <w:gridSpan w:val="3"/>
            <w:vMerge w:val="restart"/>
          </w:tcPr>
          <w:p>
            <w:pPr>
              <w:ind w:left="40"/>
              <w:spacing w:after="0"/>
              <w:rPr>
                <w:sz w:val="20"/>
                <w:szCs w:val="20"/>
                <w:color w:val="auto"/>
              </w:rPr>
            </w:pPr>
            <w:r>
              <w:rPr>
                <w:rFonts w:ascii="Arial" w:cs="Arial" w:eastAsia="Arial" w:hAnsi="Arial"/>
                <w:sz w:val="18"/>
                <w:szCs w:val="18"/>
                <w:b w:val="1"/>
                <w:bCs w:val="1"/>
                <w:color w:val="auto"/>
              </w:rPr>
              <w:t>Cash Flow Hedges</w:t>
            </w:r>
          </w:p>
        </w:tc>
        <w:tc>
          <w:tcPr>
            <w:tcW w:w="180" w:type="dxa"/>
            <w:vAlign w:val="bottom"/>
          </w:tcPr>
          <w:p>
            <w:pPr>
              <w:spacing w:after="0"/>
              <w:rPr>
                <w:sz w:val="15"/>
                <w:szCs w:val="15"/>
                <w:color w:val="auto"/>
              </w:rPr>
            </w:pPr>
          </w:p>
        </w:tc>
        <w:tc>
          <w:tcPr>
            <w:tcW w:w="1680" w:type="dxa"/>
            <w:vAlign w:val="bottom"/>
          </w:tcPr>
          <w:p>
            <w:pPr>
              <w:jc w:val="center"/>
              <w:ind w:right="91"/>
              <w:spacing w:after="0" w:line="174" w:lineRule="exact"/>
              <w:rPr>
                <w:sz w:val="20"/>
                <w:szCs w:val="20"/>
                <w:color w:val="auto"/>
              </w:rPr>
            </w:pPr>
            <w:r>
              <w:rPr>
                <w:rFonts w:ascii="Arial" w:cs="Arial" w:eastAsia="Arial" w:hAnsi="Arial"/>
                <w:sz w:val="18"/>
                <w:szCs w:val="18"/>
                <w:b w:val="1"/>
                <w:bCs w:val="1"/>
                <w:color w:val="auto"/>
                <w:w w:val="99"/>
              </w:rPr>
              <w:t>Comprehensive</w:t>
            </w:r>
          </w:p>
        </w:tc>
        <w:tc>
          <w:tcPr>
            <w:tcW w:w="0" w:type="dxa"/>
            <w:vAlign w:val="bottom"/>
          </w:tcPr>
          <w:p>
            <w:pPr>
              <w:spacing w:after="0"/>
              <w:rPr>
                <w:sz w:val="1"/>
                <w:szCs w:val="1"/>
                <w:color w:val="auto"/>
              </w:rPr>
            </w:pPr>
          </w:p>
        </w:tc>
      </w:tr>
      <w:tr>
        <w:trPr>
          <w:trHeight w:val="227"/>
        </w:trPr>
        <w:tc>
          <w:tcPr>
            <w:tcW w:w="58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8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9"/>
              </w:rPr>
              <w:t>Adjustments</w:t>
            </w:r>
          </w:p>
        </w:tc>
        <w:tc>
          <w:tcPr>
            <w:tcW w:w="1800" w:type="dxa"/>
            <w:vAlign w:val="bottom"/>
            <w:gridSpan w:val="3"/>
            <w:vMerge w:val="continue"/>
          </w:tcPr>
          <w:p>
            <w:pPr>
              <w:spacing w:after="0"/>
              <w:rPr>
                <w:sz w:val="19"/>
                <w:szCs w:val="19"/>
                <w:color w:val="auto"/>
              </w:rPr>
            </w:pPr>
          </w:p>
        </w:tc>
        <w:tc>
          <w:tcPr>
            <w:tcW w:w="180" w:type="dxa"/>
            <w:vAlign w:val="bottom"/>
          </w:tcPr>
          <w:p>
            <w:pPr>
              <w:spacing w:after="0"/>
              <w:rPr>
                <w:sz w:val="19"/>
                <w:szCs w:val="19"/>
                <w:color w:val="auto"/>
              </w:rPr>
            </w:pPr>
          </w:p>
        </w:tc>
        <w:tc>
          <w:tcPr>
            <w:tcW w:w="1680" w:type="dxa"/>
            <w:vAlign w:val="bottom"/>
          </w:tcPr>
          <w:p>
            <w:pPr>
              <w:jc w:val="center"/>
              <w:ind w:right="91"/>
              <w:spacing w:after="0"/>
              <w:rPr>
                <w:sz w:val="20"/>
                <w:szCs w:val="20"/>
                <w:color w:val="auto"/>
              </w:rPr>
            </w:pPr>
            <w:r>
              <w:rPr>
                <w:rFonts w:ascii="Arial" w:cs="Arial" w:eastAsia="Arial" w:hAnsi="Arial"/>
                <w:sz w:val="18"/>
                <w:szCs w:val="18"/>
                <w:b w:val="1"/>
                <w:bCs w:val="1"/>
                <w:color w:val="auto"/>
                <w:w w:val="99"/>
              </w:rPr>
              <w:t>Income (Loss)</w:t>
            </w:r>
          </w:p>
        </w:tc>
        <w:tc>
          <w:tcPr>
            <w:tcW w:w="0" w:type="dxa"/>
            <w:vAlign w:val="bottom"/>
          </w:tcPr>
          <w:p>
            <w:pPr>
              <w:spacing w:after="0"/>
              <w:rPr>
                <w:sz w:val="1"/>
                <w:szCs w:val="1"/>
                <w:color w:val="auto"/>
              </w:rPr>
            </w:pPr>
          </w:p>
        </w:tc>
      </w:tr>
      <w:tr>
        <w:trPr>
          <w:trHeight w:val="220"/>
        </w:trPr>
        <w:tc>
          <w:tcPr>
            <w:tcW w:w="58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January 1, 2022</w:t>
            </w: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(134.0)</w:t>
            </w:r>
          </w:p>
        </w:tc>
        <w:tc>
          <w:tcPr>
            <w:tcW w:w="120" w:type="dxa"/>
            <w:vAlign w:val="bottom"/>
            <w:tcBorders>
              <w:top w:val="single" w:sz="8" w:color="CCEEFF"/>
            </w:tcBorders>
            <w:shd w:val="clear" w:color="auto" w:fill="CCEEFF"/>
          </w:tcPr>
          <w:p>
            <w:pPr>
              <w:spacing w:after="0"/>
              <w:rPr>
                <w:sz w:val="19"/>
                <w:szCs w:val="19"/>
                <w:color w:val="auto"/>
              </w:rPr>
            </w:pPr>
          </w:p>
        </w:tc>
        <w:tc>
          <w:tcPr>
            <w:tcW w:w="6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14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(136.7)</w:t>
            </w:r>
          </w:p>
        </w:tc>
        <w:tc>
          <w:tcPr>
            <w:tcW w:w="0" w:type="dxa"/>
            <w:vAlign w:val="bottom"/>
          </w:tcPr>
          <w:p>
            <w:pPr>
              <w:spacing w:after="0"/>
              <w:rPr>
                <w:sz w:val="1"/>
                <w:szCs w:val="1"/>
                <w:color w:val="auto"/>
              </w:rPr>
            </w:pPr>
          </w:p>
        </w:tc>
      </w:tr>
      <w:tr>
        <w:trPr>
          <w:trHeight w:val="226"/>
        </w:trPr>
        <w:tc>
          <w:tcPr>
            <w:tcW w:w="5800" w:type="dxa"/>
            <w:vAlign w:val="bottom"/>
          </w:tcPr>
          <w:p>
            <w:pPr>
              <w:ind w:left="20"/>
              <w:spacing w:after="0"/>
              <w:rPr>
                <w:sz w:val="20"/>
                <w:szCs w:val="20"/>
                <w:color w:val="auto"/>
              </w:rPr>
            </w:pPr>
            <w:r>
              <w:rPr>
                <w:rFonts w:ascii="Arial" w:cs="Arial" w:eastAsia="Arial" w:hAnsi="Arial"/>
                <w:sz w:val="18"/>
                <w:szCs w:val="18"/>
                <w:color w:val="auto"/>
              </w:rPr>
              <w:t>Other comprehensive income (loss) before reclassifications</w:t>
            </w:r>
          </w:p>
        </w:tc>
        <w:tc>
          <w:tcPr>
            <w:tcW w:w="20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(9.4)</w:t>
            </w: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(44.1)</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(53.5)</w:t>
            </w:r>
          </w:p>
        </w:tc>
        <w:tc>
          <w:tcPr>
            <w:tcW w:w="0" w:type="dxa"/>
            <w:vAlign w:val="bottom"/>
          </w:tcPr>
          <w:p>
            <w:pPr>
              <w:spacing w:after="0"/>
              <w:rPr>
                <w:sz w:val="1"/>
                <w:szCs w:val="1"/>
                <w:color w:val="auto"/>
              </w:rPr>
            </w:pPr>
          </w:p>
        </w:tc>
      </w:tr>
      <w:tr>
        <w:trPr>
          <w:trHeight w:val="187"/>
        </w:trPr>
        <w:tc>
          <w:tcPr>
            <w:tcW w:w="5800" w:type="dxa"/>
            <w:vAlign w:val="bottom"/>
            <w:shd w:val="clear" w:color="auto" w:fill="CCEEFF"/>
          </w:tcPr>
          <w:p>
            <w:pPr>
              <w:ind w:left="20"/>
              <w:spacing w:after="0" w:line="187" w:lineRule="exact"/>
              <w:rPr>
                <w:sz w:val="20"/>
                <w:szCs w:val="20"/>
                <w:color w:val="auto"/>
              </w:rPr>
            </w:pPr>
            <w:r>
              <w:rPr>
                <w:rFonts w:ascii="Arial" w:cs="Arial" w:eastAsia="Arial" w:hAnsi="Arial"/>
                <w:sz w:val="18"/>
                <w:szCs w:val="18"/>
                <w:color w:val="auto"/>
              </w:rPr>
              <w:t>Amounts reclassified from accumulated other comprehensive income</w:t>
            </w:r>
          </w:p>
        </w:tc>
        <w:tc>
          <w:tcPr>
            <w:tcW w:w="200" w:type="dxa"/>
            <w:vAlign w:val="bottom"/>
            <w:shd w:val="clear" w:color="auto" w:fill="CCEEFF"/>
          </w:tcPr>
          <w:p>
            <w:pPr>
              <w:spacing w:after="0"/>
              <w:rPr>
                <w:sz w:val="16"/>
                <w:szCs w:val="16"/>
                <w:color w:val="auto"/>
              </w:rPr>
            </w:pPr>
          </w:p>
        </w:tc>
        <w:tc>
          <w:tcPr>
            <w:tcW w:w="14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580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w:t>
            </w: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ind w:left="120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0" w:type="dxa"/>
            <w:vAlign w:val="bottom"/>
          </w:tcPr>
          <w:p>
            <w:pPr>
              <w:spacing w:after="0"/>
              <w:rPr>
                <w:sz w:val="1"/>
                <w:szCs w:val="1"/>
                <w:color w:val="auto"/>
              </w:rPr>
            </w:pPr>
          </w:p>
        </w:tc>
      </w:tr>
      <w:tr>
        <w:trPr>
          <w:trHeight w:val="186"/>
        </w:trPr>
        <w:tc>
          <w:tcPr>
            <w:tcW w:w="5800" w:type="dxa"/>
            <w:vAlign w:val="bottom"/>
          </w:tcPr>
          <w:p>
            <w:pPr>
              <w:ind w:left="20"/>
              <w:spacing w:after="0" w:line="186" w:lineRule="exact"/>
              <w:rPr>
                <w:sz w:val="20"/>
                <w:szCs w:val="20"/>
                <w:color w:val="auto"/>
              </w:rPr>
            </w:pPr>
            <w:r>
              <w:rPr>
                <w:rFonts w:ascii="Arial" w:cs="Arial" w:eastAsia="Arial" w:hAnsi="Arial"/>
                <w:sz w:val="18"/>
                <w:szCs w:val="18"/>
                <w:color w:val="auto"/>
              </w:rPr>
              <w:t>Less: Net other comprehensive (income) loss attributable to</w:t>
            </w:r>
          </w:p>
        </w:tc>
        <w:tc>
          <w:tcPr>
            <w:tcW w:w="20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5800" w:type="dxa"/>
            <w:vAlign w:val="bottom"/>
          </w:tcPr>
          <w:p>
            <w:pPr>
              <w:ind w:left="20"/>
              <w:spacing w:after="0"/>
              <w:rPr>
                <w:sz w:val="20"/>
                <w:szCs w:val="20"/>
                <w:color w:val="auto"/>
              </w:rPr>
            </w:pPr>
            <w:r>
              <w:rPr>
                <w:rFonts w:ascii="Arial" w:cs="Arial" w:eastAsia="Arial" w:hAnsi="Arial"/>
                <w:sz w:val="18"/>
                <w:szCs w:val="18"/>
                <w:color w:val="auto"/>
              </w:rPr>
              <w:t>noncontrolling interest</w:t>
            </w:r>
          </w:p>
        </w:tc>
        <w:tc>
          <w:tcPr>
            <w:tcW w:w="200" w:type="dxa"/>
            <w:vAlign w:val="bottom"/>
          </w:tcPr>
          <w:p>
            <w:pPr>
              <w:spacing w:after="0"/>
              <w:rPr>
                <w:sz w:val="18"/>
                <w:szCs w:val="18"/>
                <w:color w:val="auto"/>
              </w:rPr>
            </w:pPr>
          </w:p>
        </w:tc>
        <w:tc>
          <w:tcPr>
            <w:tcW w:w="1580" w:type="dxa"/>
            <w:vAlign w:val="bottom"/>
            <w:gridSpan w:val="2"/>
          </w:tcPr>
          <w:p>
            <w:pPr>
              <w:ind w:left="1200"/>
              <w:spacing w:after="0"/>
              <w:rPr>
                <w:sz w:val="20"/>
                <w:szCs w:val="20"/>
                <w:color w:val="auto"/>
              </w:rPr>
            </w:pPr>
            <w:r>
              <w:rPr>
                <w:rFonts w:ascii="Arial" w:cs="Arial" w:eastAsia="Arial" w:hAnsi="Arial"/>
                <w:sz w:val="18"/>
                <w:szCs w:val="18"/>
                <w:color w:val="auto"/>
              </w:rPr>
              <w:t>—</w:t>
            </w:r>
          </w:p>
        </w:tc>
        <w:tc>
          <w:tcPr>
            <w:tcW w:w="64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6"/>
        </w:trPr>
        <w:tc>
          <w:tcPr>
            <w:tcW w:w="58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March 31, 2022</w:t>
            </w: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(143.4)</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64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(22.0)</w:t>
            </w: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(165.4)</w:t>
            </w:r>
          </w:p>
        </w:tc>
        <w:tc>
          <w:tcPr>
            <w:tcW w:w="0" w:type="dxa"/>
            <w:vAlign w:val="bottom"/>
          </w:tcPr>
          <w:p>
            <w:pPr>
              <w:spacing w:after="0"/>
              <w:rPr>
                <w:sz w:val="1"/>
                <w:szCs w:val="1"/>
                <w:color w:val="auto"/>
              </w:rPr>
            </w:pPr>
          </w:p>
        </w:tc>
      </w:tr>
      <w:tr>
        <w:trPr>
          <w:trHeight w:val="20"/>
        </w:trPr>
        <w:tc>
          <w:tcPr>
            <w:tcW w:w="58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58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7"/>
        </w:trPr>
        <w:tc>
          <w:tcPr>
            <w:tcW w:w="5800" w:type="dxa"/>
            <w:vAlign w:val="bottom"/>
            <w:shd w:val="clear" w:color="auto" w:fill="CCEEFF"/>
          </w:tcPr>
          <w:p>
            <w:pPr>
              <w:ind w:left="20"/>
              <w:spacing w:after="0"/>
              <w:rPr>
                <w:sz w:val="20"/>
                <w:szCs w:val="20"/>
                <w:color w:val="auto"/>
              </w:rPr>
            </w:pPr>
            <w:r>
              <w:rPr>
                <w:rFonts w:ascii="Arial" w:cs="Arial" w:eastAsia="Arial" w:hAnsi="Arial"/>
                <w:sz w:val="18"/>
                <w:szCs w:val="18"/>
                <w:color w:val="auto"/>
              </w:rPr>
              <w:t>Balance as of January 1, 2021</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(120.3)</w:t>
            </w:r>
          </w:p>
        </w:tc>
        <w:tc>
          <w:tcPr>
            <w:tcW w:w="120" w:type="dxa"/>
            <w:vAlign w:val="bottom"/>
            <w:shd w:val="clear" w:color="auto" w:fill="CCEEFF"/>
          </w:tcPr>
          <w:p>
            <w:pPr>
              <w:spacing w:after="0"/>
              <w:rPr>
                <w:sz w:val="19"/>
                <w:szCs w:val="19"/>
                <w:color w:val="auto"/>
              </w:rPr>
            </w:pPr>
          </w:p>
        </w:tc>
        <w:tc>
          <w:tcPr>
            <w:tcW w:w="64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40" w:type="dxa"/>
            <w:vAlign w:val="bottom"/>
            <w:shd w:val="clear" w:color="auto" w:fill="CCEEFF"/>
          </w:tcPr>
          <w:p>
            <w:pPr>
              <w:spacing w:after="0"/>
              <w:rPr>
                <w:sz w:val="19"/>
                <w:szCs w:val="19"/>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(132.6)</w:t>
            </w:r>
          </w:p>
        </w:tc>
        <w:tc>
          <w:tcPr>
            <w:tcW w:w="0" w:type="dxa"/>
            <w:vAlign w:val="bottom"/>
          </w:tcPr>
          <w:p>
            <w:pPr>
              <w:spacing w:after="0"/>
              <w:rPr>
                <w:sz w:val="1"/>
                <w:szCs w:val="1"/>
                <w:color w:val="auto"/>
              </w:rPr>
            </w:pPr>
          </w:p>
        </w:tc>
      </w:tr>
      <w:tr>
        <w:trPr>
          <w:trHeight w:val="226"/>
        </w:trPr>
        <w:tc>
          <w:tcPr>
            <w:tcW w:w="5800" w:type="dxa"/>
            <w:vAlign w:val="bottom"/>
          </w:tcPr>
          <w:p>
            <w:pPr>
              <w:ind w:left="20"/>
              <w:spacing w:after="0"/>
              <w:rPr>
                <w:sz w:val="20"/>
                <w:szCs w:val="20"/>
                <w:color w:val="auto"/>
              </w:rPr>
            </w:pPr>
            <w:r>
              <w:rPr>
                <w:rFonts w:ascii="Arial" w:cs="Arial" w:eastAsia="Arial" w:hAnsi="Arial"/>
                <w:sz w:val="18"/>
                <w:szCs w:val="18"/>
                <w:color w:val="auto"/>
              </w:rPr>
              <w:t>Other comprehensive income (loss) before reclassifications</w:t>
            </w:r>
          </w:p>
        </w:tc>
        <w:tc>
          <w:tcPr>
            <w:tcW w:w="20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(4.0)</w:t>
            </w: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25.5</w:t>
            </w: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21.5</w:t>
            </w:r>
          </w:p>
        </w:tc>
        <w:tc>
          <w:tcPr>
            <w:tcW w:w="0" w:type="dxa"/>
            <w:vAlign w:val="bottom"/>
          </w:tcPr>
          <w:p>
            <w:pPr>
              <w:spacing w:after="0"/>
              <w:rPr>
                <w:sz w:val="1"/>
                <w:szCs w:val="1"/>
                <w:color w:val="auto"/>
              </w:rPr>
            </w:pPr>
          </w:p>
        </w:tc>
      </w:tr>
      <w:tr>
        <w:trPr>
          <w:trHeight w:val="187"/>
        </w:trPr>
        <w:tc>
          <w:tcPr>
            <w:tcW w:w="5800" w:type="dxa"/>
            <w:vAlign w:val="bottom"/>
            <w:shd w:val="clear" w:color="auto" w:fill="CCEEFF"/>
          </w:tcPr>
          <w:p>
            <w:pPr>
              <w:ind w:left="20"/>
              <w:spacing w:after="0" w:line="187" w:lineRule="exact"/>
              <w:rPr>
                <w:sz w:val="20"/>
                <w:szCs w:val="20"/>
                <w:color w:val="auto"/>
              </w:rPr>
            </w:pPr>
            <w:r>
              <w:rPr>
                <w:rFonts w:ascii="Arial" w:cs="Arial" w:eastAsia="Arial" w:hAnsi="Arial"/>
                <w:sz w:val="18"/>
                <w:szCs w:val="18"/>
                <w:color w:val="auto"/>
              </w:rPr>
              <w:t>Amounts reclassified from accumulated other comprehensive income</w:t>
            </w:r>
          </w:p>
        </w:tc>
        <w:tc>
          <w:tcPr>
            <w:tcW w:w="200" w:type="dxa"/>
            <w:vAlign w:val="bottom"/>
            <w:shd w:val="clear" w:color="auto" w:fill="CCEEFF"/>
          </w:tcPr>
          <w:p>
            <w:pPr>
              <w:spacing w:after="0"/>
              <w:rPr>
                <w:sz w:val="16"/>
                <w:szCs w:val="16"/>
                <w:color w:val="auto"/>
              </w:rPr>
            </w:pPr>
          </w:p>
        </w:tc>
        <w:tc>
          <w:tcPr>
            <w:tcW w:w="14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6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5800" w:type="dxa"/>
            <w:vAlign w:val="bottom"/>
            <w:shd w:val="clear" w:color="auto" w:fill="CCEEFF"/>
          </w:tcPr>
          <w:p>
            <w:pPr>
              <w:ind w:left="20"/>
              <w:spacing w:after="0"/>
              <w:rPr>
                <w:sz w:val="20"/>
                <w:szCs w:val="20"/>
                <w:color w:val="auto"/>
              </w:rPr>
            </w:pPr>
            <w:r>
              <w:rPr>
                <w:rFonts w:ascii="Arial" w:cs="Arial" w:eastAsia="Arial" w:hAnsi="Arial"/>
                <w:sz w:val="18"/>
                <w:szCs w:val="18"/>
                <w:color w:val="auto"/>
              </w:rPr>
              <w:t>(loss)</w:t>
            </w: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ind w:left="120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186"/>
        </w:trPr>
        <w:tc>
          <w:tcPr>
            <w:tcW w:w="5800" w:type="dxa"/>
            <w:vAlign w:val="bottom"/>
          </w:tcPr>
          <w:p>
            <w:pPr>
              <w:ind w:left="20"/>
              <w:spacing w:after="0" w:line="186" w:lineRule="exact"/>
              <w:rPr>
                <w:sz w:val="20"/>
                <w:szCs w:val="20"/>
                <w:color w:val="auto"/>
              </w:rPr>
            </w:pPr>
            <w:r>
              <w:rPr>
                <w:rFonts w:ascii="Arial" w:cs="Arial" w:eastAsia="Arial" w:hAnsi="Arial"/>
                <w:sz w:val="18"/>
                <w:szCs w:val="18"/>
                <w:color w:val="auto"/>
              </w:rPr>
              <w:t>Less: Net other comprehensive (income) loss attributable to</w:t>
            </w:r>
          </w:p>
        </w:tc>
        <w:tc>
          <w:tcPr>
            <w:tcW w:w="200" w:type="dxa"/>
            <w:vAlign w:val="bottom"/>
          </w:tcPr>
          <w:p>
            <w:pPr>
              <w:spacing w:after="0"/>
              <w:rPr>
                <w:sz w:val="16"/>
                <w:szCs w:val="16"/>
                <w:color w:val="auto"/>
              </w:rPr>
            </w:pPr>
          </w:p>
        </w:tc>
        <w:tc>
          <w:tcPr>
            <w:tcW w:w="1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5800" w:type="dxa"/>
            <w:vAlign w:val="bottom"/>
          </w:tcPr>
          <w:p>
            <w:pPr>
              <w:ind w:left="20"/>
              <w:spacing w:after="0"/>
              <w:rPr>
                <w:sz w:val="20"/>
                <w:szCs w:val="20"/>
                <w:color w:val="auto"/>
              </w:rPr>
            </w:pPr>
            <w:r>
              <w:rPr>
                <w:rFonts w:ascii="Arial" w:cs="Arial" w:eastAsia="Arial" w:hAnsi="Arial"/>
                <w:sz w:val="18"/>
                <w:szCs w:val="18"/>
                <w:color w:val="auto"/>
              </w:rPr>
              <w:t>noncontrolling interest</w:t>
            </w:r>
          </w:p>
        </w:tc>
        <w:tc>
          <w:tcPr>
            <w:tcW w:w="200" w:type="dxa"/>
            <w:vAlign w:val="bottom"/>
          </w:tcPr>
          <w:p>
            <w:pPr>
              <w:spacing w:after="0"/>
              <w:rPr>
                <w:sz w:val="18"/>
                <w:szCs w:val="18"/>
                <w:color w:val="auto"/>
              </w:rPr>
            </w:pPr>
          </w:p>
        </w:tc>
        <w:tc>
          <w:tcPr>
            <w:tcW w:w="1580" w:type="dxa"/>
            <w:vAlign w:val="bottom"/>
            <w:gridSpan w:val="2"/>
          </w:tcPr>
          <w:p>
            <w:pPr>
              <w:ind w:left="1200"/>
              <w:spacing w:after="0"/>
              <w:rPr>
                <w:sz w:val="20"/>
                <w:szCs w:val="20"/>
                <w:color w:val="auto"/>
              </w:rPr>
            </w:pPr>
            <w:r>
              <w:rPr>
                <w:rFonts w:ascii="Arial" w:cs="Arial" w:eastAsia="Arial" w:hAnsi="Arial"/>
                <w:sz w:val="18"/>
                <w:szCs w:val="18"/>
                <w:color w:val="auto"/>
              </w:rPr>
              <w:t>—</w:t>
            </w:r>
          </w:p>
        </w:tc>
        <w:tc>
          <w:tcPr>
            <w:tcW w:w="640" w:type="dxa"/>
            <w:vAlign w:val="bottom"/>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6"/>
        </w:trPr>
        <w:tc>
          <w:tcPr>
            <w:tcW w:w="58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March 31, 2021</w:t>
            </w:r>
          </w:p>
        </w:tc>
        <w:tc>
          <w:tcPr>
            <w:tcW w:w="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(124.3)</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640" w:type="dxa"/>
            <w:vAlign w:val="bottom"/>
            <w:tcBorders>
              <w:top w:val="single" w:sz="8" w:color="auto"/>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(120.3)</w:t>
            </w:r>
          </w:p>
        </w:tc>
        <w:tc>
          <w:tcPr>
            <w:tcW w:w="0" w:type="dxa"/>
            <w:vAlign w:val="bottom"/>
          </w:tcPr>
          <w:p>
            <w:pPr>
              <w:spacing w:after="0"/>
              <w:rPr>
                <w:sz w:val="1"/>
                <w:szCs w:val="1"/>
                <w:color w:val="auto"/>
              </w:rPr>
            </w:pPr>
          </w:p>
        </w:tc>
      </w:tr>
      <w:tr>
        <w:trPr>
          <w:trHeight w:val="20"/>
        </w:trPr>
        <w:tc>
          <w:tcPr>
            <w:tcW w:w="58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Fair Value Measurements</w:t>
      </w:r>
    </w:p>
    <w:p>
      <w:pPr>
        <w:spacing w:after="0" w:line="242"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The carrying amounts of cash and cash equivalents, net accounts receivable, accounts payable and accrued expenses and other current liabilities approximate fair value based on their short-term maturities. The carrying values of our debt and notes receivable approximate fair value as these instruments bear interest either at variable rates or fixed rates, which are not significantly different from market rates. The fair value measurements for our debt and notes receivable are considered to be Level 2 measurements based on the fair value hierarchy.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Recurring Fair Value Measurements</w:t>
      </w:r>
    </w:p>
    <w:p>
      <w:pPr>
        <w:spacing w:after="0" w:line="28"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tables present information about our gross assets and liabilities that are measured at fair value on a recurring basis (in millions):</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47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5260" w:type="dxa"/>
            <w:vAlign w:val="bottom"/>
            <w:tcBorders>
              <w:bottom w:val="single" w:sz="8" w:color="auto"/>
            </w:tcBorders>
            <w:gridSpan w:val="9"/>
          </w:tcPr>
          <w:p>
            <w:pPr>
              <w:jc w:val="right"/>
              <w:ind w:right="91"/>
              <w:spacing w:after="0"/>
              <w:rPr>
                <w:sz w:val="20"/>
                <w:szCs w:val="20"/>
                <w:color w:val="auto"/>
              </w:rPr>
            </w:pPr>
            <w:r>
              <w:rPr>
                <w:rFonts w:ascii="Arial" w:cs="Arial" w:eastAsia="Arial" w:hAnsi="Arial"/>
                <w:sz w:val="18"/>
                <w:szCs w:val="18"/>
                <w:b w:val="1"/>
                <w:bCs w:val="1"/>
                <w:color w:val="auto"/>
              </w:rPr>
              <w:t>Fair Value Measurements as of March 31, 2022</w:t>
            </w:r>
          </w:p>
        </w:tc>
        <w:tc>
          <w:tcPr>
            <w:tcW w:w="1140" w:type="dxa"/>
            <w:vAlign w:val="bottom"/>
            <w:tcBorders>
              <w:bottom w:val="single" w:sz="8" w:color="auto"/>
            </w:tcBorders>
          </w:tcPr>
          <w:p>
            <w:pPr>
              <w:spacing w:after="0"/>
              <w:rPr>
                <w:sz w:val="20"/>
                <w:szCs w:val="20"/>
                <w:color w:val="auto"/>
              </w:rPr>
            </w:pPr>
          </w:p>
        </w:tc>
      </w:tr>
      <w:tr>
        <w:trPr>
          <w:trHeight w:val="221"/>
        </w:trPr>
        <w:tc>
          <w:tcPr>
            <w:tcW w:w="4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40" w:type="dxa"/>
            <w:vAlign w:val="bottom"/>
            <w:gridSpan w:val="2"/>
          </w:tcPr>
          <w:p>
            <w:pPr>
              <w:ind w:left="40"/>
              <w:spacing w:after="0"/>
              <w:rPr>
                <w:sz w:val="20"/>
                <w:szCs w:val="20"/>
                <w:color w:val="auto"/>
              </w:rPr>
            </w:pPr>
            <w:r>
              <w:rPr>
                <w:rFonts w:ascii="Arial" w:cs="Arial" w:eastAsia="Arial" w:hAnsi="Arial"/>
                <w:sz w:val="18"/>
                <w:szCs w:val="18"/>
                <w:b w:val="1"/>
                <w:bCs w:val="1"/>
                <w:color w:val="auto"/>
              </w:rPr>
              <w:t>Level 1 Inputs</w:t>
            </w:r>
          </w:p>
        </w:tc>
        <w:tc>
          <w:tcPr>
            <w:tcW w:w="140" w:type="dxa"/>
            <w:vAlign w:val="bottom"/>
          </w:tcPr>
          <w:p>
            <w:pPr>
              <w:spacing w:after="0"/>
              <w:rPr>
                <w:sz w:val="19"/>
                <w:szCs w:val="19"/>
                <w:color w:val="auto"/>
              </w:rPr>
            </w:pPr>
          </w:p>
        </w:tc>
        <w:tc>
          <w:tcPr>
            <w:tcW w:w="1520" w:type="dxa"/>
            <w:vAlign w:val="bottom"/>
            <w:gridSpan w:val="2"/>
          </w:tcPr>
          <w:p>
            <w:pPr>
              <w:ind w:left="20"/>
              <w:spacing w:after="0"/>
              <w:rPr>
                <w:sz w:val="20"/>
                <w:szCs w:val="20"/>
                <w:color w:val="auto"/>
              </w:rPr>
            </w:pPr>
            <w:r>
              <w:rPr>
                <w:rFonts w:ascii="Arial" w:cs="Arial" w:eastAsia="Arial" w:hAnsi="Arial"/>
                <w:sz w:val="18"/>
                <w:szCs w:val="18"/>
                <w:b w:val="1"/>
                <w:bCs w:val="1"/>
                <w:color w:val="auto"/>
              </w:rPr>
              <w:t>Level 2 Inputs</w:t>
            </w:r>
          </w:p>
        </w:tc>
        <w:tc>
          <w:tcPr>
            <w:tcW w:w="140" w:type="dxa"/>
            <w:vAlign w:val="bottom"/>
          </w:tcPr>
          <w:p>
            <w:pPr>
              <w:spacing w:after="0"/>
              <w:rPr>
                <w:sz w:val="19"/>
                <w:szCs w:val="19"/>
                <w:color w:val="auto"/>
              </w:rPr>
            </w:pPr>
          </w:p>
        </w:tc>
        <w:tc>
          <w:tcPr>
            <w:tcW w:w="1520" w:type="dxa"/>
            <w:vAlign w:val="bottom"/>
            <w:gridSpan w:val="2"/>
          </w:tcPr>
          <w:p>
            <w:pPr>
              <w:ind w:left="40"/>
              <w:spacing w:after="0"/>
              <w:rPr>
                <w:sz w:val="20"/>
                <w:szCs w:val="20"/>
                <w:color w:val="auto"/>
              </w:rPr>
            </w:pPr>
            <w:r>
              <w:rPr>
                <w:rFonts w:ascii="Arial" w:cs="Arial" w:eastAsia="Arial" w:hAnsi="Arial"/>
                <w:sz w:val="18"/>
                <w:szCs w:val="18"/>
                <w:b w:val="1"/>
                <w:bCs w:val="1"/>
                <w:color w:val="auto"/>
              </w:rPr>
              <w:t>Level 3 Inputs</w:t>
            </w:r>
          </w:p>
        </w:tc>
        <w:tc>
          <w:tcPr>
            <w:tcW w:w="400" w:type="dxa"/>
            <w:vAlign w:val="bottom"/>
          </w:tcPr>
          <w:p>
            <w:pPr>
              <w:spacing w:after="0"/>
              <w:rPr>
                <w:sz w:val="19"/>
                <w:szCs w:val="19"/>
                <w:color w:val="auto"/>
              </w:rPr>
            </w:pPr>
          </w:p>
        </w:tc>
        <w:tc>
          <w:tcPr>
            <w:tcW w:w="1140" w:type="dxa"/>
            <w:vAlign w:val="bottom"/>
          </w:tcPr>
          <w:p>
            <w:pPr>
              <w:jc w:val="right"/>
              <w:ind w:right="471"/>
              <w:spacing w:after="0"/>
              <w:rPr>
                <w:sz w:val="20"/>
                <w:szCs w:val="20"/>
                <w:color w:val="auto"/>
              </w:rPr>
            </w:pPr>
            <w:r>
              <w:rPr>
                <w:rFonts w:ascii="Arial" w:cs="Arial" w:eastAsia="Arial" w:hAnsi="Arial"/>
                <w:sz w:val="18"/>
                <w:szCs w:val="18"/>
                <w:b w:val="1"/>
                <w:bCs w:val="1"/>
                <w:color w:val="auto"/>
              </w:rPr>
              <w:t>Total</w:t>
            </w:r>
          </w:p>
        </w:tc>
      </w:tr>
      <w:tr>
        <w:trPr>
          <w:trHeight w:val="207"/>
        </w:trPr>
        <w:tc>
          <w:tcPr>
            <w:tcW w:w="47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40" w:type="dxa"/>
            <w:vAlign w:val="bottom"/>
            <w:tcBorders>
              <w:top w:val="single" w:sz="8" w:color="auto"/>
            </w:tcBorders>
            <w:shd w:val="clear" w:color="auto" w:fill="CCEEFF"/>
          </w:tcPr>
          <w:p>
            <w:pPr>
              <w:spacing w:after="0"/>
              <w:rPr>
                <w:sz w:val="17"/>
                <w:szCs w:val="17"/>
                <w:color w:val="auto"/>
              </w:rPr>
            </w:pPr>
          </w:p>
        </w:tc>
        <w:tc>
          <w:tcPr>
            <w:tcW w:w="14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3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4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r>
      <w:tr>
        <w:trPr>
          <w:trHeight w:val="226"/>
        </w:trPr>
        <w:tc>
          <w:tcPr>
            <w:tcW w:w="4700" w:type="dxa"/>
            <w:vAlign w:val="bottom"/>
          </w:tcPr>
          <w:p>
            <w:pPr>
              <w:ind w:left="20"/>
              <w:spacing w:after="0"/>
              <w:rPr>
                <w:sz w:val="20"/>
                <w:szCs w:val="20"/>
                <w:color w:val="auto"/>
              </w:rPr>
            </w:pPr>
            <w:r>
              <w:rPr>
                <w:rFonts w:ascii="Arial" w:cs="Arial" w:eastAsia="Arial" w:hAnsi="Arial"/>
                <w:sz w:val="18"/>
                <w:szCs w:val="18"/>
                <w:color w:val="auto"/>
              </w:rPr>
              <w:t>Commodities contracts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873.0</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547.9</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8.1</w:t>
            </w:r>
          </w:p>
        </w:tc>
        <w:tc>
          <w:tcPr>
            <w:tcW w:w="120" w:type="dxa"/>
            <w:vAlign w:val="bottom"/>
          </w:tcPr>
          <w:p>
            <w:pPr>
              <w:spacing w:after="0"/>
              <w:rPr>
                <w:sz w:val="19"/>
                <w:szCs w:val="19"/>
                <w:color w:val="auto"/>
              </w:rPr>
            </w:pPr>
          </w:p>
        </w:tc>
        <w:tc>
          <w:tcPr>
            <w:tcW w:w="400" w:type="dxa"/>
            <w:vAlign w:val="bottom"/>
          </w:tcPr>
          <w:p>
            <w:pPr>
              <w:jc w:val="right"/>
              <w:ind w:right="191"/>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1,429.0</w:t>
            </w:r>
          </w:p>
        </w:tc>
      </w:tr>
      <w:tr>
        <w:trPr>
          <w:trHeight w:val="228"/>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rate contract</w:t>
            </w:r>
          </w:p>
        </w:tc>
        <w:tc>
          <w:tcPr>
            <w:tcW w:w="14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r>
      <w:tr>
        <w:trPr>
          <w:trHeight w:val="226"/>
        </w:trPr>
        <w:tc>
          <w:tcPr>
            <w:tcW w:w="4700" w:type="dxa"/>
            <w:vAlign w:val="bottom"/>
          </w:tcPr>
          <w:p>
            <w:pPr>
              <w:ind w:left="20"/>
              <w:spacing w:after="0"/>
              <w:rPr>
                <w:sz w:val="20"/>
                <w:szCs w:val="20"/>
                <w:color w:val="auto"/>
              </w:rPr>
            </w:pPr>
            <w:r>
              <w:rPr>
                <w:rFonts w:ascii="Arial" w:cs="Arial" w:eastAsia="Arial" w:hAnsi="Arial"/>
                <w:sz w:val="18"/>
                <w:szCs w:val="18"/>
                <w:color w:val="auto"/>
              </w:rPr>
              <w:t>Foreign currency contracts</w:t>
            </w:r>
          </w:p>
        </w:tc>
        <w:tc>
          <w:tcPr>
            <w:tcW w:w="140" w:type="dxa"/>
            <w:vAlign w:val="bottom"/>
          </w:tcPr>
          <w:p>
            <w:pPr>
              <w:spacing w:after="0"/>
              <w:rPr>
                <w:sz w:val="19"/>
                <w:szCs w:val="19"/>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7.7</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7.7</w:t>
            </w:r>
          </w:p>
        </w:tc>
      </w:tr>
      <w:tr>
        <w:trPr>
          <w:trHeight w:val="227"/>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surrender value of life insurance</w:t>
            </w:r>
          </w:p>
        </w:tc>
        <w:tc>
          <w:tcPr>
            <w:tcW w:w="14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14.8</w:t>
            </w:r>
          </w:p>
        </w:tc>
      </w:tr>
      <w:tr>
        <w:trPr>
          <w:trHeight w:val="221"/>
        </w:trPr>
        <w:tc>
          <w:tcPr>
            <w:tcW w:w="4700" w:type="dxa"/>
            <w:vAlign w:val="bottom"/>
          </w:tcPr>
          <w:p>
            <w:pPr>
              <w:ind w:left="20"/>
              <w:spacing w:after="0"/>
              <w:rPr>
                <w:sz w:val="20"/>
                <w:szCs w:val="20"/>
                <w:color w:val="auto"/>
              </w:rPr>
            </w:pPr>
            <w:r>
              <w:rPr>
                <w:rFonts w:ascii="Arial" w:cs="Arial" w:eastAsia="Arial" w:hAnsi="Arial"/>
                <w:sz w:val="18"/>
                <w:szCs w:val="18"/>
                <w:color w:val="auto"/>
              </w:rPr>
              <w:t>Total assets at fair value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873.0</w:t>
            </w: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587.4</w:t>
            </w: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w:t>
            </w:r>
          </w:p>
        </w:tc>
        <w:tc>
          <w:tcPr>
            <w:tcW w:w="120" w:type="dxa"/>
            <w:vAlign w:val="bottom"/>
          </w:tcPr>
          <w:p>
            <w:pPr>
              <w:spacing w:after="0"/>
              <w:rPr>
                <w:sz w:val="19"/>
                <w:szCs w:val="19"/>
                <w:color w:val="auto"/>
              </w:rPr>
            </w:pPr>
          </w:p>
        </w:tc>
        <w:tc>
          <w:tcPr>
            <w:tcW w:w="400" w:type="dxa"/>
            <w:vAlign w:val="bottom"/>
            <w:tcBorders>
              <w:top w:val="single" w:sz="8" w:color="auto"/>
              <w:bottom w:val="single" w:sz="8" w:color="auto"/>
            </w:tcBorders>
          </w:tcPr>
          <w:p>
            <w:pPr>
              <w:jc w:val="right"/>
              <w:ind w:right="191"/>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1,468.5</w:t>
            </w:r>
          </w:p>
        </w:tc>
      </w:tr>
      <w:tr>
        <w:trPr>
          <w:trHeight w:val="20"/>
        </w:trPr>
        <w:tc>
          <w:tcPr>
            <w:tcW w:w="47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r>
        <w:trPr>
          <w:trHeight w:val="220"/>
        </w:trPr>
        <w:tc>
          <w:tcPr>
            <w:tcW w:w="4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r>
      <w:tr>
        <w:trPr>
          <w:trHeight w:val="227"/>
        </w:trPr>
        <w:tc>
          <w:tcPr>
            <w:tcW w:w="4700" w:type="dxa"/>
            <w:vAlign w:val="bottom"/>
          </w:tcPr>
          <w:p>
            <w:pPr>
              <w:ind w:left="20"/>
              <w:spacing w:after="0"/>
              <w:rPr>
                <w:sz w:val="20"/>
                <w:szCs w:val="20"/>
                <w:color w:val="auto"/>
              </w:rPr>
            </w:pPr>
            <w:r>
              <w:rPr>
                <w:rFonts w:ascii="Arial" w:cs="Arial" w:eastAsia="Arial" w:hAnsi="Arial"/>
                <w:sz w:val="18"/>
                <w:szCs w:val="18"/>
                <w:b w:val="1"/>
                <w:bCs w:val="1"/>
                <w:color w:val="auto"/>
              </w:rPr>
              <w:t>Liabilities:</w:t>
            </w:r>
          </w:p>
        </w:tc>
        <w:tc>
          <w:tcPr>
            <w:tcW w:w="1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140" w:type="dxa"/>
            <w:vAlign w:val="bottom"/>
          </w:tcPr>
          <w:p>
            <w:pPr>
              <w:spacing w:after="0"/>
              <w:rPr>
                <w:sz w:val="19"/>
                <w:szCs w:val="19"/>
                <w:color w:val="auto"/>
              </w:rPr>
            </w:pPr>
          </w:p>
        </w:tc>
      </w:tr>
      <w:tr>
        <w:trPr>
          <w:trHeight w:val="227"/>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Commodities contracts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598.5</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790.7</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1,395.0</w:t>
            </w:r>
          </w:p>
        </w:tc>
      </w:tr>
      <w:tr>
        <w:trPr>
          <w:trHeight w:val="226"/>
        </w:trPr>
        <w:tc>
          <w:tcPr>
            <w:tcW w:w="4700" w:type="dxa"/>
            <w:vAlign w:val="bottom"/>
          </w:tcPr>
          <w:p>
            <w:pPr>
              <w:ind w:left="20"/>
              <w:spacing w:after="0"/>
              <w:rPr>
                <w:sz w:val="20"/>
                <w:szCs w:val="20"/>
                <w:color w:val="auto"/>
              </w:rPr>
            </w:pPr>
            <w:r>
              <w:rPr>
                <w:rFonts w:ascii="Arial" w:cs="Arial" w:eastAsia="Arial" w:hAnsi="Arial"/>
                <w:sz w:val="18"/>
                <w:szCs w:val="18"/>
                <w:color w:val="auto"/>
              </w:rPr>
              <w:t>Foreign currency contracts</w:t>
            </w:r>
          </w:p>
        </w:tc>
        <w:tc>
          <w:tcPr>
            <w:tcW w:w="140" w:type="dxa"/>
            <w:vAlign w:val="bottom"/>
          </w:tcPr>
          <w:p>
            <w:pPr>
              <w:spacing w:after="0"/>
              <w:rPr>
                <w:sz w:val="19"/>
                <w:szCs w:val="19"/>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11.8</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11.8</w:t>
            </w:r>
          </w:p>
        </w:tc>
      </w:tr>
      <w:tr>
        <w:trPr>
          <w:trHeight w:val="246"/>
        </w:trPr>
        <w:tc>
          <w:tcPr>
            <w:tcW w:w="47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liabilities at fair value</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598.5</w:t>
            </w: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802.5</w:t>
            </w:r>
          </w:p>
        </w:tc>
        <w:tc>
          <w:tcPr>
            <w:tcW w:w="14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400" w:type="dxa"/>
            <w:vAlign w:val="bottom"/>
            <w:tcBorders>
              <w:top w:val="single" w:sz="8" w:color="auto"/>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1,406.8</w:t>
            </w: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r>
      <w:tr>
        <w:trPr>
          <w:trHeight w:val="813"/>
        </w:trPr>
        <w:tc>
          <w:tcPr>
            <w:tcW w:w="4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0" w:type="dxa"/>
            <w:vAlign w:val="bottom"/>
          </w:tcPr>
          <w:p>
            <w:pPr>
              <w:jc w:val="right"/>
              <w:ind w:right="431"/>
              <w:spacing w:after="0"/>
              <w:rPr>
                <w:sz w:val="20"/>
                <w:szCs w:val="20"/>
                <w:color w:val="auto"/>
              </w:rPr>
            </w:pPr>
            <w:r>
              <w:rPr>
                <w:rFonts w:ascii="Arial" w:cs="Arial" w:eastAsia="Arial" w:hAnsi="Arial"/>
                <w:sz w:val="18"/>
                <w:szCs w:val="18"/>
                <w:color w:val="auto"/>
              </w:rPr>
              <w:t>13</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222"/>
        </w:trPr>
        <w:tc>
          <w:tcPr>
            <w:tcW w:w="470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40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38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400" w:type="dxa"/>
            <w:vAlign w:val="bottom"/>
            <w:tcBorders>
              <w:bottom w:val="single" w:sz="8" w:color="9A9A9A"/>
            </w:tcBorders>
          </w:tcPr>
          <w:p>
            <w:pPr>
              <w:spacing w:after="0"/>
              <w:rPr>
                <w:sz w:val="19"/>
                <w:szCs w:val="19"/>
                <w:color w:val="auto"/>
              </w:rPr>
            </w:pPr>
          </w:p>
        </w:tc>
        <w:tc>
          <w:tcPr>
            <w:tcW w:w="120" w:type="dxa"/>
            <w:vAlign w:val="bottom"/>
            <w:tcBorders>
              <w:bottom w:val="single" w:sz="8" w:color="9A9A9A"/>
            </w:tcBorders>
          </w:tcPr>
          <w:p>
            <w:pPr>
              <w:spacing w:after="0"/>
              <w:rPr>
                <w:sz w:val="19"/>
                <w:szCs w:val="19"/>
                <w:color w:val="auto"/>
              </w:rPr>
            </w:pPr>
          </w:p>
        </w:tc>
        <w:tc>
          <w:tcPr>
            <w:tcW w:w="400" w:type="dxa"/>
            <w:vAlign w:val="bottom"/>
            <w:tcBorders>
              <w:bottom w:val="single" w:sz="8" w:color="9A9A9A"/>
            </w:tcBorders>
          </w:tcPr>
          <w:p>
            <w:pPr>
              <w:spacing w:after="0"/>
              <w:rPr>
                <w:sz w:val="19"/>
                <w:szCs w:val="19"/>
                <w:color w:val="auto"/>
              </w:rPr>
            </w:pPr>
          </w:p>
        </w:tc>
        <w:tc>
          <w:tcPr>
            <w:tcW w:w="114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-29210</wp:posOffset>
            </wp:positionV>
            <wp:extent cx="3365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36"/>
        </w:trPr>
        <w:tc>
          <w:tcPr>
            <w:tcW w:w="470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5340" w:type="dxa"/>
            <w:vAlign w:val="bottom"/>
            <w:tcBorders>
              <w:bottom w:val="single" w:sz="8" w:color="auto"/>
            </w:tcBorders>
            <w:gridSpan w:val="9"/>
          </w:tcPr>
          <w:p>
            <w:pPr>
              <w:jc w:val="right"/>
              <w:spacing w:after="0"/>
              <w:rPr>
                <w:sz w:val="20"/>
                <w:szCs w:val="20"/>
                <w:color w:val="auto"/>
              </w:rPr>
            </w:pPr>
            <w:r>
              <w:rPr>
                <w:rFonts w:ascii="Arial" w:cs="Arial" w:eastAsia="Arial" w:hAnsi="Arial"/>
                <w:sz w:val="18"/>
                <w:szCs w:val="18"/>
                <w:b w:val="1"/>
                <w:bCs w:val="1"/>
                <w:color w:val="auto"/>
              </w:rPr>
              <w:t>Fair Value Measurements as of December 31, 2021</w:t>
            </w:r>
          </w:p>
        </w:tc>
        <w:tc>
          <w:tcPr>
            <w:tcW w:w="1060" w:type="dxa"/>
            <w:vAlign w:val="bottom"/>
            <w:tcBorders>
              <w:bottom w:val="single" w:sz="8" w:color="auto"/>
            </w:tcBorders>
          </w:tcPr>
          <w:p>
            <w:pPr>
              <w:spacing w:after="0"/>
              <w:rPr>
                <w:sz w:val="20"/>
                <w:szCs w:val="20"/>
                <w:color w:val="auto"/>
              </w:rPr>
            </w:pPr>
          </w:p>
        </w:tc>
      </w:tr>
      <w:tr>
        <w:trPr>
          <w:trHeight w:val="221"/>
        </w:trPr>
        <w:tc>
          <w:tcPr>
            <w:tcW w:w="47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40" w:type="dxa"/>
            <w:vAlign w:val="bottom"/>
            <w:gridSpan w:val="2"/>
          </w:tcPr>
          <w:p>
            <w:pPr>
              <w:ind w:left="40"/>
              <w:spacing w:after="0"/>
              <w:rPr>
                <w:sz w:val="20"/>
                <w:szCs w:val="20"/>
                <w:color w:val="auto"/>
              </w:rPr>
            </w:pPr>
            <w:r>
              <w:rPr>
                <w:rFonts w:ascii="Arial" w:cs="Arial" w:eastAsia="Arial" w:hAnsi="Arial"/>
                <w:sz w:val="18"/>
                <w:szCs w:val="18"/>
                <w:b w:val="1"/>
                <w:bCs w:val="1"/>
                <w:color w:val="auto"/>
              </w:rPr>
              <w:t>Level 1 Inputs</w:t>
            </w:r>
          </w:p>
        </w:tc>
        <w:tc>
          <w:tcPr>
            <w:tcW w:w="140" w:type="dxa"/>
            <w:vAlign w:val="bottom"/>
          </w:tcPr>
          <w:p>
            <w:pPr>
              <w:spacing w:after="0"/>
              <w:rPr>
                <w:sz w:val="19"/>
                <w:szCs w:val="19"/>
                <w:color w:val="auto"/>
              </w:rPr>
            </w:pPr>
          </w:p>
        </w:tc>
        <w:tc>
          <w:tcPr>
            <w:tcW w:w="1520" w:type="dxa"/>
            <w:vAlign w:val="bottom"/>
            <w:gridSpan w:val="2"/>
          </w:tcPr>
          <w:p>
            <w:pPr>
              <w:ind w:left="20"/>
              <w:spacing w:after="0"/>
              <w:rPr>
                <w:sz w:val="20"/>
                <w:szCs w:val="20"/>
                <w:color w:val="auto"/>
              </w:rPr>
            </w:pPr>
            <w:r>
              <w:rPr>
                <w:rFonts w:ascii="Arial" w:cs="Arial" w:eastAsia="Arial" w:hAnsi="Arial"/>
                <w:sz w:val="18"/>
                <w:szCs w:val="18"/>
                <w:b w:val="1"/>
                <w:bCs w:val="1"/>
                <w:color w:val="auto"/>
              </w:rPr>
              <w:t>Level 2 Inputs</w:t>
            </w:r>
          </w:p>
        </w:tc>
        <w:tc>
          <w:tcPr>
            <w:tcW w:w="140" w:type="dxa"/>
            <w:vAlign w:val="bottom"/>
          </w:tcPr>
          <w:p>
            <w:pPr>
              <w:spacing w:after="0"/>
              <w:rPr>
                <w:sz w:val="19"/>
                <w:szCs w:val="19"/>
                <w:color w:val="auto"/>
              </w:rPr>
            </w:pPr>
          </w:p>
        </w:tc>
        <w:tc>
          <w:tcPr>
            <w:tcW w:w="1520" w:type="dxa"/>
            <w:vAlign w:val="bottom"/>
            <w:gridSpan w:val="2"/>
          </w:tcPr>
          <w:p>
            <w:pPr>
              <w:ind w:left="40"/>
              <w:spacing w:after="0"/>
              <w:rPr>
                <w:sz w:val="20"/>
                <w:szCs w:val="20"/>
                <w:color w:val="auto"/>
              </w:rPr>
            </w:pPr>
            <w:r>
              <w:rPr>
                <w:rFonts w:ascii="Arial" w:cs="Arial" w:eastAsia="Arial" w:hAnsi="Arial"/>
                <w:sz w:val="18"/>
                <w:szCs w:val="18"/>
                <w:b w:val="1"/>
                <w:bCs w:val="1"/>
                <w:color w:val="auto"/>
              </w:rPr>
              <w:t>Level 3 Inputs</w:t>
            </w:r>
          </w:p>
        </w:tc>
        <w:tc>
          <w:tcPr>
            <w:tcW w:w="480" w:type="dxa"/>
            <w:vAlign w:val="bottom"/>
          </w:tcPr>
          <w:p>
            <w:pPr>
              <w:spacing w:after="0"/>
              <w:rPr>
                <w:sz w:val="19"/>
                <w:szCs w:val="19"/>
                <w:color w:val="auto"/>
              </w:rPr>
            </w:pPr>
          </w:p>
        </w:tc>
        <w:tc>
          <w:tcPr>
            <w:tcW w:w="1060" w:type="dxa"/>
            <w:vAlign w:val="bottom"/>
          </w:tcPr>
          <w:p>
            <w:pPr>
              <w:jc w:val="right"/>
              <w:ind w:right="471"/>
              <w:spacing w:after="0"/>
              <w:rPr>
                <w:sz w:val="20"/>
                <w:szCs w:val="20"/>
                <w:color w:val="auto"/>
              </w:rPr>
            </w:pPr>
            <w:r>
              <w:rPr>
                <w:rFonts w:ascii="Arial" w:cs="Arial" w:eastAsia="Arial" w:hAnsi="Arial"/>
                <w:sz w:val="18"/>
                <w:szCs w:val="18"/>
                <w:b w:val="1"/>
                <w:bCs w:val="1"/>
                <w:color w:val="auto"/>
              </w:rPr>
              <w:t>Total</w:t>
            </w:r>
          </w:p>
        </w:tc>
      </w:tr>
      <w:tr>
        <w:trPr>
          <w:trHeight w:val="207"/>
        </w:trPr>
        <w:tc>
          <w:tcPr>
            <w:tcW w:w="47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40" w:type="dxa"/>
            <w:vAlign w:val="bottom"/>
            <w:tcBorders>
              <w:top w:val="single" w:sz="8" w:color="auto"/>
            </w:tcBorders>
            <w:shd w:val="clear" w:color="auto" w:fill="CCEEFF"/>
          </w:tcPr>
          <w:p>
            <w:pPr>
              <w:spacing w:after="0"/>
              <w:rPr>
                <w:sz w:val="17"/>
                <w:szCs w:val="17"/>
                <w:color w:val="auto"/>
              </w:rPr>
            </w:pPr>
          </w:p>
        </w:tc>
        <w:tc>
          <w:tcPr>
            <w:tcW w:w="14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3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4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48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r>
      <w:tr>
        <w:trPr>
          <w:trHeight w:val="226"/>
        </w:trPr>
        <w:tc>
          <w:tcPr>
            <w:tcW w:w="4700" w:type="dxa"/>
            <w:vAlign w:val="bottom"/>
          </w:tcPr>
          <w:p>
            <w:pPr>
              <w:ind w:left="20"/>
              <w:spacing w:after="0"/>
              <w:rPr>
                <w:sz w:val="20"/>
                <w:szCs w:val="20"/>
                <w:color w:val="auto"/>
              </w:rPr>
            </w:pPr>
            <w:r>
              <w:rPr>
                <w:rFonts w:ascii="Arial" w:cs="Arial" w:eastAsia="Arial" w:hAnsi="Arial"/>
                <w:sz w:val="18"/>
                <w:szCs w:val="18"/>
                <w:color w:val="auto"/>
              </w:rPr>
              <w:t>Commodities contracts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513.3</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Pr>
          <w:p>
            <w:pPr>
              <w:jc w:val="right"/>
              <w:spacing w:after="0"/>
              <w:rPr>
                <w:sz w:val="20"/>
                <w:szCs w:val="20"/>
                <w:color w:val="auto"/>
              </w:rPr>
            </w:pPr>
            <w:r>
              <w:rPr>
                <w:rFonts w:ascii="Arial" w:cs="Arial" w:eastAsia="Arial" w:hAnsi="Arial"/>
                <w:sz w:val="18"/>
                <w:szCs w:val="18"/>
                <w:color w:val="auto"/>
              </w:rPr>
              <w:t>247.6</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Pr>
          <w:p>
            <w:pPr>
              <w:jc w:val="right"/>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19"/>
                <w:szCs w:val="19"/>
                <w:color w:val="auto"/>
              </w:rPr>
            </w:pPr>
          </w:p>
        </w:tc>
        <w:tc>
          <w:tcPr>
            <w:tcW w:w="480" w:type="dxa"/>
            <w:vAlign w:val="bottom"/>
          </w:tcPr>
          <w:p>
            <w:pPr>
              <w:jc w:val="right"/>
              <w:ind w:right="271"/>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763.5</w:t>
            </w:r>
          </w:p>
        </w:tc>
      </w:tr>
      <w:tr>
        <w:trPr>
          <w:trHeight w:val="228"/>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rate contract</w:t>
            </w:r>
          </w:p>
        </w:tc>
        <w:tc>
          <w:tcPr>
            <w:tcW w:w="14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r>
      <w:tr>
        <w:trPr>
          <w:trHeight w:val="226"/>
        </w:trPr>
        <w:tc>
          <w:tcPr>
            <w:tcW w:w="4700" w:type="dxa"/>
            <w:vAlign w:val="bottom"/>
          </w:tcPr>
          <w:p>
            <w:pPr>
              <w:ind w:left="20"/>
              <w:spacing w:after="0"/>
              <w:rPr>
                <w:sz w:val="20"/>
                <w:szCs w:val="20"/>
                <w:color w:val="auto"/>
              </w:rPr>
            </w:pPr>
            <w:r>
              <w:rPr>
                <w:rFonts w:ascii="Arial" w:cs="Arial" w:eastAsia="Arial" w:hAnsi="Arial"/>
                <w:sz w:val="18"/>
                <w:szCs w:val="18"/>
                <w:color w:val="auto"/>
              </w:rPr>
              <w:t>Foreign currency contracts</w:t>
            </w:r>
          </w:p>
        </w:tc>
        <w:tc>
          <w:tcPr>
            <w:tcW w:w="140" w:type="dxa"/>
            <w:vAlign w:val="bottom"/>
          </w:tcPr>
          <w:p>
            <w:pPr>
              <w:spacing w:after="0"/>
              <w:rPr>
                <w:sz w:val="19"/>
                <w:szCs w:val="19"/>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4.7</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27"/>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surrender value of life insurance</w:t>
            </w:r>
          </w:p>
        </w:tc>
        <w:tc>
          <w:tcPr>
            <w:tcW w:w="14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w:t>
            </w:r>
          </w:p>
        </w:tc>
      </w:tr>
      <w:tr>
        <w:trPr>
          <w:trHeight w:val="221"/>
        </w:trPr>
        <w:tc>
          <w:tcPr>
            <w:tcW w:w="4700" w:type="dxa"/>
            <w:vAlign w:val="bottom"/>
          </w:tcPr>
          <w:p>
            <w:pPr>
              <w:ind w:left="20"/>
              <w:spacing w:after="0"/>
              <w:rPr>
                <w:sz w:val="20"/>
                <w:szCs w:val="20"/>
                <w:color w:val="auto"/>
              </w:rPr>
            </w:pPr>
            <w:r>
              <w:rPr>
                <w:rFonts w:ascii="Arial" w:cs="Arial" w:eastAsia="Arial" w:hAnsi="Arial"/>
                <w:sz w:val="18"/>
                <w:szCs w:val="18"/>
                <w:color w:val="auto"/>
              </w:rPr>
              <w:t>Total assets at fair value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513.3</w:t>
            </w: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272.3</w:t>
            </w: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ind w:right="271"/>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788.3</w:t>
            </w:r>
          </w:p>
        </w:tc>
      </w:tr>
      <w:tr>
        <w:trPr>
          <w:trHeight w:val="20"/>
        </w:trPr>
        <w:tc>
          <w:tcPr>
            <w:tcW w:w="47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220"/>
        </w:trPr>
        <w:tc>
          <w:tcPr>
            <w:tcW w:w="47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r>
      <w:tr>
        <w:trPr>
          <w:trHeight w:val="227"/>
        </w:trPr>
        <w:tc>
          <w:tcPr>
            <w:tcW w:w="4700" w:type="dxa"/>
            <w:vAlign w:val="bottom"/>
          </w:tcPr>
          <w:p>
            <w:pPr>
              <w:ind w:left="20"/>
              <w:spacing w:after="0"/>
              <w:rPr>
                <w:sz w:val="20"/>
                <w:szCs w:val="20"/>
                <w:color w:val="auto"/>
              </w:rPr>
            </w:pPr>
            <w:r>
              <w:rPr>
                <w:rFonts w:ascii="Arial" w:cs="Arial" w:eastAsia="Arial" w:hAnsi="Arial"/>
                <w:sz w:val="18"/>
                <w:szCs w:val="18"/>
                <w:b w:val="1"/>
                <w:bCs w:val="1"/>
                <w:color w:val="auto"/>
              </w:rPr>
              <w:t>Liabilities:</w:t>
            </w:r>
          </w:p>
        </w:tc>
        <w:tc>
          <w:tcPr>
            <w:tcW w:w="1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7"/>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Commodities contracts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361.5</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378.6</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w:t>
            </w:r>
          </w:p>
        </w:tc>
        <w:tc>
          <w:tcPr>
            <w:tcW w:w="12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71"/>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743.9</w:t>
            </w:r>
          </w:p>
        </w:tc>
      </w:tr>
      <w:tr>
        <w:trPr>
          <w:trHeight w:val="226"/>
        </w:trPr>
        <w:tc>
          <w:tcPr>
            <w:tcW w:w="4700" w:type="dxa"/>
            <w:vAlign w:val="bottom"/>
          </w:tcPr>
          <w:p>
            <w:pPr>
              <w:ind w:left="20"/>
              <w:spacing w:after="0"/>
              <w:rPr>
                <w:sz w:val="20"/>
                <w:szCs w:val="20"/>
                <w:color w:val="auto"/>
              </w:rPr>
            </w:pPr>
            <w:r>
              <w:rPr>
                <w:rFonts w:ascii="Arial" w:cs="Arial" w:eastAsia="Arial" w:hAnsi="Arial"/>
                <w:sz w:val="18"/>
                <w:szCs w:val="18"/>
                <w:color w:val="auto"/>
              </w:rPr>
              <w:t>Interest rate contract</w:t>
            </w:r>
          </w:p>
        </w:tc>
        <w:tc>
          <w:tcPr>
            <w:tcW w:w="140" w:type="dxa"/>
            <w:vAlign w:val="bottom"/>
          </w:tcPr>
          <w:p>
            <w:pPr>
              <w:spacing w:after="0"/>
              <w:rPr>
                <w:sz w:val="19"/>
                <w:szCs w:val="19"/>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0.3</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5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0.3</w:t>
            </w:r>
          </w:p>
        </w:tc>
      </w:tr>
      <w:tr>
        <w:trPr>
          <w:trHeight w:val="227"/>
        </w:trPr>
        <w:tc>
          <w:tcPr>
            <w:tcW w:w="4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Foreign currency contracts</w:t>
            </w:r>
          </w:p>
        </w:tc>
        <w:tc>
          <w:tcPr>
            <w:tcW w:w="140" w:type="dxa"/>
            <w:vAlign w:val="bottom"/>
            <w:shd w:val="clear" w:color="auto" w:fill="CCEEFF"/>
          </w:tcPr>
          <w:p>
            <w:pPr>
              <w:spacing w:after="0"/>
              <w:rPr>
                <w:sz w:val="19"/>
                <w:szCs w:val="19"/>
                <w:color w:val="auto"/>
              </w:rPr>
            </w:pPr>
          </w:p>
        </w:tc>
        <w:tc>
          <w:tcPr>
            <w:tcW w:w="1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5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r>
      <w:tr>
        <w:trPr>
          <w:trHeight w:val="221"/>
        </w:trPr>
        <w:tc>
          <w:tcPr>
            <w:tcW w:w="4700" w:type="dxa"/>
            <w:vAlign w:val="bottom"/>
          </w:tcPr>
          <w:p>
            <w:pPr>
              <w:ind w:left="20"/>
              <w:spacing w:after="0"/>
              <w:rPr>
                <w:sz w:val="20"/>
                <w:szCs w:val="20"/>
                <w:color w:val="auto"/>
              </w:rPr>
            </w:pPr>
            <w:r>
              <w:rPr>
                <w:rFonts w:ascii="Arial" w:cs="Arial" w:eastAsia="Arial" w:hAnsi="Arial"/>
                <w:sz w:val="18"/>
                <w:szCs w:val="18"/>
                <w:color w:val="auto"/>
              </w:rPr>
              <w:t>Total liabilities at fair value</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361.5</w:t>
            </w: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383.2</w:t>
            </w:r>
          </w:p>
        </w:tc>
        <w:tc>
          <w:tcPr>
            <w:tcW w:w="14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ind w:right="271"/>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748.5</w:t>
            </w:r>
          </w:p>
        </w:tc>
      </w:tr>
      <w:tr>
        <w:trPr>
          <w:trHeight w:val="20"/>
        </w:trPr>
        <w:tc>
          <w:tcPr>
            <w:tcW w:w="47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For our derivative contracts, we may enter into master netting, collateral and offset agreements with counterparties. These agreements provide us the ability to offset a counterparty's rights and obligations, request additional collateral when necessary, or liquidate the collateral in the event of counterparty default. We net the fair value of cash collateral paid or received against fair value amounts recognized for net derivative positions executed with the same counterparty under the same master netting or offset agreement.</w:t>
      </w:r>
    </w:p>
    <w:p>
      <w:pPr>
        <w:spacing w:after="0" w:line="102"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We have elected to offset the recognized fair value amounts for multiple derivative instruments executed with the same counterparty in our financial statements when a legal right of offset exists. The following tables summarize those derivative balances subject to the right of offset as presented on our Consolidated Balance Sheets (in millions):</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26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gridSpan w:val="6"/>
          </w:tcPr>
          <w:p>
            <w:pPr>
              <w:ind w:left="40"/>
              <w:spacing w:after="0"/>
              <w:rPr>
                <w:sz w:val="20"/>
                <w:szCs w:val="20"/>
                <w:color w:val="auto"/>
              </w:rPr>
            </w:pPr>
            <w:r>
              <w:rPr>
                <w:rFonts w:ascii="Arial" w:cs="Arial" w:eastAsia="Arial" w:hAnsi="Arial"/>
                <w:sz w:val="18"/>
                <w:szCs w:val="18"/>
                <w:b w:val="1"/>
                <w:bCs w:val="1"/>
                <w:color w:val="auto"/>
                <w:w w:val="99"/>
              </w:rPr>
              <w:t>Fair Value as of March 31, 2022</w:t>
            </w:r>
          </w:p>
        </w:tc>
        <w:tc>
          <w:tcPr>
            <w:tcW w:w="160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7"/>
        </w:trPr>
        <w:tc>
          <w:tcPr>
            <w:tcW w:w="2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40" w:type="dxa"/>
            <w:vAlign w:val="bottom"/>
            <w:gridSpan w:val="2"/>
          </w:tcPr>
          <w:p>
            <w:pPr>
              <w:jc w:val="center"/>
              <w:ind w:right="260"/>
              <w:spacing w:after="0" w:line="168" w:lineRule="exact"/>
              <w:rPr>
                <w:sz w:val="20"/>
                <w:szCs w:val="20"/>
                <w:color w:val="auto"/>
              </w:rPr>
            </w:pPr>
            <w:r>
              <w:rPr>
                <w:rFonts w:ascii="Arial" w:cs="Arial" w:eastAsia="Arial" w:hAnsi="Arial"/>
                <w:sz w:val="18"/>
                <w:szCs w:val="18"/>
                <w:b w:val="1"/>
                <w:bCs w:val="1"/>
                <w:color w:val="auto"/>
                <w:w w:val="99"/>
              </w:rPr>
              <w:t>Gross</w:t>
            </w:r>
          </w:p>
        </w:tc>
        <w:tc>
          <w:tcPr>
            <w:tcW w:w="160" w:type="dxa"/>
            <w:vAlign w:val="bottom"/>
          </w:tcPr>
          <w:p>
            <w:pPr>
              <w:spacing w:after="0"/>
              <w:rPr>
                <w:sz w:val="14"/>
                <w:szCs w:val="14"/>
                <w:color w:val="auto"/>
              </w:rPr>
            </w:pPr>
          </w:p>
        </w:tc>
        <w:tc>
          <w:tcPr>
            <w:tcW w:w="1180" w:type="dxa"/>
            <w:vAlign w:val="bottom"/>
            <w:gridSpan w:val="2"/>
          </w:tcPr>
          <w:p>
            <w:pPr>
              <w:jc w:val="center"/>
              <w:ind w:right="300"/>
              <w:spacing w:after="0" w:line="168" w:lineRule="exact"/>
              <w:rPr>
                <w:sz w:val="20"/>
                <w:szCs w:val="20"/>
                <w:color w:val="auto"/>
              </w:rPr>
            </w:pPr>
            <w:r>
              <w:rPr>
                <w:rFonts w:ascii="Arial" w:cs="Arial" w:eastAsia="Arial" w:hAnsi="Arial"/>
                <w:sz w:val="18"/>
                <w:szCs w:val="18"/>
                <w:b w:val="1"/>
                <w:bCs w:val="1"/>
                <w:color w:val="auto"/>
                <w:w w:val="99"/>
              </w:rPr>
              <w:t>Gross</w:t>
            </w:r>
          </w:p>
        </w:tc>
        <w:tc>
          <w:tcPr>
            <w:tcW w:w="1340" w:type="dxa"/>
            <w:vAlign w:val="bottom"/>
            <w:gridSpan w:val="3"/>
            <w:vMerge w:val="restart"/>
          </w:tcPr>
          <w:p>
            <w:pPr>
              <w:ind w:left="40"/>
              <w:spacing w:after="0"/>
              <w:rPr>
                <w:sz w:val="20"/>
                <w:szCs w:val="20"/>
                <w:color w:val="auto"/>
              </w:rPr>
            </w:pPr>
            <w:r>
              <w:rPr>
                <w:rFonts w:ascii="Arial" w:cs="Arial" w:eastAsia="Arial" w:hAnsi="Arial"/>
                <w:sz w:val="18"/>
                <w:szCs w:val="18"/>
                <w:b w:val="1"/>
                <w:bCs w:val="1"/>
                <w:color w:val="auto"/>
              </w:rPr>
              <w:t>Net Amounts</w:t>
            </w:r>
          </w:p>
        </w:tc>
        <w:tc>
          <w:tcPr>
            <w:tcW w:w="160" w:type="dxa"/>
            <w:vAlign w:val="bottom"/>
          </w:tcPr>
          <w:p>
            <w:pPr>
              <w:spacing w:after="0"/>
              <w:rPr>
                <w:sz w:val="14"/>
                <w:szCs w:val="14"/>
                <w:color w:val="auto"/>
              </w:rPr>
            </w:pPr>
          </w:p>
        </w:tc>
        <w:tc>
          <w:tcPr>
            <w:tcW w:w="1200" w:type="dxa"/>
            <w:vAlign w:val="bottom"/>
            <w:gridSpan w:val="2"/>
            <w:vMerge w:val="restart"/>
          </w:tcPr>
          <w:p>
            <w:pPr>
              <w:jc w:val="center"/>
              <w:ind w:right="300"/>
              <w:spacing w:after="0"/>
              <w:rPr>
                <w:sz w:val="20"/>
                <w:szCs w:val="20"/>
                <w:color w:val="auto"/>
              </w:rPr>
            </w:pPr>
            <w:r>
              <w:rPr>
                <w:rFonts w:ascii="Arial" w:cs="Arial" w:eastAsia="Arial" w:hAnsi="Arial"/>
                <w:sz w:val="18"/>
                <w:szCs w:val="18"/>
                <w:b w:val="1"/>
                <w:bCs w:val="1"/>
                <w:color w:val="auto"/>
                <w:w w:val="95"/>
              </w:rPr>
              <w:t>Cash</w:t>
            </w:r>
          </w:p>
        </w:tc>
        <w:tc>
          <w:tcPr>
            <w:tcW w:w="160" w:type="dxa"/>
            <w:vAlign w:val="bottom"/>
          </w:tcPr>
          <w:p>
            <w:pPr>
              <w:spacing w:after="0"/>
              <w:rPr>
                <w:sz w:val="14"/>
                <w:szCs w:val="14"/>
                <w:color w:val="auto"/>
              </w:rPr>
            </w:pPr>
          </w:p>
        </w:tc>
        <w:tc>
          <w:tcPr>
            <w:tcW w:w="1740" w:type="dxa"/>
            <w:vAlign w:val="bottom"/>
            <w:gridSpan w:val="2"/>
          </w:tcPr>
          <w:p>
            <w:pPr>
              <w:jc w:val="center"/>
              <w:ind w:right="280"/>
              <w:spacing w:after="0" w:line="168" w:lineRule="exact"/>
              <w:rPr>
                <w:sz w:val="20"/>
                <w:szCs w:val="20"/>
                <w:color w:val="auto"/>
              </w:rPr>
            </w:pPr>
            <w:r>
              <w:rPr>
                <w:rFonts w:ascii="Arial" w:cs="Arial" w:eastAsia="Arial" w:hAnsi="Arial"/>
                <w:sz w:val="18"/>
                <w:szCs w:val="18"/>
                <w:b w:val="1"/>
                <w:bCs w:val="1"/>
                <w:color w:val="auto"/>
                <w:w w:val="99"/>
              </w:rPr>
              <w:t>Gross Amounts</w:t>
            </w:r>
          </w:p>
        </w:tc>
        <w:tc>
          <w:tcPr>
            <w:tcW w:w="4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40" w:type="dxa"/>
            <w:vAlign w:val="bottom"/>
            <w:gridSpan w:val="2"/>
          </w:tcPr>
          <w:p>
            <w:pPr>
              <w:jc w:val="center"/>
              <w:ind w:right="260"/>
              <w:spacing w:after="0" w:line="174" w:lineRule="exact"/>
              <w:rPr>
                <w:sz w:val="20"/>
                <w:szCs w:val="20"/>
                <w:color w:val="auto"/>
              </w:rPr>
            </w:pPr>
            <w:r>
              <w:rPr>
                <w:rFonts w:ascii="Arial" w:cs="Arial" w:eastAsia="Arial" w:hAnsi="Arial"/>
                <w:sz w:val="18"/>
                <w:szCs w:val="18"/>
                <w:b w:val="1"/>
                <w:bCs w:val="1"/>
                <w:color w:val="auto"/>
                <w:w w:val="97"/>
              </w:rPr>
              <w:t>Amounts</w:t>
            </w:r>
          </w:p>
        </w:tc>
        <w:tc>
          <w:tcPr>
            <w:tcW w:w="160" w:type="dxa"/>
            <w:vAlign w:val="bottom"/>
          </w:tcPr>
          <w:p>
            <w:pPr>
              <w:spacing w:after="0"/>
              <w:rPr>
                <w:sz w:val="15"/>
                <w:szCs w:val="15"/>
                <w:color w:val="auto"/>
              </w:rPr>
            </w:pPr>
          </w:p>
        </w:tc>
        <w:tc>
          <w:tcPr>
            <w:tcW w:w="1180" w:type="dxa"/>
            <w:vAlign w:val="bottom"/>
            <w:gridSpan w:val="2"/>
          </w:tcPr>
          <w:p>
            <w:pPr>
              <w:jc w:val="center"/>
              <w:ind w:right="300"/>
              <w:spacing w:after="0" w:line="174" w:lineRule="exact"/>
              <w:rPr>
                <w:sz w:val="20"/>
                <w:szCs w:val="20"/>
                <w:color w:val="auto"/>
              </w:rPr>
            </w:pPr>
            <w:r>
              <w:rPr>
                <w:rFonts w:ascii="Arial" w:cs="Arial" w:eastAsia="Arial" w:hAnsi="Arial"/>
                <w:sz w:val="18"/>
                <w:szCs w:val="18"/>
                <w:b w:val="1"/>
                <w:bCs w:val="1"/>
                <w:color w:val="auto"/>
                <w:w w:val="97"/>
              </w:rPr>
              <w:t>Amounts</w:t>
            </w:r>
          </w:p>
        </w:tc>
        <w:tc>
          <w:tcPr>
            <w:tcW w:w="1340" w:type="dxa"/>
            <w:vAlign w:val="bottom"/>
            <w:gridSpan w:val="3"/>
            <w:vMerge w:val="continue"/>
          </w:tcPr>
          <w:p>
            <w:pPr>
              <w:spacing w:after="0"/>
              <w:rPr>
                <w:sz w:val="15"/>
                <w:szCs w:val="15"/>
                <w:color w:val="auto"/>
              </w:rPr>
            </w:pPr>
          </w:p>
        </w:tc>
        <w:tc>
          <w:tcPr>
            <w:tcW w:w="160" w:type="dxa"/>
            <w:vAlign w:val="bottom"/>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740" w:type="dxa"/>
            <w:vAlign w:val="bottom"/>
            <w:gridSpan w:val="2"/>
          </w:tcPr>
          <w:p>
            <w:pPr>
              <w:jc w:val="center"/>
              <w:ind w:right="300"/>
              <w:spacing w:after="0" w:line="174" w:lineRule="exact"/>
              <w:rPr>
                <w:sz w:val="20"/>
                <w:szCs w:val="20"/>
                <w:color w:val="auto"/>
              </w:rPr>
            </w:pPr>
            <w:r>
              <w:rPr>
                <w:rFonts w:ascii="Arial" w:cs="Arial" w:eastAsia="Arial" w:hAnsi="Arial"/>
                <w:sz w:val="18"/>
                <w:szCs w:val="18"/>
                <w:b w:val="1"/>
                <w:bCs w:val="1"/>
                <w:color w:val="auto"/>
                <w:w w:val="99"/>
              </w:rPr>
              <w:t>without Right of</w:t>
            </w:r>
          </w:p>
        </w:tc>
        <w:tc>
          <w:tcPr>
            <w:tcW w:w="120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Net Amounts</w:t>
            </w:r>
          </w:p>
        </w:tc>
        <w:tc>
          <w:tcPr>
            <w:tcW w:w="0" w:type="dxa"/>
            <w:vAlign w:val="bottom"/>
          </w:tcPr>
          <w:p>
            <w:pPr>
              <w:spacing w:after="0"/>
              <w:rPr>
                <w:sz w:val="1"/>
                <w:szCs w:val="1"/>
                <w:color w:val="auto"/>
              </w:rPr>
            </w:pPr>
          </w:p>
        </w:tc>
      </w:tr>
      <w:tr>
        <w:trPr>
          <w:trHeight w:val="227"/>
        </w:trPr>
        <w:tc>
          <w:tcPr>
            <w:tcW w:w="2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8"/>
              </w:rPr>
              <w:t>Recognized</w:t>
            </w:r>
          </w:p>
        </w:tc>
        <w:tc>
          <w:tcPr>
            <w:tcW w:w="160" w:type="dxa"/>
            <w:vAlign w:val="bottom"/>
          </w:tcPr>
          <w:p>
            <w:pPr>
              <w:spacing w:after="0"/>
              <w:rPr>
                <w:sz w:val="19"/>
                <w:szCs w:val="19"/>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9"/>
              </w:rPr>
              <w:t>Offset</w:t>
            </w:r>
          </w:p>
        </w:tc>
        <w:tc>
          <w:tcPr>
            <w:tcW w:w="140" w:type="dxa"/>
            <w:vAlign w:val="bottom"/>
          </w:tcPr>
          <w:p>
            <w:pPr>
              <w:spacing w:after="0"/>
              <w:rPr>
                <w:sz w:val="19"/>
                <w:szCs w:val="19"/>
                <w:color w:val="auto"/>
              </w:rPr>
            </w:pPr>
          </w:p>
        </w:tc>
        <w:tc>
          <w:tcPr>
            <w:tcW w:w="1200" w:type="dxa"/>
            <w:vAlign w:val="bottom"/>
            <w:gridSpan w:val="2"/>
          </w:tcPr>
          <w:p>
            <w:pPr>
              <w:ind w:left="20"/>
              <w:spacing w:after="0"/>
              <w:rPr>
                <w:sz w:val="20"/>
                <w:szCs w:val="20"/>
                <w:color w:val="auto"/>
              </w:rPr>
            </w:pPr>
            <w:r>
              <w:rPr>
                <w:rFonts w:ascii="Arial" w:cs="Arial" w:eastAsia="Arial" w:hAnsi="Arial"/>
                <w:sz w:val="18"/>
                <w:szCs w:val="18"/>
                <w:b w:val="1"/>
                <w:bCs w:val="1"/>
                <w:color w:val="auto"/>
              </w:rPr>
              <w:t>Presented</w:t>
            </w:r>
          </w:p>
        </w:tc>
        <w:tc>
          <w:tcPr>
            <w:tcW w:w="160" w:type="dxa"/>
            <w:vAlign w:val="bottom"/>
          </w:tcPr>
          <w:p>
            <w:pPr>
              <w:spacing w:after="0"/>
              <w:rPr>
                <w:sz w:val="19"/>
                <w:szCs w:val="19"/>
                <w:color w:val="auto"/>
              </w:rPr>
            </w:pPr>
          </w:p>
        </w:tc>
        <w:tc>
          <w:tcPr>
            <w:tcW w:w="12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9"/>
              </w:rPr>
              <w:t>Collateral</w:t>
            </w:r>
          </w:p>
        </w:tc>
        <w:tc>
          <w:tcPr>
            <w:tcW w:w="160" w:type="dxa"/>
            <w:vAlign w:val="bottom"/>
          </w:tcPr>
          <w:p>
            <w:pPr>
              <w:spacing w:after="0"/>
              <w:rPr>
                <w:sz w:val="19"/>
                <w:szCs w:val="19"/>
                <w:color w:val="auto"/>
              </w:rPr>
            </w:pPr>
          </w:p>
        </w:tc>
        <w:tc>
          <w:tcPr>
            <w:tcW w:w="17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9"/>
              </w:rPr>
              <w:t>Offset</w:t>
            </w:r>
          </w:p>
        </w:tc>
        <w:tc>
          <w:tcPr>
            <w:tcW w:w="12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26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40" w:type="dxa"/>
            <w:vAlign w:val="bottom"/>
            <w:tcBorders>
              <w:top w:val="single" w:sz="8" w:color="auto"/>
            </w:tcBorders>
            <w:shd w:val="clear" w:color="auto" w:fill="CCEEFF"/>
          </w:tcPr>
          <w:p>
            <w:pPr>
              <w:spacing w:after="0"/>
              <w:rPr>
                <w:sz w:val="17"/>
                <w:szCs w:val="17"/>
                <w:color w:val="auto"/>
              </w:rPr>
            </w:pPr>
          </w:p>
        </w:tc>
        <w:tc>
          <w:tcPr>
            <w:tcW w:w="12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6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2620" w:type="dxa"/>
            <w:vAlign w:val="bottom"/>
          </w:tcPr>
          <w:p>
            <w:pPr>
              <w:ind w:left="20"/>
              <w:spacing w:after="0"/>
              <w:rPr>
                <w:sz w:val="20"/>
                <w:szCs w:val="20"/>
                <w:color w:val="auto"/>
              </w:rPr>
            </w:pPr>
            <w:r>
              <w:rPr>
                <w:rFonts w:ascii="Arial" w:cs="Arial" w:eastAsia="Arial" w:hAnsi="Arial"/>
                <w:sz w:val="18"/>
                <w:szCs w:val="18"/>
                <w:color w:val="auto"/>
              </w:rPr>
              <w:t>Commodities contracts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1,429.0</w:t>
            </w:r>
          </w:p>
        </w:tc>
        <w:tc>
          <w:tcPr>
            <w:tcW w:w="14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937.2</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491.8</w:t>
            </w:r>
          </w:p>
        </w:tc>
        <w:tc>
          <w:tcPr>
            <w:tcW w:w="14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70.1</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gridSpan w:val="2"/>
          </w:tcPr>
          <w:p>
            <w:pPr>
              <w:ind w:left="136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191"/>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421.7</w:t>
            </w:r>
          </w:p>
        </w:tc>
        <w:tc>
          <w:tcPr>
            <w:tcW w:w="0" w:type="dxa"/>
            <w:vAlign w:val="bottom"/>
          </w:tcPr>
          <w:p>
            <w:pPr>
              <w:spacing w:after="0"/>
              <w:rPr>
                <w:sz w:val="1"/>
                <w:szCs w:val="1"/>
                <w:color w:val="auto"/>
              </w:rPr>
            </w:pPr>
          </w:p>
        </w:tc>
      </w:tr>
      <w:tr>
        <w:trPr>
          <w:trHeight w:val="228"/>
        </w:trPr>
        <w:tc>
          <w:tcPr>
            <w:tcW w:w="2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rate contract</w:t>
            </w:r>
          </w:p>
        </w:tc>
        <w:tc>
          <w:tcPr>
            <w:tcW w:w="1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17.0</w:t>
            </w:r>
          </w:p>
        </w:tc>
        <w:tc>
          <w:tcPr>
            <w:tcW w:w="0" w:type="dxa"/>
            <w:vAlign w:val="bottom"/>
          </w:tcPr>
          <w:p>
            <w:pPr>
              <w:spacing w:after="0"/>
              <w:rPr>
                <w:sz w:val="1"/>
                <w:szCs w:val="1"/>
                <w:color w:val="auto"/>
              </w:rPr>
            </w:pPr>
          </w:p>
        </w:tc>
      </w:tr>
      <w:tr>
        <w:trPr>
          <w:trHeight w:val="226"/>
        </w:trPr>
        <w:tc>
          <w:tcPr>
            <w:tcW w:w="26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Foreign currency contracts</w:t>
            </w:r>
          </w:p>
        </w:tc>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7.7</w:t>
            </w:r>
          </w:p>
        </w:tc>
        <w:tc>
          <w:tcPr>
            <w:tcW w:w="14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w:t>
            </w:r>
          </w:p>
        </w:tc>
        <w:tc>
          <w:tcPr>
            <w:tcW w:w="14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14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ind w:left="13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40"/>
        </w:trPr>
        <w:tc>
          <w:tcPr>
            <w:tcW w:w="2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assets at fair value</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1,453.8</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943.3</w:t>
            </w:r>
          </w:p>
        </w:tc>
        <w:tc>
          <w:tcPr>
            <w:tcW w:w="14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510.5</w:t>
            </w:r>
          </w:p>
        </w:tc>
        <w:tc>
          <w:tcPr>
            <w:tcW w:w="14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gridSpan w:val="2"/>
            <w:shd w:val="clear" w:color="auto" w:fill="CCEEFF"/>
          </w:tcPr>
          <w:p>
            <w:pPr>
              <w:ind w:left="13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440.5</w:t>
            </w:r>
          </w:p>
        </w:tc>
        <w:tc>
          <w:tcPr>
            <w:tcW w:w="0" w:type="dxa"/>
            <w:vAlign w:val="bottom"/>
          </w:tcPr>
          <w:p>
            <w:pPr>
              <w:spacing w:after="0"/>
              <w:rPr>
                <w:sz w:val="1"/>
                <w:szCs w:val="1"/>
                <w:color w:val="auto"/>
              </w:rPr>
            </w:pPr>
          </w:p>
        </w:tc>
      </w:tr>
      <w:tr>
        <w:trPr>
          <w:trHeight w:val="20"/>
        </w:trPr>
        <w:tc>
          <w:tcPr>
            <w:tcW w:w="26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1"/>
        </w:trPr>
        <w:tc>
          <w:tcPr>
            <w:tcW w:w="2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7"/>
        </w:trPr>
        <w:tc>
          <w:tcPr>
            <w:tcW w:w="262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14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620" w:type="dxa"/>
            <w:vAlign w:val="bottom"/>
          </w:tcPr>
          <w:p>
            <w:pPr>
              <w:ind w:left="20"/>
              <w:spacing w:after="0"/>
              <w:rPr>
                <w:sz w:val="20"/>
                <w:szCs w:val="20"/>
                <w:color w:val="auto"/>
              </w:rPr>
            </w:pPr>
            <w:r>
              <w:rPr>
                <w:rFonts w:ascii="Arial" w:cs="Arial" w:eastAsia="Arial" w:hAnsi="Arial"/>
                <w:sz w:val="18"/>
                <w:szCs w:val="18"/>
                <w:color w:val="auto"/>
              </w:rPr>
              <w:t>Commodities contracts</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1,395.0</w:t>
            </w:r>
          </w:p>
        </w:tc>
        <w:tc>
          <w:tcPr>
            <w:tcW w:w="14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937.2</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457.8</w:t>
            </w:r>
          </w:p>
        </w:tc>
        <w:tc>
          <w:tcPr>
            <w:tcW w:w="14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7.4</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gridSpan w:val="2"/>
          </w:tcPr>
          <w:p>
            <w:pPr>
              <w:ind w:left="136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191"/>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450.3</w:t>
            </w:r>
          </w:p>
        </w:tc>
        <w:tc>
          <w:tcPr>
            <w:tcW w:w="0" w:type="dxa"/>
            <w:vAlign w:val="bottom"/>
          </w:tcPr>
          <w:p>
            <w:pPr>
              <w:spacing w:after="0"/>
              <w:rPr>
                <w:sz w:val="1"/>
                <w:szCs w:val="1"/>
                <w:color w:val="auto"/>
              </w:rPr>
            </w:pPr>
          </w:p>
        </w:tc>
      </w:tr>
      <w:tr>
        <w:trPr>
          <w:trHeight w:val="228"/>
        </w:trPr>
        <w:tc>
          <w:tcPr>
            <w:tcW w:w="2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Foreign currency contracts</w:t>
            </w:r>
          </w:p>
        </w:tc>
        <w:tc>
          <w:tcPr>
            <w:tcW w:w="1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11.8</w:t>
            </w:r>
          </w:p>
        </w:tc>
        <w:tc>
          <w:tcPr>
            <w:tcW w:w="14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w:t>
            </w:r>
          </w:p>
        </w:tc>
        <w:tc>
          <w:tcPr>
            <w:tcW w:w="14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4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shd w:val="clear" w:color="auto" w:fill="CCEEFF"/>
          </w:tcPr>
          <w:p>
            <w:pPr>
              <w:ind w:left="13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9"/>
        </w:trPr>
        <w:tc>
          <w:tcPr>
            <w:tcW w:w="2620" w:type="dxa"/>
            <w:vAlign w:val="bottom"/>
          </w:tcPr>
          <w:p>
            <w:pPr>
              <w:ind w:left="20"/>
              <w:spacing w:after="0" w:line="206" w:lineRule="exact"/>
              <w:rPr>
                <w:sz w:val="20"/>
                <w:szCs w:val="20"/>
                <w:color w:val="auto"/>
              </w:rPr>
            </w:pPr>
            <w:r>
              <w:rPr>
                <w:rFonts w:ascii="Arial" w:cs="Arial" w:eastAsia="Arial" w:hAnsi="Arial"/>
                <w:sz w:val="18"/>
                <w:szCs w:val="18"/>
                <w:color w:val="auto"/>
              </w:rPr>
              <w:t>Total liabilities at fair value</w:t>
            </w: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1,406.8</w:t>
            </w:r>
          </w:p>
        </w:tc>
        <w:tc>
          <w:tcPr>
            <w:tcW w:w="14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943.3</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463.5</w:t>
            </w:r>
          </w:p>
        </w:tc>
        <w:tc>
          <w:tcPr>
            <w:tcW w:w="14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7.4</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740" w:type="dxa"/>
            <w:vAlign w:val="bottom"/>
            <w:gridSpan w:val="2"/>
          </w:tcPr>
          <w:p>
            <w:pPr>
              <w:ind w:left="136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191"/>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456.1</w:t>
            </w:r>
          </w:p>
        </w:tc>
        <w:tc>
          <w:tcPr>
            <w:tcW w:w="0" w:type="dxa"/>
            <w:vAlign w:val="bottom"/>
          </w:tcPr>
          <w:p>
            <w:pPr>
              <w:spacing w:after="0"/>
              <w:rPr>
                <w:sz w:val="1"/>
                <w:szCs w:val="1"/>
                <w:color w:val="auto"/>
              </w:rPr>
            </w:pPr>
          </w:p>
        </w:tc>
      </w:tr>
      <w:tr>
        <w:trPr>
          <w:trHeight w:val="21"/>
        </w:trPr>
        <w:tc>
          <w:tcPr>
            <w:tcW w:w="26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0" w:type="dxa"/>
            <w:vAlign w:val="bottom"/>
            <w:tcBorders>
              <w:top w:val="single" w:sz="8" w:color="auto"/>
              <w:bottom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33"/>
        </w:trPr>
        <w:tc>
          <w:tcPr>
            <w:tcW w:w="26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gridSpan w:val="2"/>
          </w:tcPr>
          <w:p>
            <w:pPr>
              <w:jc w:val="right"/>
              <w:ind w:right="831"/>
              <w:spacing w:after="0"/>
              <w:rPr>
                <w:sz w:val="20"/>
                <w:szCs w:val="20"/>
                <w:color w:val="auto"/>
              </w:rPr>
            </w:pPr>
            <w:r>
              <w:rPr>
                <w:rFonts w:ascii="Arial" w:cs="Arial" w:eastAsia="Arial" w:hAnsi="Arial"/>
                <w:sz w:val="18"/>
                <w:szCs w:val="18"/>
                <w:color w:val="auto"/>
              </w:rPr>
              <w:t>14</w:t>
            </w: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262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20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60" w:type="dxa"/>
            <w:vAlign w:val="bottom"/>
            <w:tcBorders>
              <w:bottom w:val="single" w:sz="8" w:color="9A9A9A"/>
            </w:tcBorders>
          </w:tcPr>
          <w:p>
            <w:pPr>
              <w:spacing w:after="0"/>
              <w:rPr>
                <w:sz w:val="19"/>
                <w:szCs w:val="19"/>
                <w:color w:val="auto"/>
              </w:rPr>
            </w:pPr>
          </w:p>
        </w:tc>
        <w:tc>
          <w:tcPr>
            <w:tcW w:w="104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06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160" w:type="dxa"/>
            <w:vAlign w:val="bottom"/>
            <w:tcBorders>
              <w:bottom w:val="single" w:sz="8" w:color="9A9A9A"/>
            </w:tcBorders>
          </w:tcPr>
          <w:p>
            <w:pPr>
              <w:spacing w:after="0"/>
              <w:rPr>
                <w:sz w:val="19"/>
                <w:szCs w:val="19"/>
                <w:color w:val="auto"/>
              </w:rPr>
            </w:pPr>
          </w:p>
        </w:tc>
        <w:tc>
          <w:tcPr>
            <w:tcW w:w="1080" w:type="dxa"/>
            <w:vAlign w:val="bottom"/>
            <w:tcBorders>
              <w:bottom w:val="single" w:sz="8" w:color="9A9A9A"/>
            </w:tcBorders>
          </w:tcPr>
          <w:p>
            <w:pPr>
              <w:spacing w:after="0"/>
              <w:rPr>
                <w:sz w:val="19"/>
                <w:szCs w:val="19"/>
                <w:color w:val="auto"/>
              </w:rPr>
            </w:pPr>
          </w:p>
        </w:tc>
        <w:tc>
          <w:tcPr>
            <w:tcW w:w="120" w:type="dxa"/>
            <w:vAlign w:val="bottom"/>
            <w:tcBorders>
              <w:bottom w:val="single" w:sz="8" w:color="9A9A9A"/>
            </w:tcBorders>
          </w:tcPr>
          <w:p>
            <w:pPr>
              <w:spacing w:after="0"/>
              <w:rPr>
                <w:sz w:val="19"/>
                <w:szCs w:val="19"/>
                <w:color w:val="auto"/>
              </w:rPr>
            </w:pPr>
          </w:p>
        </w:tc>
        <w:tc>
          <w:tcPr>
            <w:tcW w:w="160" w:type="dxa"/>
            <w:vAlign w:val="bottom"/>
            <w:tcBorders>
              <w:bottom w:val="single" w:sz="8" w:color="9A9A9A"/>
            </w:tcBorders>
          </w:tcPr>
          <w:p>
            <w:pPr>
              <w:spacing w:after="0"/>
              <w:rPr>
                <w:sz w:val="19"/>
                <w:szCs w:val="19"/>
                <w:color w:val="auto"/>
              </w:rPr>
            </w:pPr>
          </w:p>
        </w:tc>
        <w:tc>
          <w:tcPr>
            <w:tcW w:w="160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400" w:type="dxa"/>
            <w:vAlign w:val="bottom"/>
            <w:tcBorders>
              <w:bottom w:val="single" w:sz="8" w:color="9A9A9A"/>
            </w:tcBorders>
          </w:tcPr>
          <w:p>
            <w:pPr>
              <w:spacing w:after="0"/>
              <w:rPr>
                <w:sz w:val="19"/>
                <w:szCs w:val="19"/>
                <w:color w:val="auto"/>
              </w:rPr>
            </w:pPr>
          </w:p>
        </w:tc>
        <w:tc>
          <w:tcPr>
            <w:tcW w:w="800" w:type="dxa"/>
            <w:vAlign w:val="bottom"/>
            <w:tcBorders>
              <w:bottom w:val="single" w:sz="8" w:color="9A9A9A"/>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-29210</wp:posOffset>
            </wp:positionV>
            <wp:extent cx="33655"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131" w:right="3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236"/>
        </w:trPr>
        <w:tc>
          <w:tcPr>
            <w:tcW w:w="25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4660" w:type="dxa"/>
            <w:vAlign w:val="bottom"/>
            <w:tcBorders>
              <w:bottom w:val="single" w:sz="8" w:color="auto"/>
            </w:tcBorders>
            <w:gridSpan w:val="9"/>
          </w:tcPr>
          <w:p>
            <w:pPr>
              <w:ind w:left="40"/>
              <w:spacing w:after="0"/>
              <w:rPr>
                <w:sz w:val="20"/>
                <w:szCs w:val="20"/>
                <w:color w:val="auto"/>
              </w:rPr>
            </w:pPr>
            <w:r>
              <w:rPr>
                <w:rFonts w:ascii="Arial" w:cs="Arial" w:eastAsia="Arial" w:hAnsi="Arial"/>
                <w:sz w:val="18"/>
                <w:szCs w:val="18"/>
                <w:b w:val="1"/>
                <w:bCs w:val="1"/>
                <w:color w:val="auto"/>
              </w:rPr>
              <w:t>Fair Value as of December 31, 2021</w:t>
            </w:r>
          </w:p>
        </w:tc>
        <w:tc>
          <w:tcPr>
            <w:tcW w:w="40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67"/>
        </w:trPr>
        <w:tc>
          <w:tcPr>
            <w:tcW w:w="25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gridSpan w:val="2"/>
          </w:tcPr>
          <w:p>
            <w:pPr>
              <w:jc w:val="center"/>
              <w:ind w:right="260"/>
              <w:spacing w:after="0" w:line="168" w:lineRule="exact"/>
              <w:rPr>
                <w:sz w:val="20"/>
                <w:szCs w:val="20"/>
                <w:color w:val="auto"/>
              </w:rPr>
            </w:pPr>
            <w:r>
              <w:rPr>
                <w:rFonts w:ascii="Arial" w:cs="Arial" w:eastAsia="Arial" w:hAnsi="Arial"/>
                <w:sz w:val="18"/>
                <w:szCs w:val="18"/>
                <w:b w:val="1"/>
                <w:bCs w:val="1"/>
                <w:color w:val="auto"/>
                <w:w w:val="96"/>
              </w:rPr>
              <w:t>Gross</w:t>
            </w:r>
          </w:p>
        </w:tc>
        <w:tc>
          <w:tcPr>
            <w:tcW w:w="180" w:type="dxa"/>
            <w:vAlign w:val="bottom"/>
          </w:tcPr>
          <w:p>
            <w:pPr>
              <w:spacing w:after="0"/>
              <w:rPr>
                <w:sz w:val="14"/>
                <w:szCs w:val="14"/>
                <w:color w:val="auto"/>
              </w:rPr>
            </w:pPr>
          </w:p>
        </w:tc>
        <w:tc>
          <w:tcPr>
            <w:tcW w:w="1160" w:type="dxa"/>
            <w:vAlign w:val="bottom"/>
            <w:gridSpan w:val="2"/>
          </w:tcPr>
          <w:p>
            <w:pPr>
              <w:jc w:val="center"/>
              <w:ind w:right="300"/>
              <w:spacing w:after="0" w:line="168" w:lineRule="exact"/>
              <w:rPr>
                <w:sz w:val="20"/>
                <w:szCs w:val="20"/>
                <w:color w:val="auto"/>
              </w:rPr>
            </w:pPr>
            <w:r>
              <w:rPr>
                <w:rFonts w:ascii="Arial" w:cs="Arial" w:eastAsia="Arial" w:hAnsi="Arial"/>
                <w:sz w:val="18"/>
                <w:szCs w:val="18"/>
                <w:b w:val="1"/>
                <w:bCs w:val="1"/>
                <w:color w:val="auto"/>
                <w:w w:val="96"/>
              </w:rPr>
              <w:t>Gross</w:t>
            </w:r>
          </w:p>
        </w:tc>
        <w:tc>
          <w:tcPr>
            <w:tcW w:w="1320" w:type="dxa"/>
            <w:vAlign w:val="bottom"/>
            <w:gridSpan w:val="3"/>
            <w:vMerge w:val="restart"/>
          </w:tcPr>
          <w:p>
            <w:pPr>
              <w:ind w:left="40"/>
              <w:spacing w:after="0"/>
              <w:rPr>
                <w:sz w:val="20"/>
                <w:szCs w:val="20"/>
                <w:color w:val="auto"/>
              </w:rPr>
            </w:pPr>
            <w:r>
              <w:rPr>
                <w:rFonts w:ascii="Arial" w:cs="Arial" w:eastAsia="Arial" w:hAnsi="Arial"/>
                <w:sz w:val="18"/>
                <w:szCs w:val="18"/>
                <w:b w:val="1"/>
                <w:bCs w:val="1"/>
                <w:color w:val="auto"/>
              </w:rPr>
              <w:t>Net Amounts</w:t>
            </w:r>
          </w:p>
        </w:tc>
        <w:tc>
          <w:tcPr>
            <w:tcW w:w="180" w:type="dxa"/>
            <w:vAlign w:val="bottom"/>
          </w:tcPr>
          <w:p>
            <w:pPr>
              <w:spacing w:after="0"/>
              <w:rPr>
                <w:sz w:val="14"/>
                <w:szCs w:val="14"/>
                <w:color w:val="auto"/>
              </w:rPr>
            </w:pPr>
          </w:p>
        </w:tc>
        <w:tc>
          <w:tcPr>
            <w:tcW w:w="1260" w:type="dxa"/>
            <w:vAlign w:val="bottom"/>
            <w:gridSpan w:val="2"/>
            <w:vMerge w:val="restart"/>
          </w:tcPr>
          <w:p>
            <w:pPr>
              <w:jc w:val="center"/>
              <w:ind w:right="320"/>
              <w:spacing w:after="0"/>
              <w:rPr>
                <w:sz w:val="20"/>
                <w:szCs w:val="20"/>
                <w:color w:val="auto"/>
              </w:rPr>
            </w:pPr>
            <w:r>
              <w:rPr>
                <w:rFonts w:ascii="Arial" w:cs="Arial" w:eastAsia="Arial" w:hAnsi="Arial"/>
                <w:sz w:val="18"/>
                <w:szCs w:val="18"/>
                <w:b w:val="1"/>
                <w:bCs w:val="1"/>
                <w:color w:val="auto"/>
                <w:w w:val="95"/>
              </w:rPr>
              <w:t>Cash</w:t>
            </w:r>
          </w:p>
        </w:tc>
        <w:tc>
          <w:tcPr>
            <w:tcW w:w="160" w:type="dxa"/>
            <w:vAlign w:val="bottom"/>
          </w:tcPr>
          <w:p>
            <w:pPr>
              <w:spacing w:after="0"/>
              <w:rPr>
                <w:sz w:val="14"/>
                <w:szCs w:val="14"/>
                <w:color w:val="auto"/>
              </w:rPr>
            </w:pPr>
          </w:p>
        </w:tc>
        <w:tc>
          <w:tcPr>
            <w:tcW w:w="1740" w:type="dxa"/>
            <w:vAlign w:val="bottom"/>
            <w:gridSpan w:val="2"/>
          </w:tcPr>
          <w:p>
            <w:pPr>
              <w:jc w:val="center"/>
              <w:ind w:right="280"/>
              <w:spacing w:after="0" w:line="168" w:lineRule="exact"/>
              <w:rPr>
                <w:sz w:val="20"/>
                <w:szCs w:val="20"/>
                <w:color w:val="auto"/>
              </w:rPr>
            </w:pPr>
            <w:r>
              <w:rPr>
                <w:rFonts w:ascii="Arial" w:cs="Arial" w:eastAsia="Arial" w:hAnsi="Arial"/>
                <w:sz w:val="18"/>
                <w:szCs w:val="18"/>
                <w:b w:val="1"/>
                <w:bCs w:val="1"/>
                <w:color w:val="auto"/>
                <w:w w:val="99"/>
              </w:rPr>
              <w:t>Gross Amounts</w:t>
            </w:r>
          </w:p>
        </w:tc>
        <w:tc>
          <w:tcPr>
            <w:tcW w:w="4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5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320" w:type="dxa"/>
            <w:vAlign w:val="bottom"/>
            <w:gridSpan w:val="2"/>
          </w:tcPr>
          <w:p>
            <w:pPr>
              <w:jc w:val="center"/>
              <w:ind w:right="260"/>
              <w:spacing w:after="0" w:line="174" w:lineRule="exact"/>
              <w:rPr>
                <w:sz w:val="20"/>
                <w:szCs w:val="20"/>
                <w:color w:val="auto"/>
              </w:rPr>
            </w:pPr>
            <w:r>
              <w:rPr>
                <w:rFonts w:ascii="Arial" w:cs="Arial" w:eastAsia="Arial" w:hAnsi="Arial"/>
                <w:sz w:val="18"/>
                <w:szCs w:val="18"/>
                <w:b w:val="1"/>
                <w:bCs w:val="1"/>
                <w:color w:val="auto"/>
                <w:w w:val="99"/>
              </w:rPr>
              <w:t>Amounts</w:t>
            </w:r>
          </w:p>
        </w:tc>
        <w:tc>
          <w:tcPr>
            <w:tcW w:w="180" w:type="dxa"/>
            <w:vAlign w:val="bottom"/>
          </w:tcPr>
          <w:p>
            <w:pPr>
              <w:spacing w:after="0"/>
              <w:rPr>
                <w:sz w:val="15"/>
                <w:szCs w:val="15"/>
                <w:color w:val="auto"/>
              </w:rPr>
            </w:pPr>
          </w:p>
        </w:tc>
        <w:tc>
          <w:tcPr>
            <w:tcW w:w="1160" w:type="dxa"/>
            <w:vAlign w:val="bottom"/>
            <w:gridSpan w:val="2"/>
          </w:tcPr>
          <w:p>
            <w:pPr>
              <w:jc w:val="center"/>
              <w:ind w:right="300"/>
              <w:spacing w:after="0" w:line="174" w:lineRule="exact"/>
              <w:rPr>
                <w:sz w:val="20"/>
                <w:szCs w:val="20"/>
                <w:color w:val="auto"/>
              </w:rPr>
            </w:pPr>
            <w:r>
              <w:rPr>
                <w:rFonts w:ascii="Arial" w:cs="Arial" w:eastAsia="Arial" w:hAnsi="Arial"/>
                <w:sz w:val="18"/>
                <w:szCs w:val="18"/>
                <w:b w:val="1"/>
                <w:bCs w:val="1"/>
                <w:color w:val="auto"/>
                <w:w w:val="99"/>
              </w:rPr>
              <w:t>Amounts</w:t>
            </w:r>
          </w:p>
        </w:tc>
        <w:tc>
          <w:tcPr>
            <w:tcW w:w="1320" w:type="dxa"/>
            <w:vAlign w:val="bottom"/>
            <w:gridSpan w:val="3"/>
            <w:vMerge w:val="continue"/>
          </w:tcPr>
          <w:p>
            <w:pPr>
              <w:spacing w:after="0"/>
              <w:rPr>
                <w:sz w:val="15"/>
                <w:szCs w:val="15"/>
                <w:color w:val="auto"/>
              </w:rPr>
            </w:pPr>
          </w:p>
        </w:tc>
        <w:tc>
          <w:tcPr>
            <w:tcW w:w="180" w:type="dxa"/>
            <w:vAlign w:val="bottom"/>
          </w:tcPr>
          <w:p>
            <w:pPr>
              <w:spacing w:after="0"/>
              <w:rPr>
                <w:sz w:val="15"/>
                <w:szCs w:val="15"/>
                <w:color w:val="auto"/>
              </w:rPr>
            </w:pPr>
          </w:p>
        </w:tc>
        <w:tc>
          <w:tcPr>
            <w:tcW w:w="12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740" w:type="dxa"/>
            <w:vAlign w:val="bottom"/>
            <w:gridSpan w:val="2"/>
          </w:tcPr>
          <w:p>
            <w:pPr>
              <w:jc w:val="center"/>
              <w:ind w:right="300"/>
              <w:spacing w:after="0" w:line="174" w:lineRule="exact"/>
              <w:rPr>
                <w:sz w:val="20"/>
                <w:szCs w:val="20"/>
                <w:color w:val="auto"/>
              </w:rPr>
            </w:pPr>
            <w:r>
              <w:rPr>
                <w:rFonts w:ascii="Arial" w:cs="Arial" w:eastAsia="Arial" w:hAnsi="Arial"/>
                <w:sz w:val="18"/>
                <w:szCs w:val="18"/>
                <w:b w:val="1"/>
                <w:bCs w:val="1"/>
                <w:color w:val="auto"/>
                <w:w w:val="99"/>
              </w:rPr>
              <w:t>without Right of</w:t>
            </w:r>
          </w:p>
        </w:tc>
        <w:tc>
          <w:tcPr>
            <w:tcW w:w="1200" w:type="dxa"/>
            <w:vAlign w:val="bottom"/>
            <w:gridSpan w:val="2"/>
            <w:vMerge w:val="restart"/>
          </w:tcPr>
          <w:p>
            <w:pPr>
              <w:jc w:val="right"/>
              <w:spacing w:after="0"/>
              <w:rPr>
                <w:sz w:val="20"/>
                <w:szCs w:val="20"/>
                <w:color w:val="auto"/>
              </w:rPr>
            </w:pPr>
            <w:r>
              <w:rPr>
                <w:rFonts w:ascii="Arial" w:cs="Arial" w:eastAsia="Arial" w:hAnsi="Arial"/>
                <w:sz w:val="18"/>
                <w:szCs w:val="18"/>
                <w:b w:val="1"/>
                <w:bCs w:val="1"/>
                <w:color w:val="auto"/>
              </w:rPr>
              <w:t>Net Amounts</w:t>
            </w:r>
          </w:p>
        </w:tc>
        <w:tc>
          <w:tcPr>
            <w:tcW w:w="0" w:type="dxa"/>
            <w:vAlign w:val="bottom"/>
          </w:tcPr>
          <w:p>
            <w:pPr>
              <w:spacing w:after="0"/>
              <w:rPr>
                <w:sz w:val="1"/>
                <w:szCs w:val="1"/>
                <w:color w:val="auto"/>
              </w:rPr>
            </w:pPr>
          </w:p>
        </w:tc>
      </w:tr>
      <w:tr>
        <w:trPr>
          <w:trHeight w:val="227"/>
        </w:trPr>
        <w:tc>
          <w:tcPr>
            <w:tcW w:w="25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6"/>
              </w:rPr>
              <w:t>Recognized</w:t>
            </w:r>
          </w:p>
        </w:tc>
        <w:tc>
          <w:tcPr>
            <w:tcW w:w="180" w:type="dxa"/>
            <w:vAlign w:val="bottom"/>
          </w:tcPr>
          <w:p>
            <w:pPr>
              <w:spacing w:after="0"/>
              <w:rPr>
                <w:sz w:val="19"/>
                <w:szCs w:val="19"/>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6"/>
              </w:rPr>
              <w:t>Offset</w:t>
            </w:r>
          </w:p>
        </w:tc>
        <w:tc>
          <w:tcPr>
            <w:tcW w:w="140" w:type="dxa"/>
            <w:vAlign w:val="bottom"/>
          </w:tcPr>
          <w:p>
            <w:pPr>
              <w:spacing w:after="0"/>
              <w:rPr>
                <w:sz w:val="19"/>
                <w:szCs w:val="19"/>
                <w:color w:val="auto"/>
              </w:rPr>
            </w:pPr>
          </w:p>
        </w:tc>
        <w:tc>
          <w:tcPr>
            <w:tcW w:w="1180" w:type="dxa"/>
            <w:vAlign w:val="bottom"/>
            <w:gridSpan w:val="2"/>
          </w:tcPr>
          <w:p>
            <w:pPr>
              <w:ind w:left="20"/>
              <w:spacing w:after="0"/>
              <w:rPr>
                <w:sz w:val="20"/>
                <w:szCs w:val="20"/>
                <w:color w:val="auto"/>
              </w:rPr>
            </w:pPr>
            <w:r>
              <w:rPr>
                <w:rFonts w:ascii="Arial" w:cs="Arial" w:eastAsia="Arial" w:hAnsi="Arial"/>
                <w:sz w:val="18"/>
                <w:szCs w:val="18"/>
                <w:b w:val="1"/>
                <w:bCs w:val="1"/>
                <w:color w:val="auto"/>
              </w:rPr>
              <w:t>Presented</w:t>
            </w:r>
          </w:p>
        </w:tc>
        <w:tc>
          <w:tcPr>
            <w:tcW w:w="180" w:type="dxa"/>
            <w:vAlign w:val="bottom"/>
          </w:tcPr>
          <w:p>
            <w:pPr>
              <w:spacing w:after="0"/>
              <w:rPr>
                <w:sz w:val="19"/>
                <w:szCs w:val="19"/>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9"/>
              </w:rPr>
              <w:t>Collateral</w:t>
            </w:r>
          </w:p>
        </w:tc>
        <w:tc>
          <w:tcPr>
            <w:tcW w:w="160" w:type="dxa"/>
            <w:vAlign w:val="bottom"/>
          </w:tcPr>
          <w:p>
            <w:pPr>
              <w:spacing w:after="0"/>
              <w:rPr>
                <w:sz w:val="19"/>
                <w:szCs w:val="19"/>
                <w:color w:val="auto"/>
              </w:rPr>
            </w:pPr>
          </w:p>
        </w:tc>
        <w:tc>
          <w:tcPr>
            <w:tcW w:w="174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9"/>
              </w:rPr>
              <w:t>Offset</w:t>
            </w:r>
          </w:p>
        </w:tc>
        <w:tc>
          <w:tcPr>
            <w:tcW w:w="12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25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Assets:</w:t>
            </w:r>
          </w:p>
        </w:tc>
        <w:tc>
          <w:tcPr>
            <w:tcW w:w="160" w:type="dxa"/>
            <w:vAlign w:val="bottom"/>
            <w:tcBorders>
              <w:top w:val="single" w:sz="8" w:color="auto"/>
            </w:tcBorders>
            <w:shd w:val="clear" w:color="auto" w:fill="CCEEFF"/>
          </w:tcPr>
          <w:p>
            <w:pPr>
              <w:spacing w:after="0"/>
              <w:rPr>
                <w:sz w:val="17"/>
                <w:szCs w:val="17"/>
                <w:color w:val="auto"/>
              </w:rPr>
            </w:pPr>
          </w:p>
        </w:tc>
        <w:tc>
          <w:tcPr>
            <w:tcW w:w="12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10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6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2560" w:type="dxa"/>
            <w:vAlign w:val="bottom"/>
          </w:tcPr>
          <w:p>
            <w:pPr>
              <w:ind w:left="20"/>
              <w:spacing w:after="0"/>
              <w:rPr>
                <w:sz w:val="20"/>
                <w:szCs w:val="20"/>
                <w:color w:val="auto"/>
              </w:rPr>
            </w:pPr>
            <w:r>
              <w:rPr>
                <w:rFonts w:ascii="Arial" w:cs="Arial" w:eastAsia="Arial" w:hAnsi="Arial"/>
                <w:sz w:val="18"/>
                <w:szCs w:val="18"/>
                <w:color w:val="auto"/>
              </w:rPr>
              <w:t>Commodities contracts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763.5</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513.1</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250.4</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7.6</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gridSpan w:val="2"/>
          </w:tcPr>
          <w:p>
            <w:pPr>
              <w:ind w:left="136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191"/>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242.8</w:t>
            </w:r>
          </w:p>
        </w:tc>
        <w:tc>
          <w:tcPr>
            <w:tcW w:w="0" w:type="dxa"/>
            <w:vAlign w:val="bottom"/>
          </w:tcPr>
          <w:p>
            <w:pPr>
              <w:spacing w:after="0"/>
              <w:rPr>
                <w:sz w:val="1"/>
                <w:szCs w:val="1"/>
                <w:color w:val="auto"/>
              </w:rPr>
            </w:pPr>
          </w:p>
        </w:tc>
      </w:tr>
      <w:tr>
        <w:trPr>
          <w:trHeight w:val="228"/>
        </w:trPr>
        <w:tc>
          <w:tcPr>
            <w:tcW w:w="2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rate contract</w:t>
            </w: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26"/>
        </w:trPr>
        <w:tc>
          <w:tcPr>
            <w:tcW w:w="25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Foreign currency contracts</w:t>
            </w:r>
          </w:p>
        </w:tc>
        <w:tc>
          <w:tcPr>
            <w:tcW w:w="1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w:t>
            </w: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ind w:left="13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41"/>
        </w:trPr>
        <w:tc>
          <w:tcPr>
            <w:tcW w:w="2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assets at fair value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773.6</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515.6</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258.0</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gridSpan w:val="2"/>
            <w:shd w:val="clear" w:color="auto" w:fill="CCEEFF"/>
          </w:tcPr>
          <w:p>
            <w:pPr>
              <w:ind w:left="13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250.4</w:t>
            </w:r>
          </w:p>
        </w:tc>
        <w:tc>
          <w:tcPr>
            <w:tcW w:w="0" w:type="dxa"/>
            <w:vAlign w:val="bottom"/>
          </w:tcPr>
          <w:p>
            <w:pPr>
              <w:spacing w:after="0"/>
              <w:rPr>
                <w:sz w:val="1"/>
                <w:szCs w:val="1"/>
                <w:color w:val="auto"/>
              </w:rPr>
            </w:pPr>
          </w:p>
        </w:tc>
      </w:tr>
      <w:tr>
        <w:trPr>
          <w:trHeight w:val="20"/>
        </w:trPr>
        <w:tc>
          <w:tcPr>
            <w:tcW w:w="25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2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7"/>
        </w:trPr>
        <w:tc>
          <w:tcPr>
            <w:tcW w:w="256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Liabilities:</w:t>
            </w: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2560" w:type="dxa"/>
            <w:vAlign w:val="bottom"/>
          </w:tcPr>
          <w:p>
            <w:pPr>
              <w:ind w:left="20"/>
              <w:spacing w:after="0"/>
              <w:rPr>
                <w:sz w:val="20"/>
                <w:szCs w:val="20"/>
                <w:color w:val="auto"/>
              </w:rPr>
            </w:pPr>
            <w:r>
              <w:rPr>
                <w:rFonts w:ascii="Arial" w:cs="Arial" w:eastAsia="Arial" w:hAnsi="Arial"/>
                <w:sz w:val="18"/>
                <w:szCs w:val="18"/>
                <w:color w:val="auto"/>
              </w:rPr>
              <w:t>Commodities contracts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spacing w:after="0"/>
              <w:rPr>
                <w:sz w:val="20"/>
                <w:szCs w:val="20"/>
                <w:color w:val="auto"/>
              </w:rPr>
            </w:pPr>
            <w:r>
              <w:rPr>
                <w:rFonts w:ascii="Arial" w:cs="Arial" w:eastAsia="Arial" w:hAnsi="Arial"/>
                <w:sz w:val="18"/>
                <w:szCs w:val="18"/>
                <w:color w:val="auto"/>
              </w:rPr>
              <w:t>743.9</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513.1</w:t>
            </w:r>
          </w:p>
        </w:tc>
        <w:tc>
          <w:tcPr>
            <w:tcW w:w="1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230.8</w:t>
            </w:r>
          </w:p>
        </w:tc>
        <w:tc>
          <w:tcPr>
            <w:tcW w:w="120" w:type="dxa"/>
            <w:vAlign w:val="bottom"/>
          </w:tcPr>
          <w:p>
            <w:pPr>
              <w:spacing w:after="0"/>
              <w:rPr>
                <w:sz w:val="19"/>
                <w:szCs w:val="19"/>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gridSpan w:val="2"/>
          </w:tcPr>
          <w:p>
            <w:pPr>
              <w:ind w:left="1360"/>
              <w:spacing w:after="0"/>
              <w:rPr>
                <w:sz w:val="20"/>
                <w:szCs w:val="20"/>
                <w:color w:val="auto"/>
              </w:rPr>
            </w:pPr>
            <w:r>
              <w:rPr>
                <w:rFonts w:ascii="Arial" w:cs="Arial" w:eastAsia="Arial" w:hAnsi="Arial"/>
                <w:sz w:val="18"/>
                <w:szCs w:val="18"/>
                <w:color w:val="auto"/>
              </w:rPr>
              <w:t>—</w:t>
            </w:r>
          </w:p>
        </w:tc>
        <w:tc>
          <w:tcPr>
            <w:tcW w:w="400" w:type="dxa"/>
            <w:vAlign w:val="bottom"/>
          </w:tcPr>
          <w:p>
            <w:pPr>
              <w:jc w:val="right"/>
              <w:ind w:right="191"/>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227.7</w:t>
            </w:r>
          </w:p>
        </w:tc>
        <w:tc>
          <w:tcPr>
            <w:tcW w:w="0" w:type="dxa"/>
            <w:vAlign w:val="bottom"/>
          </w:tcPr>
          <w:p>
            <w:pPr>
              <w:spacing w:after="0"/>
              <w:rPr>
                <w:sz w:val="1"/>
                <w:szCs w:val="1"/>
                <w:color w:val="auto"/>
              </w:rPr>
            </w:pPr>
          </w:p>
        </w:tc>
      </w:tr>
      <w:tr>
        <w:trPr>
          <w:trHeight w:val="228"/>
        </w:trPr>
        <w:tc>
          <w:tcPr>
            <w:tcW w:w="2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Interest rate contract</w:t>
            </w: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26"/>
        </w:trPr>
        <w:tc>
          <w:tcPr>
            <w:tcW w:w="25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Foreign currency contracts</w:t>
            </w:r>
          </w:p>
        </w:tc>
        <w:tc>
          <w:tcPr>
            <w:tcW w:w="1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w:t>
            </w: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ind w:left="13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41"/>
        </w:trPr>
        <w:tc>
          <w:tcPr>
            <w:tcW w:w="2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liabilities at fair value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748.5</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515.6</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232.8</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gridSpan w:val="2"/>
            <w:shd w:val="clear" w:color="auto" w:fill="CCEEFF"/>
          </w:tcPr>
          <w:p>
            <w:pPr>
              <w:ind w:left="13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229.7</w:t>
            </w:r>
          </w:p>
        </w:tc>
        <w:tc>
          <w:tcPr>
            <w:tcW w:w="0" w:type="dxa"/>
            <w:vAlign w:val="bottom"/>
          </w:tcPr>
          <w:p>
            <w:pPr>
              <w:spacing w:after="0"/>
              <w:rPr>
                <w:sz w:val="1"/>
                <w:szCs w:val="1"/>
                <w:color w:val="auto"/>
              </w:rPr>
            </w:pPr>
          </w:p>
        </w:tc>
      </w:tr>
      <w:tr>
        <w:trPr>
          <w:trHeight w:val="20"/>
        </w:trPr>
        <w:tc>
          <w:tcPr>
            <w:tcW w:w="25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At March 31, 2022 and December 31, 2021, we did not present any amounts gross on our Condensed Consolidated Balance Sheets where we had the right of offset.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 of Credit Risk</w:t>
      </w:r>
    </w:p>
    <w:p>
      <w:pPr>
        <w:spacing w:after="0" w:line="28" w:lineRule="exact"/>
        <w:rPr>
          <w:sz w:val="20"/>
          <w:szCs w:val="20"/>
          <w:color w:val="auto"/>
        </w:rPr>
      </w:pPr>
    </w:p>
    <w:p>
      <w:pPr>
        <w:jc w:val="both"/>
        <w:spacing w:after="0" w:line="250" w:lineRule="auto"/>
        <w:rPr>
          <w:sz w:val="20"/>
          <w:szCs w:val="20"/>
          <w:color w:val="auto"/>
        </w:rPr>
      </w:pPr>
      <w:r>
        <w:rPr>
          <w:rFonts w:ascii="Arial" w:cs="Arial" w:eastAsia="Arial" w:hAnsi="Arial"/>
          <w:sz w:val="18"/>
          <w:szCs w:val="18"/>
          <w:color w:val="auto"/>
        </w:rPr>
        <w:t>Our individual over-the-counter ("OTC") counterparty exposure is managed within predetermined credit limits and includes the use of cash-call margins when appropriate, thereby reducing the risk of significant nonperformance. At March 31, 2022, one of our counterparties with a total exposure of $81.5 million represented over 10% of our credit exposure to OTC derivative counterparties.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Nonrecurring Fair Value Measurements</w:t>
      </w:r>
    </w:p>
    <w:p>
      <w:pPr>
        <w:spacing w:after="0" w:line="28"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The fair values of nonrecurring assets or liabilities measured using Level 3 inputs were not material as of March 31, 2022 and December 31, 2021, respectively. The Flyers assets acquired and liabilities assumed were measured and recorded at their acquisition date fair values during the three months ended March 31, 2022 as discussed in Note 3. Acquisitions.</w:t>
      </w: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31" w:right="339" w:bottom="1440" w:gutter="0" w:footer="0" w:header="0"/>
        </w:sectPr>
      </w:pPr>
    </w:p>
    <w:bookmarkStart w:id="17" w:name="page18"/>
    <w:bookmarkEnd w:id="17"/>
    <w:p>
      <w:pPr>
        <w:spacing w:after="0"/>
        <w:rPr>
          <w:sz w:val="20"/>
          <w:szCs w:val="20"/>
          <w:color w:val="auto"/>
        </w:rPr>
      </w:pPr>
      <w:r>
        <w:rPr>
          <w:rFonts w:ascii="Arial" w:cs="Arial" w:eastAsia="Arial" w:hAnsi="Arial"/>
          <w:sz w:val="18"/>
          <w:szCs w:val="18"/>
          <w:b w:val="1"/>
          <w:bCs w:val="1"/>
          <w:color w:val="auto"/>
        </w:rPr>
        <w:t>9. Revenue from Contracts with Customers</w:t>
      </w:r>
    </w:p>
    <w:p>
      <w:pPr>
        <w:spacing w:after="0" w:line="242"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The following table presents our revenues from contracts with customers disaggregated by major geographic areas in which we conduct business (in millions):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20" w:type="dxa"/>
            <w:vAlign w:val="bottom"/>
          </w:tcPr>
          <w:p>
            <w:pPr>
              <w:spacing w:after="0"/>
              <w:rPr>
                <w:sz w:val="20"/>
                <w:szCs w:val="20"/>
                <w:color w:val="auto"/>
              </w:rPr>
            </w:pPr>
          </w:p>
        </w:tc>
        <w:tc>
          <w:tcPr>
            <w:tcW w:w="4520" w:type="dxa"/>
            <w:vAlign w:val="bottom"/>
            <w:tcBorders>
              <w:bottom w:val="single" w:sz="8" w:color="auto"/>
            </w:tcBorders>
            <w:gridSpan w:val="5"/>
          </w:tcPr>
          <w:p>
            <w:pPr>
              <w:jc w:val="right"/>
              <w:ind w:right="531"/>
              <w:spacing w:after="0"/>
              <w:rPr>
                <w:sz w:val="20"/>
                <w:szCs w:val="20"/>
                <w:color w:val="auto"/>
              </w:rPr>
            </w:pPr>
            <w:r>
              <w:rPr>
                <w:rFonts w:ascii="Arial" w:cs="Arial" w:eastAsia="Arial" w:hAnsi="Arial"/>
                <w:sz w:val="18"/>
                <w:szCs w:val="18"/>
                <w:b w:val="1"/>
                <w:bCs w:val="1"/>
                <w:color w:val="auto"/>
              </w:rPr>
              <w:t>For the Three Months Ended March 31,</w:t>
            </w:r>
          </w:p>
        </w:tc>
      </w:tr>
      <w:tr>
        <w:trPr>
          <w:trHeight w:val="221"/>
        </w:trPr>
        <w:tc>
          <w:tcPr>
            <w:tcW w:w="6720" w:type="dxa"/>
            <w:vAlign w:val="bottom"/>
            <w:tcBorders>
              <w:bottom w:val="single" w:sz="8" w:color="CCEEFF"/>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2022</w:t>
            </w:r>
          </w:p>
        </w:tc>
        <w:tc>
          <w:tcPr>
            <w:tcW w:w="820" w:type="dxa"/>
            <w:vAlign w:val="bottom"/>
            <w:tcBorders>
              <w:bottom w:val="single" w:sz="8" w:color="auto"/>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2021</w:t>
            </w:r>
          </w:p>
        </w:tc>
      </w:tr>
      <w:tr>
        <w:trPr>
          <w:trHeight w:val="220"/>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Aviation</w:t>
            </w:r>
          </w:p>
        </w:tc>
        <w:tc>
          <w:tcPr>
            <w:tcW w:w="1360" w:type="dxa"/>
            <w:vAlign w:val="bottom"/>
            <w:shd w:val="clear" w:color="auto" w:fill="CCEEFF"/>
          </w:tcPr>
          <w:p>
            <w:pPr>
              <w:jc w:val="right"/>
              <w:ind w:right="1151"/>
              <w:spacing w:after="0"/>
              <w:rPr>
                <w:sz w:val="20"/>
                <w:szCs w:val="20"/>
                <w:color w:val="auto"/>
              </w:rPr>
            </w:pPr>
            <w:r>
              <w:rPr>
                <w:rFonts w:ascii="Arial" w:cs="Arial" w:eastAsia="Arial" w:hAnsi="Arial"/>
                <w:sz w:val="18"/>
                <w:szCs w:val="18"/>
                <w:color w:val="auto"/>
                <w:w w:val="9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225.3</w:t>
            </w:r>
          </w:p>
        </w:tc>
        <w:tc>
          <w:tcPr>
            <w:tcW w:w="14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291"/>
              <w:spacing w:after="0"/>
              <w:rPr>
                <w:sz w:val="20"/>
                <w:szCs w:val="20"/>
                <w:color w:val="auto"/>
              </w:rPr>
            </w:pPr>
            <w:r>
              <w:rPr>
                <w:rFonts w:ascii="Arial" w:cs="Arial" w:eastAsia="Arial" w:hAnsi="Arial"/>
                <w:sz w:val="18"/>
                <w:szCs w:val="18"/>
                <w:color w:val="auto"/>
                <w:w w:val="9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121.4</w:t>
            </w: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Land</w:t>
            </w:r>
          </w:p>
        </w:tc>
        <w:tc>
          <w:tcPr>
            <w:tcW w:w="136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48.6</w:t>
            </w: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27"/>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Marine</w:t>
            </w:r>
          </w:p>
        </w:tc>
        <w:tc>
          <w:tcPr>
            <w:tcW w:w="136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1,145.4</w:t>
            </w:r>
          </w:p>
        </w:tc>
        <w:tc>
          <w:tcPr>
            <w:tcW w:w="14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718.8</w:t>
            </w:r>
          </w:p>
        </w:tc>
      </w:tr>
      <w:tr>
        <w:trPr>
          <w:trHeight w:val="220"/>
        </w:trPr>
        <w:tc>
          <w:tcPr>
            <w:tcW w:w="672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Asia Pacific</w:t>
            </w: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1,419.3</w:t>
            </w:r>
          </w:p>
        </w:tc>
        <w:tc>
          <w:tcPr>
            <w:tcW w:w="14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845.7</w:t>
            </w:r>
          </w:p>
        </w:tc>
      </w:tr>
      <w:tr>
        <w:trPr>
          <w:trHeight w:val="194"/>
        </w:trPr>
        <w:tc>
          <w:tcPr>
            <w:tcW w:w="6720" w:type="dxa"/>
            <w:vAlign w:val="bottom"/>
            <w:shd w:val="clear" w:color="auto" w:fill="CCEEFF"/>
          </w:tcPr>
          <w:p>
            <w:pPr>
              <w:spacing w:after="0"/>
              <w:rPr>
                <w:sz w:val="16"/>
                <w:szCs w:val="16"/>
                <w:color w:val="auto"/>
              </w:rPr>
            </w:pPr>
          </w:p>
        </w:tc>
        <w:tc>
          <w:tcPr>
            <w:tcW w:w="136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700" w:type="dxa"/>
            <w:vAlign w:val="bottom"/>
            <w:shd w:val="clear" w:color="auto" w:fill="CCEEFF"/>
          </w:tcPr>
          <w:p>
            <w:pPr>
              <w:spacing w:after="0"/>
              <w:rPr>
                <w:sz w:val="16"/>
                <w:szCs w:val="16"/>
                <w:color w:val="auto"/>
              </w:rPr>
            </w:pP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Aviation</w:t>
            </w:r>
          </w:p>
        </w:tc>
        <w:tc>
          <w:tcPr>
            <w:tcW w:w="136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641.9</w:t>
            </w: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266.9</w:t>
            </w:r>
          </w:p>
        </w:tc>
      </w:tr>
      <w:tr>
        <w:trPr>
          <w:trHeight w:val="228"/>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Land</w:t>
            </w:r>
          </w:p>
        </w:tc>
        <w:tc>
          <w:tcPr>
            <w:tcW w:w="13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1,038.4</w:t>
            </w:r>
          </w:p>
        </w:tc>
        <w:tc>
          <w:tcPr>
            <w:tcW w:w="14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609.9</w:t>
            </w:r>
          </w:p>
        </w:tc>
      </w:tr>
      <w:tr>
        <w:trPr>
          <w:trHeight w:val="226"/>
        </w:trPr>
        <w:tc>
          <w:tcPr>
            <w:tcW w:w="67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Marine</w:t>
            </w: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831.0</w:t>
            </w:r>
          </w:p>
        </w:tc>
        <w:tc>
          <w:tcPr>
            <w:tcW w:w="14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487.2</w:t>
            </w:r>
          </w:p>
        </w:tc>
      </w:tr>
      <w:tr>
        <w:trPr>
          <w:trHeight w:val="220"/>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EMEA</w:t>
            </w:r>
          </w:p>
        </w:tc>
        <w:tc>
          <w:tcPr>
            <w:tcW w:w="136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2,511.3</w:t>
            </w:r>
          </w:p>
        </w:tc>
        <w:tc>
          <w:tcPr>
            <w:tcW w:w="14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1,363.9</w:t>
            </w:r>
          </w:p>
        </w:tc>
      </w:tr>
      <w:tr>
        <w:trPr>
          <w:trHeight w:val="194"/>
        </w:trPr>
        <w:tc>
          <w:tcPr>
            <w:tcW w:w="672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700" w:type="dxa"/>
            <w:vAlign w:val="bottom"/>
          </w:tcPr>
          <w:p>
            <w:pPr>
              <w:spacing w:after="0"/>
              <w:rPr>
                <w:sz w:val="16"/>
                <w:szCs w:val="16"/>
                <w:color w:val="auto"/>
              </w:rPr>
            </w:pPr>
          </w:p>
        </w:tc>
      </w:tr>
      <w:tr>
        <w:trPr>
          <w:trHeight w:val="227"/>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Aviation</w:t>
            </w:r>
          </w:p>
        </w:tc>
        <w:tc>
          <w:tcPr>
            <w:tcW w:w="13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953.2</w:t>
            </w:r>
          </w:p>
        </w:tc>
        <w:tc>
          <w:tcPr>
            <w:tcW w:w="14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349.1</w:t>
            </w: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Land</w:t>
            </w:r>
          </w:p>
        </w:tc>
        <w:tc>
          <w:tcPr>
            <w:tcW w:w="136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198.4</w:t>
            </w: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122.7</w:t>
            </w:r>
          </w:p>
        </w:tc>
      </w:tr>
      <w:tr>
        <w:trPr>
          <w:trHeight w:val="227"/>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Marine</w:t>
            </w:r>
          </w:p>
        </w:tc>
        <w:tc>
          <w:tcPr>
            <w:tcW w:w="136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278.6</w:t>
            </w:r>
          </w:p>
        </w:tc>
        <w:tc>
          <w:tcPr>
            <w:tcW w:w="14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125.6</w:t>
            </w:r>
          </w:p>
        </w:tc>
      </w:tr>
      <w:tr>
        <w:trPr>
          <w:trHeight w:val="220"/>
        </w:trPr>
        <w:tc>
          <w:tcPr>
            <w:tcW w:w="672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LATAM</w:t>
            </w: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1,430.1</w:t>
            </w:r>
          </w:p>
        </w:tc>
        <w:tc>
          <w:tcPr>
            <w:tcW w:w="14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597.3</w:t>
            </w:r>
          </w:p>
        </w:tc>
      </w:tr>
      <w:tr>
        <w:trPr>
          <w:trHeight w:val="194"/>
        </w:trPr>
        <w:tc>
          <w:tcPr>
            <w:tcW w:w="6720" w:type="dxa"/>
            <w:vAlign w:val="bottom"/>
            <w:shd w:val="clear" w:color="auto" w:fill="CCEEFF"/>
          </w:tcPr>
          <w:p>
            <w:pPr>
              <w:spacing w:after="0"/>
              <w:rPr>
                <w:sz w:val="16"/>
                <w:szCs w:val="16"/>
                <w:color w:val="auto"/>
              </w:rPr>
            </w:pPr>
          </w:p>
        </w:tc>
        <w:tc>
          <w:tcPr>
            <w:tcW w:w="136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500" w:type="dxa"/>
            <w:vAlign w:val="bottom"/>
            <w:shd w:val="clear" w:color="auto" w:fill="CCEEFF"/>
          </w:tcPr>
          <w:p>
            <w:pPr>
              <w:spacing w:after="0"/>
              <w:rPr>
                <w:sz w:val="16"/>
                <w:szCs w:val="16"/>
                <w:color w:val="auto"/>
              </w:rPr>
            </w:pPr>
          </w:p>
        </w:tc>
        <w:tc>
          <w:tcPr>
            <w:tcW w:w="1700" w:type="dxa"/>
            <w:vAlign w:val="bottom"/>
            <w:shd w:val="clear" w:color="auto" w:fill="CCEEFF"/>
          </w:tcPr>
          <w:p>
            <w:pPr>
              <w:spacing w:after="0"/>
              <w:rPr>
                <w:sz w:val="16"/>
                <w:szCs w:val="16"/>
                <w:color w:val="auto"/>
              </w:rPr>
            </w:pP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Aviation</w:t>
            </w:r>
          </w:p>
        </w:tc>
        <w:tc>
          <w:tcPr>
            <w:tcW w:w="136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3,291.8</w:t>
            </w: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1,431.3</w:t>
            </w:r>
          </w:p>
        </w:tc>
      </w:tr>
      <w:tr>
        <w:trPr>
          <w:trHeight w:val="228"/>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Land</w:t>
            </w:r>
          </w:p>
        </w:tc>
        <w:tc>
          <w:tcPr>
            <w:tcW w:w="13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3,049.6</w:t>
            </w:r>
          </w:p>
        </w:tc>
        <w:tc>
          <w:tcPr>
            <w:tcW w:w="14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1,460.5</w:t>
            </w:r>
          </w:p>
        </w:tc>
      </w:tr>
      <w:tr>
        <w:trPr>
          <w:trHeight w:val="226"/>
        </w:trPr>
        <w:tc>
          <w:tcPr>
            <w:tcW w:w="67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Marine</w:t>
            </w:r>
          </w:p>
        </w:tc>
        <w:tc>
          <w:tcPr>
            <w:tcW w:w="13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559.4</w:t>
            </w:r>
          </w:p>
        </w:tc>
        <w:tc>
          <w:tcPr>
            <w:tcW w:w="14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255.6</w:t>
            </w:r>
          </w:p>
        </w:tc>
      </w:tr>
      <w:tr>
        <w:trPr>
          <w:trHeight w:val="220"/>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North America</w:t>
            </w:r>
          </w:p>
        </w:tc>
        <w:tc>
          <w:tcPr>
            <w:tcW w:w="136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6,900.8</w:t>
            </w:r>
          </w:p>
        </w:tc>
        <w:tc>
          <w:tcPr>
            <w:tcW w:w="14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3,147.4</w:t>
            </w:r>
          </w:p>
        </w:tc>
      </w:tr>
      <w:tr>
        <w:trPr>
          <w:trHeight w:val="194"/>
        </w:trPr>
        <w:tc>
          <w:tcPr>
            <w:tcW w:w="672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700" w:type="dxa"/>
            <w:vAlign w:val="bottom"/>
          </w:tcPr>
          <w:p>
            <w:pPr>
              <w:spacing w:after="0"/>
              <w:rPr>
                <w:sz w:val="16"/>
                <w:szCs w:val="16"/>
                <w:color w:val="auto"/>
              </w:rPr>
            </w:pPr>
          </w:p>
        </w:tc>
      </w:tr>
      <w:tr>
        <w:trPr>
          <w:trHeight w:val="227"/>
        </w:trPr>
        <w:tc>
          <w:tcPr>
            <w:tcW w:w="6720" w:type="dxa"/>
            <w:vAlign w:val="bottom"/>
            <w:shd w:val="clear" w:color="auto" w:fill="CCEEFF"/>
          </w:tcPr>
          <w:p>
            <w:pPr>
              <w:ind w:left="20"/>
              <w:spacing w:after="0" w:line="226" w:lineRule="exact"/>
              <w:rPr>
                <w:sz w:val="20"/>
                <w:szCs w:val="20"/>
                <w:color w:val="auto"/>
              </w:rPr>
            </w:pPr>
            <w:r>
              <w:rPr>
                <w:rFonts w:ascii="Arial" w:cs="Arial" w:eastAsia="Arial" w:hAnsi="Arial"/>
                <w:sz w:val="18"/>
                <w:szCs w:val="18"/>
                <w:color w:val="auto"/>
              </w:rPr>
              <w:t xml:space="preserve">Other revenues (excluded from ASC 606) </w:t>
            </w:r>
            <w:r>
              <w:rPr>
                <w:rFonts w:ascii="Arial" w:cs="Arial" w:eastAsia="Arial" w:hAnsi="Arial"/>
                <w:sz w:val="23"/>
                <w:szCs w:val="23"/>
                <w:color w:val="auto"/>
                <w:vertAlign w:val="superscript"/>
              </w:rPr>
              <w:t>(1)</w:t>
            </w:r>
          </w:p>
        </w:tc>
        <w:tc>
          <w:tcPr>
            <w:tcW w:w="13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120.5</w:t>
            </w:r>
          </w:p>
        </w:tc>
        <w:tc>
          <w:tcPr>
            <w:tcW w:w="14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r>
      <w:tr>
        <w:trPr>
          <w:trHeight w:val="213"/>
        </w:trPr>
        <w:tc>
          <w:tcPr>
            <w:tcW w:w="6720" w:type="dxa"/>
            <w:vAlign w:val="bottom"/>
            <w:tcBorders>
              <w:bottom w:val="single" w:sz="8" w:color="CCEEFF"/>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spacing w:after="0"/>
              <w:rPr>
                <w:sz w:val="18"/>
                <w:szCs w:val="18"/>
                <w:color w:val="auto"/>
              </w:rPr>
            </w:pPr>
          </w:p>
        </w:tc>
      </w:tr>
      <w:tr>
        <w:trPr>
          <w:trHeight w:val="245"/>
        </w:trPr>
        <w:tc>
          <w:tcPr>
            <w:tcW w:w="67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revenue</w:t>
            </w:r>
          </w:p>
        </w:tc>
        <w:tc>
          <w:tcPr>
            <w:tcW w:w="1360" w:type="dxa"/>
            <w:vAlign w:val="bottom"/>
            <w:tcBorders>
              <w:bottom w:val="single" w:sz="8" w:color="auto"/>
            </w:tcBorders>
            <w:shd w:val="clear" w:color="auto" w:fill="CCEEFF"/>
          </w:tcPr>
          <w:p>
            <w:pPr>
              <w:jc w:val="right"/>
              <w:ind w:right="1151"/>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12,382.0</w:t>
            </w:r>
          </w:p>
        </w:tc>
        <w:tc>
          <w:tcPr>
            <w:tcW w:w="14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auto"/>
            </w:tcBorders>
            <w:shd w:val="clear" w:color="auto" w:fill="CCEEFF"/>
          </w:tcPr>
          <w:p>
            <w:pPr>
              <w:jc w:val="right"/>
              <w:ind w:right="291"/>
              <w:spacing w:after="0"/>
              <w:rPr>
                <w:sz w:val="20"/>
                <w:szCs w:val="20"/>
                <w:color w:val="auto"/>
              </w:rPr>
            </w:pPr>
            <w:r>
              <w:rPr>
                <w:rFonts w:ascii="Arial" w:cs="Arial" w:eastAsia="Arial" w:hAnsi="Arial"/>
                <w:sz w:val="18"/>
                <w:szCs w:val="18"/>
                <w:color w:val="auto"/>
                <w:w w:val="99"/>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5,957.9</w:t>
            </w:r>
          </w:p>
        </w:tc>
      </w:tr>
      <w:tr>
        <w:trPr>
          <w:trHeight w:val="20"/>
        </w:trPr>
        <w:tc>
          <w:tcPr>
            <w:tcW w:w="67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300" w:hanging="293"/>
        <w:spacing w:after="0"/>
        <w:tabs>
          <w:tab w:leader="none" w:pos="300" w:val="left"/>
        </w:tabs>
        <w:numPr>
          <w:ilvl w:val="0"/>
          <w:numId w:val="7"/>
        </w:numPr>
        <w:rPr>
          <w:rFonts w:ascii="Arial" w:cs="Arial" w:eastAsia="Arial" w:hAnsi="Arial"/>
          <w:sz w:val="23"/>
          <w:szCs w:val="23"/>
          <w:color w:val="auto"/>
          <w:vertAlign w:val="superscript"/>
        </w:rPr>
      </w:pPr>
      <w:r>
        <w:rPr>
          <w:rFonts w:ascii="Arial" w:cs="Arial" w:eastAsia="Arial" w:hAnsi="Arial"/>
          <w:sz w:val="18"/>
          <w:szCs w:val="18"/>
          <w:color w:val="auto"/>
        </w:rPr>
        <w:t>Includes revenue from derivatives, leases, and other transactions that we account for under separate guidance.</w:t>
      </w:r>
    </w:p>
    <w:p>
      <w:pPr>
        <w:spacing w:after="0" w:line="107"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The nature of the receivables related to revenue from contracts with customers and other revenues (excluded from ASC 606) are substantially similar, as they are both generated from transactions with the same type of counterparties (e.g., separate fuel sales and storage lease with the same counterparty) and are entered into utilizing the same credit approval and monitoring procedures for all customers. As such, we believe the risk associated with the cash flows from the different types of receivables is not meaningful to separately disaggregate the accounts receivable balance presented on our Consolidated Balance Sheets. As of March 31, 2022 and December 31, 2021, the contract assets and contract liabilities recognized by the Company were not material.</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Income Taxes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color w:val="auto"/>
        </w:rPr>
        <w:t>Our income tax provision and the respective effective income tax rates are as follows (in millions, except for income tax rates):</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3740" w:type="dxa"/>
            <w:vAlign w:val="bottom"/>
          </w:tcPr>
          <w:p>
            <w:pPr>
              <w:spacing w:after="0"/>
              <w:rPr>
                <w:sz w:val="20"/>
                <w:szCs w:val="20"/>
                <w:color w:val="auto"/>
              </w:rPr>
            </w:pPr>
          </w:p>
        </w:tc>
        <w:tc>
          <w:tcPr>
            <w:tcW w:w="2780" w:type="dxa"/>
            <w:vAlign w:val="bottom"/>
          </w:tcPr>
          <w:p>
            <w:pPr>
              <w:spacing w:after="0"/>
              <w:rPr>
                <w:sz w:val="20"/>
                <w:szCs w:val="20"/>
                <w:color w:val="auto"/>
              </w:rPr>
            </w:pPr>
          </w:p>
        </w:tc>
        <w:tc>
          <w:tcPr>
            <w:tcW w:w="40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For the Three Months Ended March 31,</w:t>
            </w:r>
          </w:p>
        </w:tc>
        <w:tc>
          <w:tcPr>
            <w:tcW w:w="660" w:type="dxa"/>
            <w:vAlign w:val="bottom"/>
            <w:tcBorders>
              <w:bottom w:val="single" w:sz="8" w:color="auto"/>
            </w:tcBorders>
          </w:tcPr>
          <w:p>
            <w:pPr>
              <w:spacing w:after="0"/>
              <w:rPr>
                <w:sz w:val="20"/>
                <w:szCs w:val="20"/>
                <w:color w:val="auto"/>
              </w:rPr>
            </w:pPr>
          </w:p>
        </w:tc>
      </w:tr>
      <w:tr>
        <w:trPr>
          <w:trHeight w:val="221"/>
        </w:trPr>
        <w:tc>
          <w:tcPr>
            <w:tcW w:w="3740" w:type="dxa"/>
            <w:vAlign w:val="bottom"/>
            <w:tcBorders>
              <w:bottom w:val="single" w:sz="8" w:color="CCEEFF"/>
            </w:tcBorders>
          </w:tcPr>
          <w:p>
            <w:pPr>
              <w:spacing w:after="0"/>
              <w:rPr>
                <w:sz w:val="19"/>
                <w:szCs w:val="19"/>
                <w:color w:val="auto"/>
              </w:rPr>
            </w:pPr>
          </w:p>
        </w:tc>
        <w:tc>
          <w:tcPr>
            <w:tcW w:w="2780" w:type="dxa"/>
            <w:vAlign w:val="bottom"/>
            <w:tcBorders>
              <w:bottom w:val="single" w:sz="8" w:color="CCEEFF"/>
            </w:tcBorders>
          </w:tcPr>
          <w:p>
            <w:pPr>
              <w:spacing w:after="0"/>
              <w:rPr>
                <w:sz w:val="19"/>
                <w:szCs w:val="19"/>
                <w:color w:val="auto"/>
              </w:rPr>
            </w:pPr>
          </w:p>
        </w:tc>
        <w:tc>
          <w:tcPr>
            <w:tcW w:w="1520" w:type="dxa"/>
            <w:vAlign w:val="bottom"/>
            <w:tcBorders>
              <w:bottom w:val="single" w:sz="8" w:color="auto"/>
            </w:tcBorders>
          </w:tcPr>
          <w:p>
            <w:pPr>
              <w:jc w:val="right"/>
              <w:ind w:right="91"/>
              <w:spacing w:after="0"/>
              <w:rPr>
                <w:sz w:val="20"/>
                <w:szCs w:val="20"/>
                <w:color w:val="auto"/>
              </w:rPr>
            </w:pPr>
            <w:r>
              <w:rPr>
                <w:rFonts w:ascii="Arial" w:cs="Arial" w:eastAsia="Arial" w:hAnsi="Arial"/>
                <w:sz w:val="18"/>
                <w:szCs w:val="18"/>
                <w:b w:val="1"/>
                <w:bCs w:val="1"/>
                <w:color w:val="auto"/>
              </w:rPr>
              <w:t>2022</w:t>
            </w:r>
          </w:p>
        </w:tc>
        <w:tc>
          <w:tcPr>
            <w:tcW w:w="78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640" w:type="dxa"/>
            <w:vAlign w:val="bottom"/>
            <w:tcBorders>
              <w:bottom w:val="single" w:sz="8" w:color="auto"/>
            </w:tcBorders>
          </w:tcPr>
          <w:p>
            <w:pPr>
              <w:jc w:val="right"/>
              <w:ind w:right="191"/>
              <w:spacing w:after="0"/>
              <w:rPr>
                <w:sz w:val="20"/>
                <w:szCs w:val="20"/>
                <w:color w:val="auto"/>
              </w:rPr>
            </w:pPr>
            <w:r>
              <w:rPr>
                <w:rFonts w:ascii="Arial" w:cs="Arial" w:eastAsia="Arial" w:hAnsi="Arial"/>
                <w:sz w:val="18"/>
                <w:szCs w:val="18"/>
                <w:b w:val="1"/>
                <w:bCs w:val="1"/>
                <w:color w:val="auto"/>
              </w:rPr>
              <w:t>2021</w:t>
            </w:r>
          </w:p>
        </w:tc>
        <w:tc>
          <w:tcPr>
            <w:tcW w:w="660" w:type="dxa"/>
            <w:vAlign w:val="bottom"/>
            <w:tcBorders>
              <w:bottom w:val="single" w:sz="8" w:color="auto"/>
            </w:tcBorders>
          </w:tcPr>
          <w:p>
            <w:pPr>
              <w:spacing w:after="0"/>
              <w:rPr>
                <w:sz w:val="19"/>
                <w:szCs w:val="19"/>
                <w:color w:val="auto"/>
              </w:rPr>
            </w:pPr>
          </w:p>
        </w:tc>
      </w:tr>
      <w:tr>
        <w:trPr>
          <w:trHeight w:val="220"/>
        </w:trPr>
        <w:tc>
          <w:tcPr>
            <w:tcW w:w="374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tax provision</w:t>
            </w:r>
          </w:p>
        </w:tc>
        <w:tc>
          <w:tcPr>
            <w:tcW w:w="4300" w:type="dxa"/>
            <w:vAlign w:val="bottom"/>
            <w:gridSpan w:val="2"/>
            <w:shd w:val="clear" w:color="auto" w:fill="CCEEFF"/>
          </w:tcPr>
          <w:p>
            <w:pPr>
              <w:jc w:val="right"/>
              <w:ind w:right="1311"/>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6.4</w:t>
            </w:r>
          </w:p>
        </w:tc>
        <w:tc>
          <w:tcPr>
            <w:tcW w:w="120" w:type="dxa"/>
            <w:vAlign w:val="bottom"/>
            <w:shd w:val="clear" w:color="auto" w:fill="CCEEFF"/>
          </w:tcPr>
          <w:p>
            <w:pPr>
              <w:spacing w:after="0"/>
              <w:rPr>
                <w:sz w:val="19"/>
                <w:szCs w:val="19"/>
                <w:color w:val="auto"/>
              </w:rPr>
            </w:pPr>
          </w:p>
        </w:tc>
        <w:tc>
          <w:tcPr>
            <w:tcW w:w="1640" w:type="dxa"/>
            <w:vAlign w:val="bottom"/>
            <w:shd w:val="clear" w:color="auto" w:fill="CCEEFF"/>
          </w:tcPr>
          <w:p>
            <w:pPr>
              <w:jc w:val="right"/>
              <w:ind w:right="1431"/>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rPr>
              <w:t>8.8</w:t>
            </w:r>
          </w:p>
        </w:tc>
      </w:tr>
      <w:tr>
        <w:trPr>
          <w:trHeight w:val="225"/>
        </w:trPr>
        <w:tc>
          <w:tcPr>
            <w:tcW w:w="3740" w:type="dxa"/>
            <w:vAlign w:val="bottom"/>
          </w:tcPr>
          <w:p>
            <w:pPr>
              <w:ind w:left="20"/>
              <w:spacing w:after="0"/>
              <w:rPr>
                <w:sz w:val="20"/>
                <w:szCs w:val="20"/>
                <w:color w:val="auto"/>
              </w:rPr>
            </w:pPr>
            <w:r>
              <w:rPr>
                <w:rFonts w:ascii="Arial" w:cs="Arial" w:eastAsia="Arial" w:hAnsi="Arial"/>
                <w:sz w:val="18"/>
                <w:szCs w:val="18"/>
                <w:color w:val="auto"/>
              </w:rPr>
              <w:t>Effective income tax rate</w:t>
            </w:r>
          </w:p>
        </w:tc>
        <w:tc>
          <w:tcPr>
            <w:tcW w:w="27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19.5 %</w:t>
            </w:r>
          </w:p>
        </w:tc>
        <w:tc>
          <w:tcPr>
            <w:tcW w:w="1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31.8 %</w:t>
            </w:r>
          </w:p>
        </w:tc>
      </w:tr>
      <w:tr>
        <w:trPr>
          <w:trHeight w:val="841"/>
        </w:trPr>
        <w:tc>
          <w:tcPr>
            <w:tcW w:w="3740" w:type="dxa"/>
            <w:vAlign w:val="bottom"/>
          </w:tcPr>
          <w:p>
            <w:pPr>
              <w:spacing w:after="0"/>
              <w:rPr>
                <w:sz w:val="24"/>
                <w:szCs w:val="24"/>
                <w:color w:val="auto"/>
              </w:rPr>
            </w:pPr>
          </w:p>
        </w:tc>
        <w:tc>
          <w:tcPr>
            <w:tcW w:w="2780" w:type="dxa"/>
            <w:vAlign w:val="bottom"/>
          </w:tcPr>
          <w:p>
            <w:pPr>
              <w:jc w:val="right"/>
              <w:ind w:right="711"/>
              <w:spacing w:after="0"/>
              <w:rPr>
                <w:sz w:val="20"/>
                <w:szCs w:val="20"/>
                <w:color w:val="auto"/>
              </w:rPr>
            </w:pPr>
            <w:r>
              <w:rPr>
                <w:rFonts w:ascii="Arial" w:cs="Arial" w:eastAsia="Arial" w:hAnsi="Arial"/>
                <w:sz w:val="18"/>
                <w:szCs w:val="18"/>
                <w:color w:val="auto"/>
              </w:rPr>
              <w:t>16</w:t>
            </w:r>
          </w:p>
        </w:tc>
        <w:tc>
          <w:tcPr>
            <w:tcW w:w="15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660" w:type="dxa"/>
            <w:vAlign w:val="bottom"/>
          </w:tcPr>
          <w:p>
            <w:pPr>
              <w:spacing w:after="0"/>
              <w:rPr>
                <w:sz w:val="24"/>
                <w:szCs w:val="24"/>
                <w:color w:val="auto"/>
              </w:rPr>
            </w:pPr>
          </w:p>
        </w:tc>
      </w:tr>
      <w:tr>
        <w:trPr>
          <w:trHeight w:val="222"/>
        </w:trPr>
        <w:tc>
          <w:tcPr>
            <w:tcW w:w="3740" w:type="dxa"/>
            <w:vAlign w:val="bottom"/>
            <w:tcBorders>
              <w:bottom w:val="single" w:sz="8" w:color="9A9A9A"/>
            </w:tcBorders>
          </w:tcPr>
          <w:p>
            <w:pPr>
              <w:spacing w:after="0"/>
              <w:rPr>
                <w:sz w:val="19"/>
                <w:szCs w:val="19"/>
                <w:color w:val="auto"/>
              </w:rPr>
            </w:pPr>
          </w:p>
        </w:tc>
        <w:tc>
          <w:tcPr>
            <w:tcW w:w="2780" w:type="dxa"/>
            <w:vAlign w:val="bottom"/>
            <w:tcBorders>
              <w:bottom w:val="single" w:sz="8" w:color="9A9A9A"/>
            </w:tcBorders>
          </w:tcPr>
          <w:p>
            <w:pPr>
              <w:spacing w:after="0"/>
              <w:rPr>
                <w:sz w:val="19"/>
                <w:szCs w:val="19"/>
                <w:color w:val="auto"/>
              </w:rPr>
            </w:pPr>
          </w:p>
        </w:tc>
        <w:tc>
          <w:tcPr>
            <w:tcW w:w="1520" w:type="dxa"/>
            <w:vAlign w:val="bottom"/>
            <w:tcBorders>
              <w:bottom w:val="single" w:sz="8" w:color="9A9A9A"/>
            </w:tcBorders>
          </w:tcPr>
          <w:p>
            <w:pPr>
              <w:spacing w:after="0"/>
              <w:rPr>
                <w:sz w:val="19"/>
                <w:szCs w:val="19"/>
                <w:color w:val="auto"/>
              </w:rPr>
            </w:pPr>
          </w:p>
        </w:tc>
        <w:tc>
          <w:tcPr>
            <w:tcW w:w="780" w:type="dxa"/>
            <w:vAlign w:val="bottom"/>
            <w:tcBorders>
              <w:bottom w:val="single" w:sz="8" w:color="9A9A9A"/>
            </w:tcBorders>
          </w:tcPr>
          <w:p>
            <w:pPr>
              <w:spacing w:after="0"/>
              <w:rPr>
                <w:sz w:val="19"/>
                <w:szCs w:val="19"/>
                <w:color w:val="auto"/>
              </w:rPr>
            </w:pPr>
          </w:p>
        </w:tc>
        <w:tc>
          <w:tcPr>
            <w:tcW w:w="120" w:type="dxa"/>
            <w:vAlign w:val="bottom"/>
            <w:tcBorders>
              <w:bottom w:val="single" w:sz="8" w:color="9A9A9A"/>
            </w:tcBorders>
          </w:tcPr>
          <w:p>
            <w:pPr>
              <w:spacing w:after="0"/>
              <w:rPr>
                <w:sz w:val="19"/>
                <w:szCs w:val="19"/>
                <w:color w:val="auto"/>
              </w:rPr>
            </w:pPr>
          </w:p>
        </w:tc>
        <w:tc>
          <w:tcPr>
            <w:tcW w:w="1640" w:type="dxa"/>
            <w:vAlign w:val="bottom"/>
            <w:tcBorders>
              <w:bottom w:val="single" w:sz="8" w:color="9A9A9A"/>
            </w:tcBorders>
          </w:tcPr>
          <w:p>
            <w:pPr>
              <w:spacing w:after="0"/>
              <w:rPr>
                <w:sz w:val="19"/>
                <w:szCs w:val="19"/>
                <w:color w:val="auto"/>
              </w:rPr>
            </w:pPr>
          </w:p>
        </w:tc>
        <w:tc>
          <w:tcPr>
            <w:tcW w:w="660" w:type="dxa"/>
            <w:vAlign w:val="bottom"/>
            <w:tcBorders>
              <w:bottom w:val="single" w:sz="8" w:color="9A9A9A"/>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-29210</wp:posOffset>
            </wp:positionV>
            <wp:extent cx="3365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18" w:name="page19"/>
    <w:bookmarkEnd w:id="18"/>
    <w:p>
      <w:pPr>
        <w:jc w:val="both"/>
        <w:spacing w:after="0" w:line="248" w:lineRule="auto"/>
        <w:rPr>
          <w:sz w:val="20"/>
          <w:szCs w:val="20"/>
          <w:color w:val="auto"/>
        </w:rPr>
      </w:pPr>
      <w:r>
        <w:rPr>
          <w:rFonts w:ascii="Arial" w:cs="Arial" w:eastAsia="Arial" w:hAnsi="Arial"/>
          <w:sz w:val="18"/>
          <w:szCs w:val="18"/>
          <w:color w:val="auto"/>
        </w:rPr>
        <w:t>Our provision for income taxes for the three months ended March 31, 2022 includes a discrete income tax benefit of $1.2 million, net which relates to a tax benefit of $4.1 million for the remeasurement of an uncertain tax position, a tax expense of $2.0 million for changes related to our state apportionment factors and state net operating loss positions, and a tax expense of $0.8 million related to other worldwide adjustments. For the three months ended March 31, 2021, our provision for income taxes included a discrete income tax benefit of $1.2 million, net of which $1.6 million related to a tax adjustment for the final purchase price allocation on the sale of the MultiService payment solutions business ("MSTS").</w:t>
      </w:r>
    </w:p>
    <w:p>
      <w:pPr>
        <w:spacing w:after="0" w:line="104"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Our income tax provisions for the three months ended March 31, 2022 and 2021 were calculated based on the estimated annual effective income tax rates for the 2022 and 2021 years, respectively. The actual effective income tax rate for the 2022 year may be materially different for several reasons including differences between estimated versus actual results and the geographic tax jurisdictions in which the results are earned.</w:t>
      </w:r>
    </w:p>
    <w:p>
      <w:pPr>
        <w:spacing w:after="0" w:line="102"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We have various tax returns under examination both in the U.S. and foreign jurisdictions. The most material of these are in Denmark for the 2013 - 2019 tax years, South Korea for the 2011 - 2014 tax years, and the U.S. for the 2019 tax year. One of our subsidiaries in Denmark has been under audit for its 2013 - 2015 tax years since 2018 and was notified in March 2021 that its 2016 - 2019 tax years were also under examination. Through the three months ended March 31, 2022, we have received final tax assessments for the 2013 and 2014 tax years that were immaterial and a proposed tax assessment for the 2015 tax year of approximately $14.3 million (DKK 96.1 million). In April 2022, we received a proposed tax assessment for the 2016 and 2017 tax years of approximately $19.9 million (DKK 133.8 million) and $23.1 million (DKK 155.5 million), respectively. We believe these assessments are without merit and are vigorously defending against the actions. We have not yet received any proposed assessments related to the 2018 - 2019 tax years, which could be materially larger than the previous assessments if a similar methodology is applied.</w:t>
      </w:r>
    </w:p>
    <w:p>
      <w:pPr>
        <w:spacing w:after="0" w:line="103"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In March 2022, we received a proposed settlement for the 2011-2014 tax years of the Korean branch of one of our subsidiaries related to income tax assessment notices received in 2017 totaling $9.3 million (KRW 11.3 billion) and revised in 2021 to $8.8 million (KRW 10.6 billion). The proposed settlement reduces the total South Korean assessment for the 2011 - 2014 tax years to approximately $1.6 million (KRW 2.0 billion), including tax, interest, and penalties. We agreed to the settlement on April 25, 2022 and anticipate ultimately resolving the audit in 2022.</w:t>
      </w:r>
    </w:p>
    <w:p>
      <w:pPr>
        <w:spacing w:after="0" w:line="100"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The U.S. IRS examination for our 2019 tax year began in February 2022 and we are currently responding to information requests. In March 2022, we accepted and agreed to the remaining notices of proposed assessment received from the IRS in December 2021 for our 2017 and 2018 tax years. These assessments did not have a material impact on our income tax or financial results and no additional proposed assessments are expected for the 2017 and 2018 years.</w:t>
      </w:r>
    </w:p>
    <w:p>
      <w:pPr>
        <w:spacing w:after="0" w:line="102"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An unfavorable resolution of one or more of the above matters could have a material adverse effect on our operating results or cash flows in the quarter or year in which the adjustments are recorded, or the tax is due or paid. As examinations are still in process or have not yet reached the final stages of the appeals process, the timing of the ultimate resolution or payments that may be required cannot be determined at this time.</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Business Segments</w:t>
      </w:r>
    </w:p>
    <w:p>
      <w:pPr>
        <w:spacing w:after="0" w:line="242"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We operate in three reportable segments consisting of aviation, land and marine. Corporate expenses are allocated to the segments based on usage, where possible, or on other factors according to the nature of the activity. Our operating segments are determined based on the different markets in which we provide products and services, which are defined primarily by the customers (businesses and governmental) and the products and services provided to those customers. As discussed in Note 3. Acquisitions, Flyers is reported as part of our land segment subsequent to the acquisition on January 3, 2022. We use Income from operations as our primary measure of profit as we believe it is the most meaningful measure to allocate resources and assess the performance or our segments.</w:t>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19" w:name="page20"/>
    <w:bookmarkEnd w:id="19"/>
    <w:p>
      <w:pPr>
        <w:spacing w:after="0"/>
        <w:rPr>
          <w:sz w:val="20"/>
          <w:szCs w:val="20"/>
          <w:color w:val="auto"/>
        </w:rPr>
      </w:pPr>
      <w:r>
        <w:rPr>
          <w:rFonts w:ascii="Arial" w:cs="Arial" w:eastAsia="Arial" w:hAnsi="Arial"/>
          <w:sz w:val="18"/>
          <w:szCs w:val="18"/>
          <w:color w:val="auto"/>
        </w:rPr>
        <w:t>Information concerning our Revenue and Income from operations by reportable segment is as follows (in millions):</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4160" w:type="dxa"/>
            <w:vAlign w:val="bottom"/>
            <w:tcBorders>
              <w:bottom w:val="single" w:sz="8" w:color="auto"/>
            </w:tcBorders>
            <w:gridSpan w:val="4"/>
          </w:tcPr>
          <w:p>
            <w:pPr>
              <w:jc w:val="right"/>
              <w:ind w:right="531"/>
              <w:spacing w:after="0"/>
              <w:rPr>
                <w:sz w:val="20"/>
                <w:szCs w:val="20"/>
                <w:color w:val="auto"/>
              </w:rPr>
            </w:pPr>
            <w:r>
              <w:rPr>
                <w:rFonts w:ascii="Arial" w:cs="Arial" w:eastAsia="Arial" w:hAnsi="Arial"/>
                <w:sz w:val="18"/>
                <w:szCs w:val="18"/>
                <w:b w:val="1"/>
                <w:bCs w:val="1"/>
                <w:color w:val="auto"/>
              </w:rPr>
              <w:t>For the Three Months Ended March 31,</w:t>
            </w:r>
          </w:p>
        </w:tc>
      </w:tr>
      <w:tr>
        <w:trPr>
          <w:trHeight w:val="221"/>
        </w:trPr>
        <w:tc>
          <w:tcPr>
            <w:tcW w:w="67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Revenue:</w:t>
            </w:r>
          </w:p>
        </w:tc>
        <w:tc>
          <w:tcPr>
            <w:tcW w:w="36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2022</w:t>
            </w:r>
          </w:p>
        </w:tc>
        <w:tc>
          <w:tcPr>
            <w:tcW w:w="14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2021</w:t>
            </w:r>
          </w:p>
        </w:tc>
      </w:tr>
      <w:tr>
        <w:trPr>
          <w:trHeight w:val="220"/>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Aviation segment</w:t>
            </w:r>
          </w:p>
        </w:tc>
        <w:tc>
          <w:tcPr>
            <w:tcW w:w="3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w w:val="99"/>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5,010.5</w:t>
            </w:r>
          </w:p>
        </w:tc>
        <w:tc>
          <w:tcPr>
            <w:tcW w:w="14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7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2,095.0</w:t>
            </w:r>
          </w:p>
        </w:tc>
      </w:tr>
      <w:tr>
        <w:trPr>
          <w:trHeight w:val="226"/>
        </w:trPr>
        <w:tc>
          <w:tcPr>
            <w:tcW w:w="6720" w:type="dxa"/>
            <w:vAlign w:val="bottom"/>
          </w:tcPr>
          <w:p>
            <w:pPr>
              <w:ind w:left="140"/>
              <w:spacing w:after="0"/>
              <w:rPr>
                <w:sz w:val="20"/>
                <w:szCs w:val="20"/>
                <w:color w:val="auto"/>
              </w:rPr>
            </w:pPr>
            <w:r>
              <w:rPr>
                <w:rFonts w:ascii="Arial" w:cs="Arial" w:eastAsia="Arial" w:hAnsi="Arial"/>
                <w:sz w:val="18"/>
                <w:szCs w:val="18"/>
                <w:color w:val="auto"/>
              </w:rPr>
              <w:t>Land segment</w:t>
            </w:r>
          </w:p>
        </w:tc>
        <w:tc>
          <w:tcPr>
            <w:tcW w:w="36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4,380.8</w:t>
            </w: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2,188.2</w:t>
            </w:r>
          </w:p>
        </w:tc>
      </w:tr>
      <w:tr>
        <w:trPr>
          <w:trHeight w:val="227"/>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Marine segment</w:t>
            </w:r>
          </w:p>
        </w:tc>
        <w:tc>
          <w:tcPr>
            <w:tcW w:w="360" w:type="dxa"/>
            <w:vAlign w:val="bottom"/>
            <w:tcBorders>
              <w:bottom w:val="single" w:sz="8" w:color="auto"/>
            </w:tcBorders>
            <w:shd w:val="clear" w:color="auto" w:fill="CCEEFF"/>
          </w:tcPr>
          <w:p>
            <w:pPr>
              <w:spacing w:after="0"/>
              <w:rPr>
                <w:sz w:val="19"/>
                <w:szCs w:val="19"/>
                <w:color w:val="auto"/>
              </w:rPr>
            </w:pP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2,990.6</w:t>
            </w:r>
          </w:p>
        </w:tc>
        <w:tc>
          <w:tcPr>
            <w:tcW w:w="140" w:type="dxa"/>
            <w:vAlign w:val="bottom"/>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1,674.7</w:t>
            </w:r>
          </w:p>
        </w:tc>
      </w:tr>
      <w:tr>
        <w:trPr>
          <w:trHeight w:val="221"/>
        </w:trPr>
        <w:tc>
          <w:tcPr>
            <w:tcW w:w="6720" w:type="dxa"/>
            <w:vAlign w:val="bottom"/>
          </w:tcPr>
          <w:p>
            <w:pPr>
              <w:ind w:left="240"/>
              <w:spacing w:after="0"/>
              <w:rPr>
                <w:sz w:val="20"/>
                <w:szCs w:val="20"/>
                <w:color w:val="auto"/>
              </w:rPr>
            </w:pPr>
            <w:r>
              <w:rPr>
                <w:rFonts w:ascii="Arial" w:cs="Arial" w:eastAsia="Arial" w:hAnsi="Arial"/>
                <w:sz w:val="18"/>
                <w:szCs w:val="18"/>
                <w:color w:val="auto"/>
              </w:rPr>
              <w:t>Total revenue</w:t>
            </w:r>
          </w:p>
        </w:tc>
        <w:tc>
          <w:tcPr>
            <w:tcW w:w="360" w:type="dxa"/>
            <w:vAlign w:val="bottom"/>
            <w:tcBorders>
              <w:bottom w:val="single" w:sz="8" w:color="auto"/>
            </w:tcBorders>
          </w:tcPr>
          <w:p>
            <w:pPr>
              <w:jc w:val="right"/>
              <w:ind w:right="151"/>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12,382.0</w:t>
            </w:r>
          </w:p>
        </w:tc>
        <w:tc>
          <w:tcPr>
            <w:tcW w:w="140" w:type="dxa"/>
            <w:vAlign w:val="bottom"/>
          </w:tcPr>
          <w:p>
            <w:pPr>
              <w:spacing w:after="0"/>
              <w:rPr>
                <w:sz w:val="19"/>
                <w:szCs w:val="19"/>
                <w:color w:val="auto"/>
              </w:rPr>
            </w:pPr>
          </w:p>
        </w:tc>
        <w:tc>
          <w:tcPr>
            <w:tcW w:w="500" w:type="dxa"/>
            <w:vAlign w:val="bottom"/>
            <w:tcBorders>
              <w:bottom w:val="single" w:sz="8" w:color="auto"/>
            </w:tcBorders>
          </w:tcPr>
          <w:p>
            <w:pPr>
              <w:jc w:val="right"/>
              <w:ind w:right="311"/>
              <w:spacing w:after="0"/>
              <w:rPr>
                <w:sz w:val="20"/>
                <w:szCs w:val="20"/>
                <w:color w:val="auto"/>
              </w:rPr>
            </w:pPr>
            <w:r>
              <w:rPr>
                <w:rFonts w:ascii="Arial" w:cs="Arial" w:eastAsia="Arial" w:hAnsi="Arial"/>
                <w:sz w:val="18"/>
                <w:szCs w:val="18"/>
                <w:color w:val="auto"/>
                <w:w w:val="79"/>
              </w:rPr>
              <w:t>$</w:t>
            </w: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5,957.9</w:t>
            </w:r>
          </w:p>
        </w:tc>
      </w:tr>
      <w:tr>
        <w:trPr>
          <w:trHeight w:val="20"/>
        </w:trPr>
        <w:tc>
          <w:tcPr>
            <w:tcW w:w="672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r>
        <w:trPr>
          <w:trHeight w:val="60"/>
        </w:trPr>
        <w:tc>
          <w:tcPr>
            <w:tcW w:w="6720" w:type="dxa"/>
            <w:vAlign w:val="bottom"/>
            <w:shd w:val="clear" w:color="auto" w:fill="CCEEFF"/>
          </w:tcPr>
          <w:p>
            <w:pPr>
              <w:spacing w:after="0"/>
              <w:rPr>
                <w:sz w:val="5"/>
                <w:szCs w:val="5"/>
                <w:color w:val="auto"/>
              </w:rPr>
            </w:pPr>
          </w:p>
        </w:tc>
        <w:tc>
          <w:tcPr>
            <w:tcW w:w="360" w:type="dxa"/>
            <w:vAlign w:val="bottom"/>
            <w:shd w:val="clear" w:color="auto" w:fill="CCEEFF"/>
          </w:tcPr>
          <w:p>
            <w:pPr>
              <w:spacing w:after="0"/>
              <w:rPr>
                <w:sz w:val="5"/>
                <w:szCs w:val="5"/>
                <w:color w:val="auto"/>
              </w:rPr>
            </w:pPr>
          </w:p>
        </w:tc>
        <w:tc>
          <w:tcPr>
            <w:tcW w:w="1840" w:type="dxa"/>
            <w:vAlign w:val="bottom"/>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500" w:type="dxa"/>
            <w:vAlign w:val="bottom"/>
            <w:shd w:val="clear" w:color="auto" w:fill="CCEEFF"/>
          </w:tcPr>
          <w:p>
            <w:pPr>
              <w:spacing w:after="0"/>
              <w:rPr>
                <w:sz w:val="5"/>
                <w:szCs w:val="5"/>
                <w:color w:val="auto"/>
              </w:rPr>
            </w:pPr>
          </w:p>
        </w:tc>
        <w:tc>
          <w:tcPr>
            <w:tcW w:w="1680" w:type="dxa"/>
            <w:vAlign w:val="bottom"/>
            <w:shd w:val="clear" w:color="auto" w:fill="CCEEFF"/>
          </w:tcPr>
          <w:p>
            <w:pPr>
              <w:spacing w:after="0"/>
              <w:rPr>
                <w:sz w:val="5"/>
                <w:szCs w:val="5"/>
                <w:color w:val="auto"/>
              </w:rPr>
            </w:pPr>
          </w:p>
        </w:tc>
      </w:tr>
      <w:tr>
        <w:trPr>
          <w:trHeight w:val="226"/>
        </w:trPr>
        <w:tc>
          <w:tcPr>
            <w:tcW w:w="6720" w:type="dxa"/>
            <w:vAlign w:val="bottom"/>
          </w:tcPr>
          <w:p>
            <w:pPr>
              <w:ind w:left="20"/>
              <w:spacing w:after="0"/>
              <w:rPr>
                <w:sz w:val="20"/>
                <w:szCs w:val="20"/>
                <w:color w:val="auto"/>
              </w:rPr>
            </w:pPr>
            <w:r>
              <w:rPr>
                <w:rFonts w:ascii="Arial" w:cs="Arial" w:eastAsia="Arial" w:hAnsi="Arial"/>
                <w:sz w:val="18"/>
                <w:szCs w:val="18"/>
                <w:color w:val="auto"/>
              </w:rPr>
              <w:t>Income from operations:</w:t>
            </w:r>
          </w:p>
        </w:tc>
        <w:tc>
          <w:tcPr>
            <w:tcW w:w="36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spacing w:after="0"/>
              <w:rPr>
                <w:sz w:val="19"/>
                <w:szCs w:val="19"/>
                <w:color w:val="auto"/>
              </w:rPr>
            </w:pP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Aviation segment</w:t>
            </w:r>
          </w:p>
        </w:tc>
        <w:tc>
          <w:tcPr>
            <w:tcW w:w="360" w:type="dxa"/>
            <w:vAlign w:val="bottom"/>
            <w:shd w:val="clear" w:color="auto" w:fill="CCEEFF"/>
          </w:tcPr>
          <w:p>
            <w:pPr>
              <w:jc w:val="right"/>
              <w:ind w:right="151"/>
              <w:spacing w:after="0"/>
              <w:rPr>
                <w:sz w:val="20"/>
                <w:szCs w:val="20"/>
                <w:color w:val="auto"/>
              </w:rPr>
            </w:pPr>
            <w:r>
              <w:rPr>
                <w:rFonts w:ascii="Arial" w:cs="Arial" w:eastAsia="Arial" w:hAnsi="Arial"/>
                <w:sz w:val="18"/>
                <w:szCs w:val="18"/>
                <w:color w:val="auto"/>
                <w:w w:val="99"/>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14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7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w:t>
            </w:r>
          </w:p>
        </w:tc>
      </w:tr>
      <w:tr>
        <w:trPr>
          <w:trHeight w:val="226"/>
        </w:trPr>
        <w:tc>
          <w:tcPr>
            <w:tcW w:w="6720" w:type="dxa"/>
            <w:vAlign w:val="bottom"/>
          </w:tcPr>
          <w:p>
            <w:pPr>
              <w:ind w:left="140"/>
              <w:spacing w:after="0"/>
              <w:rPr>
                <w:sz w:val="20"/>
                <w:szCs w:val="20"/>
                <w:color w:val="auto"/>
              </w:rPr>
            </w:pPr>
            <w:r>
              <w:rPr>
                <w:rFonts w:ascii="Arial" w:cs="Arial" w:eastAsia="Arial" w:hAnsi="Arial"/>
                <w:sz w:val="18"/>
                <w:szCs w:val="18"/>
                <w:color w:val="auto"/>
              </w:rPr>
              <w:t>Land segment</w:t>
            </w:r>
          </w:p>
        </w:tc>
        <w:tc>
          <w:tcPr>
            <w:tcW w:w="36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8"/>
                <w:szCs w:val="18"/>
                <w:color w:val="auto"/>
              </w:rPr>
              <w:t>33.4</w:t>
            </w: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32.8</w:t>
            </w: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Marine segment</w:t>
            </w:r>
          </w:p>
        </w:tc>
        <w:tc>
          <w:tcPr>
            <w:tcW w:w="36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23.1</w:t>
            </w:r>
          </w:p>
        </w:tc>
        <w:tc>
          <w:tcPr>
            <w:tcW w:w="14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w:t>
            </w:r>
          </w:p>
        </w:tc>
      </w:tr>
      <w:tr>
        <w:trPr>
          <w:trHeight w:val="226"/>
        </w:trPr>
        <w:tc>
          <w:tcPr>
            <w:tcW w:w="672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Corporate overhead - unallocated</w:t>
            </w:r>
          </w:p>
        </w:tc>
        <w:tc>
          <w:tcPr>
            <w:tcW w:w="36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(22.8)</w:t>
            </w:r>
          </w:p>
        </w:tc>
        <w:tc>
          <w:tcPr>
            <w:tcW w:w="140" w:type="dxa"/>
            <w:vAlign w:val="bottom"/>
            <w:tcBorders>
              <w:bottom w:val="single" w:sz="8" w:color="CCEEFF"/>
            </w:tcBorders>
          </w:tcPr>
          <w:p>
            <w:pPr>
              <w:spacing w:after="0"/>
              <w:rPr>
                <w:sz w:val="19"/>
                <w:szCs w:val="19"/>
                <w:color w:val="auto"/>
              </w:rPr>
            </w:pPr>
          </w:p>
        </w:tc>
        <w:tc>
          <w:tcPr>
            <w:tcW w:w="5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w:t>
            </w:r>
          </w:p>
        </w:tc>
      </w:tr>
      <w:tr>
        <w:trPr>
          <w:trHeight w:val="246"/>
        </w:trPr>
        <w:tc>
          <w:tcPr>
            <w:tcW w:w="672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Total income from operations</w:t>
            </w:r>
          </w:p>
        </w:tc>
        <w:tc>
          <w:tcPr>
            <w:tcW w:w="360" w:type="dxa"/>
            <w:vAlign w:val="bottom"/>
            <w:tcBorders>
              <w:bottom w:val="single" w:sz="8" w:color="auto"/>
            </w:tcBorders>
            <w:shd w:val="clear" w:color="auto" w:fill="CCEEFF"/>
          </w:tcPr>
          <w:p>
            <w:pPr>
              <w:jc w:val="right"/>
              <w:ind w:right="151"/>
              <w:spacing w:after="0"/>
              <w:rPr>
                <w:sz w:val="20"/>
                <w:szCs w:val="20"/>
                <w:color w:val="auto"/>
              </w:rPr>
            </w:pPr>
            <w:r>
              <w:rPr>
                <w:rFonts w:ascii="Arial" w:cs="Arial" w:eastAsia="Arial" w:hAnsi="Arial"/>
                <w:sz w:val="18"/>
                <w:szCs w:val="18"/>
                <w:color w:val="auto"/>
                <w:w w:val="99"/>
              </w:rPr>
              <w:t>$</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41.3</w:t>
            </w:r>
          </w:p>
        </w:tc>
        <w:tc>
          <w:tcPr>
            <w:tcW w:w="140" w:type="dxa"/>
            <w:vAlign w:val="bottom"/>
            <w:tcBorders>
              <w:bottom w:val="single" w:sz="8" w:color="CCEEFF"/>
            </w:tcBorders>
            <w:shd w:val="clear" w:color="auto" w:fill="CCEEFF"/>
          </w:tcPr>
          <w:p>
            <w:pPr>
              <w:spacing w:after="0"/>
              <w:rPr>
                <w:sz w:val="20"/>
                <w:szCs w:val="20"/>
                <w:color w:val="auto"/>
              </w:rPr>
            </w:pPr>
          </w:p>
        </w:tc>
        <w:tc>
          <w:tcPr>
            <w:tcW w:w="500" w:type="dxa"/>
            <w:vAlign w:val="bottom"/>
            <w:tcBorders>
              <w:bottom w:val="single" w:sz="8" w:color="auto"/>
            </w:tcBorders>
            <w:shd w:val="clear" w:color="auto" w:fill="CCEEFF"/>
          </w:tcPr>
          <w:p>
            <w:pPr>
              <w:jc w:val="right"/>
              <w:ind w:right="311"/>
              <w:spacing w:after="0"/>
              <w:rPr>
                <w:sz w:val="20"/>
                <w:szCs w:val="20"/>
                <w:color w:val="auto"/>
              </w:rPr>
            </w:pPr>
            <w:r>
              <w:rPr>
                <w:rFonts w:ascii="Arial" w:cs="Arial" w:eastAsia="Arial" w:hAnsi="Arial"/>
                <w:sz w:val="18"/>
                <w:szCs w:val="18"/>
                <w:color w:val="auto"/>
                <w:w w:val="79"/>
              </w:rPr>
              <w:t>$</w:t>
            </w: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37.6</w:t>
            </w:r>
          </w:p>
        </w:tc>
      </w:tr>
      <w:tr>
        <w:trPr>
          <w:trHeight w:val="20"/>
        </w:trPr>
        <w:tc>
          <w:tcPr>
            <w:tcW w:w="67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8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r>
    </w:tbl>
    <w:p>
      <w:pPr>
        <w:spacing w:after="0" w:line="19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Information concerning our Accounts receivable, net of allowance for credit losses and Total assets by reportable segment is as follows (in millions):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40" w:type="dxa"/>
            <w:vAlign w:val="bottom"/>
            <w:gridSpan w:val="2"/>
          </w:tcPr>
          <w:p>
            <w:pPr>
              <w:ind w:left="180"/>
              <w:spacing w:after="0"/>
              <w:rPr>
                <w:sz w:val="20"/>
                <w:szCs w:val="20"/>
                <w:color w:val="auto"/>
              </w:rPr>
            </w:pPr>
            <w:r>
              <w:rPr>
                <w:rFonts w:ascii="Arial" w:cs="Arial" w:eastAsia="Arial" w:hAnsi="Arial"/>
                <w:sz w:val="18"/>
                <w:szCs w:val="18"/>
                <w:b w:val="1"/>
                <w:bCs w:val="1"/>
                <w:color w:val="auto"/>
              </w:rPr>
              <w:t>March 31, 2022</w:t>
            </w:r>
          </w:p>
        </w:tc>
        <w:tc>
          <w:tcPr>
            <w:tcW w:w="200" w:type="dxa"/>
            <w:vAlign w:val="bottom"/>
          </w:tcPr>
          <w:p>
            <w:pPr>
              <w:spacing w:after="0"/>
              <w:rPr>
                <w:sz w:val="20"/>
                <w:szCs w:val="20"/>
                <w:color w:val="auto"/>
              </w:rPr>
            </w:pPr>
          </w:p>
        </w:tc>
        <w:tc>
          <w:tcPr>
            <w:tcW w:w="2000" w:type="dxa"/>
            <w:vAlign w:val="bottom"/>
          </w:tcPr>
          <w:p>
            <w:pPr>
              <w:jc w:val="right"/>
              <w:ind w:right="211"/>
              <w:spacing w:after="0"/>
              <w:rPr>
                <w:sz w:val="20"/>
                <w:szCs w:val="20"/>
                <w:color w:val="auto"/>
              </w:rPr>
            </w:pPr>
            <w:r>
              <w:rPr>
                <w:rFonts w:ascii="Arial" w:cs="Arial" w:eastAsia="Arial" w:hAnsi="Arial"/>
                <w:sz w:val="18"/>
                <w:szCs w:val="18"/>
                <w:b w:val="1"/>
                <w:bCs w:val="1"/>
                <w:color w:val="auto"/>
              </w:rPr>
              <w:t>December 31, 2021</w:t>
            </w:r>
          </w:p>
        </w:tc>
        <w:tc>
          <w:tcPr>
            <w:tcW w:w="0" w:type="dxa"/>
            <w:vAlign w:val="bottom"/>
          </w:tcPr>
          <w:p>
            <w:pPr>
              <w:spacing w:after="0"/>
              <w:rPr>
                <w:sz w:val="1"/>
                <w:szCs w:val="1"/>
                <w:color w:val="auto"/>
              </w:rPr>
            </w:pPr>
          </w:p>
        </w:tc>
      </w:tr>
      <w:tr>
        <w:trPr>
          <w:trHeight w:val="208"/>
        </w:trPr>
        <w:tc>
          <w:tcPr>
            <w:tcW w:w="6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Accounts receivable, net:</w:t>
            </w:r>
          </w:p>
        </w:tc>
        <w:tc>
          <w:tcPr>
            <w:tcW w:w="280" w:type="dxa"/>
            <w:vAlign w:val="bottom"/>
            <w:tcBorders>
              <w:top w:val="single" w:sz="8" w:color="auto"/>
            </w:tcBorders>
            <w:shd w:val="clear" w:color="auto" w:fill="CCEEFF"/>
          </w:tcPr>
          <w:p>
            <w:pPr>
              <w:spacing w:after="0"/>
              <w:rPr>
                <w:sz w:val="18"/>
                <w:szCs w:val="18"/>
                <w:color w:val="auto"/>
              </w:rPr>
            </w:pPr>
          </w:p>
        </w:tc>
        <w:tc>
          <w:tcPr>
            <w:tcW w:w="190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20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86"/>
        </w:trPr>
        <w:tc>
          <w:tcPr>
            <w:tcW w:w="6720" w:type="dxa"/>
            <w:vAlign w:val="bottom"/>
          </w:tcPr>
          <w:p>
            <w:pPr>
              <w:ind w:left="140"/>
              <w:spacing w:after="0" w:line="186" w:lineRule="exact"/>
              <w:rPr>
                <w:sz w:val="20"/>
                <w:szCs w:val="20"/>
                <w:color w:val="auto"/>
              </w:rPr>
            </w:pPr>
            <w:r>
              <w:rPr>
                <w:rFonts w:ascii="Arial" w:cs="Arial" w:eastAsia="Arial" w:hAnsi="Arial"/>
                <w:sz w:val="18"/>
                <w:szCs w:val="18"/>
                <w:color w:val="auto"/>
              </w:rPr>
              <w:t>Aviation segment, net of allowance for credit losses of $9.6 and $18.4 as of</w:t>
            </w:r>
          </w:p>
        </w:tc>
        <w:tc>
          <w:tcPr>
            <w:tcW w:w="2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6720" w:type="dxa"/>
            <w:vAlign w:val="bottom"/>
          </w:tcPr>
          <w:p>
            <w:pPr>
              <w:ind w:left="140"/>
              <w:spacing w:after="0"/>
              <w:rPr>
                <w:sz w:val="20"/>
                <w:szCs w:val="20"/>
                <w:color w:val="auto"/>
              </w:rPr>
            </w:pPr>
            <w:r>
              <w:rPr>
                <w:rFonts w:ascii="Arial" w:cs="Arial" w:eastAsia="Arial" w:hAnsi="Arial"/>
                <w:sz w:val="18"/>
                <w:szCs w:val="18"/>
                <w:color w:val="auto"/>
              </w:rPr>
              <w:t>March 31, 2022 and December 31, 2021, respectively</w:t>
            </w:r>
          </w:p>
        </w:tc>
        <w:tc>
          <w:tcPr>
            <w:tcW w:w="280" w:type="dxa"/>
            <w:vAlign w:val="bottom"/>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spacing w:after="0"/>
              <w:rPr>
                <w:sz w:val="20"/>
                <w:szCs w:val="20"/>
                <w:color w:val="auto"/>
              </w:rPr>
            </w:pPr>
            <w:r>
              <w:rPr>
                <w:rFonts w:ascii="Arial" w:cs="Arial" w:eastAsia="Arial" w:hAnsi="Arial"/>
                <w:sz w:val="18"/>
                <w:szCs w:val="18"/>
                <w:color w:val="auto"/>
              </w:rPr>
              <w:t>1,339.9</w:t>
            </w:r>
          </w:p>
        </w:tc>
        <w:tc>
          <w:tcPr>
            <w:tcW w:w="14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Pr>
          <w:p>
            <w:pPr>
              <w:jc w:val="right"/>
              <w:spacing w:after="0"/>
              <w:rPr>
                <w:sz w:val="20"/>
                <w:szCs w:val="20"/>
                <w:color w:val="auto"/>
              </w:rPr>
            </w:pPr>
            <w:r>
              <w:rPr>
                <w:rFonts w:ascii="Arial" w:cs="Arial" w:eastAsia="Arial" w:hAnsi="Arial"/>
                <w:sz w:val="18"/>
                <w:szCs w:val="18"/>
                <w:color w:val="auto"/>
              </w:rPr>
              <w:t>972.9</w:t>
            </w:r>
          </w:p>
        </w:tc>
        <w:tc>
          <w:tcPr>
            <w:tcW w:w="0" w:type="dxa"/>
            <w:vAlign w:val="bottom"/>
          </w:tcPr>
          <w:p>
            <w:pPr>
              <w:spacing w:after="0"/>
              <w:rPr>
                <w:sz w:val="1"/>
                <w:szCs w:val="1"/>
                <w:color w:val="auto"/>
              </w:rPr>
            </w:pPr>
          </w:p>
        </w:tc>
      </w:tr>
      <w:tr>
        <w:trPr>
          <w:trHeight w:val="187"/>
        </w:trPr>
        <w:tc>
          <w:tcPr>
            <w:tcW w:w="6720" w:type="dxa"/>
            <w:vAlign w:val="bottom"/>
            <w:shd w:val="clear" w:color="auto" w:fill="CCEEFF"/>
          </w:tcPr>
          <w:p>
            <w:pPr>
              <w:ind w:left="140"/>
              <w:spacing w:after="0" w:line="187" w:lineRule="exact"/>
              <w:rPr>
                <w:sz w:val="20"/>
                <w:szCs w:val="20"/>
                <w:color w:val="auto"/>
              </w:rPr>
            </w:pPr>
            <w:r>
              <w:rPr>
                <w:rFonts w:ascii="Arial" w:cs="Arial" w:eastAsia="Arial" w:hAnsi="Arial"/>
                <w:sz w:val="18"/>
                <w:szCs w:val="18"/>
                <w:color w:val="auto"/>
              </w:rPr>
              <w:t>Land segment, net of allowance for credit losses of $4.6 and $3.8 as of March 31,</w:t>
            </w:r>
          </w:p>
        </w:tc>
        <w:tc>
          <w:tcPr>
            <w:tcW w:w="280" w:type="dxa"/>
            <w:vAlign w:val="bottom"/>
            <w:shd w:val="clear" w:color="auto" w:fill="CCEEFF"/>
          </w:tcPr>
          <w:p>
            <w:pPr>
              <w:spacing w:after="0"/>
              <w:rPr>
                <w:sz w:val="16"/>
                <w:szCs w:val="16"/>
                <w:color w:val="auto"/>
              </w:rPr>
            </w:pPr>
          </w:p>
        </w:tc>
        <w:tc>
          <w:tcPr>
            <w:tcW w:w="19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20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2022 and December 31, 2021, respectively</w:t>
            </w:r>
          </w:p>
        </w:tc>
        <w:tc>
          <w:tcPr>
            <w:tcW w:w="280" w:type="dxa"/>
            <w:vAlign w:val="bottom"/>
            <w:shd w:val="clear" w:color="auto" w:fill="CCEEFF"/>
          </w:tcPr>
          <w:p>
            <w:pPr>
              <w:spacing w:after="0"/>
              <w:rPr>
                <w:sz w:val="18"/>
                <w:szCs w:val="18"/>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1,096.4</w:t>
            </w:r>
          </w:p>
        </w:tc>
        <w:tc>
          <w:tcPr>
            <w:tcW w:w="1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664.7</w:t>
            </w:r>
          </w:p>
        </w:tc>
        <w:tc>
          <w:tcPr>
            <w:tcW w:w="0" w:type="dxa"/>
            <w:vAlign w:val="bottom"/>
          </w:tcPr>
          <w:p>
            <w:pPr>
              <w:spacing w:after="0"/>
              <w:rPr>
                <w:sz w:val="1"/>
                <w:szCs w:val="1"/>
                <w:color w:val="auto"/>
              </w:rPr>
            </w:pPr>
          </w:p>
        </w:tc>
      </w:tr>
      <w:tr>
        <w:trPr>
          <w:trHeight w:val="186"/>
        </w:trPr>
        <w:tc>
          <w:tcPr>
            <w:tcW w:w="6720" w:type="dxa"/>
            <w:vAlign w:val="bottom"/>
          </w:tcPr>
          <w:p>
            <w:pPr>
              <w:ind w:left="140"/>
              <w:spacing w:after="0" w:line="186" w:lineRule="exact"/>
              <w:rPr>
                <w:sz w:val="20"/>
                <w:szCs w:val="20"/>
                <w:color w:val="auto"/>
              </w:rPr>
            </w:pPr>
            <w:r>
              <w:rPr>
                <w:rFonts w:ascii="Arial" w:cs="Arial" w:eastAsia="Arial" w:hAnsi="Arial"/>
                <w:sz w:val="18"/>
                <w:szCs w:val="18"/>
                <w:color w:val="auto"/>
              </w:rPr>
              <w:t>Marine segment, net of allowance for credit losses of $3.0 and $3.9 as of</w:t>
            </w:r>
          </w:p>
        </w:tc>
        <w:tc>
          <w:tcPr>
            <w:tcW w:w="2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672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March 31, 2022 and December 31, 2021, respectively</w:t>
            </w:r>
          </w:p>
        </w:tc>
        <w:tc>
          <w:tcPr>
            <w:tcW w:w="28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1,073.9</w:t>
            </w:r>
          </w:p>
        </w:tc>
        <w:tc>
          <w:tcPr>
            <w:tcW w:w="14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2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717.7</w:t>
            </w:r>
          </w:p>
        </w:tc>
        <w:tc>
          <w:tcPr>
            <w:tcW w:w="0" w:type="dxa"/>
            <w:vAlign w:val="bottom"/>
          </w:tcPr>
          <w:p>
            <w:pPr>
              <w:spacing w:after="0"/>
              <w:rPr>
                <w:sz w:val="1"/>
                <w:szCs w:val="1"/>
                <w:color w:val="auto"/>
              </w:rPr>
            </w:pPr>
          </w:p>
        </w:tc>
      </w:tr>
      <w:tr>
        <w:trPr>
          <w:trHeight w:val="246"/>
        </w:trPr>
        <w:tc>
          <w:tcPr>
            <w:tcW w:w="672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Total accounts receivable, net</w:t>
            </w:r>
          </w:p>
        </w:tc>
        <w:tc>
          <w:tcPr>
            <w:tcW w:w="280" w:type="dxa"/>
            <w:vAlign w:val="bottom"/>
            <w:tcBorders>
              <w:bottom w:val="single" w:sz="8" w:color="auto"/>
            </w:tcBorders>
            <w:shd w:val="clear" w:color="auto" w:fill="CCEEFF"/>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3,510.2</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2,355.3</w:t>
            </w:r>
          </w:p>
        </w:tc>
        <w:tc>
          <w:tcPr>
            <w:tcW w:w="0" w:type="dxa"/>
            <w:vAlign w:val="bottom"/>
          </w:tcPr>
          <w:p>
            <w:pPr>
              <w:spacing w:after="0"/>
              <w:rPr>
                <w:sz w:val="1"/>
                <w:szCs w:val="1"/>
                <w:color w:val="auto"/>
              </w:rPr>
            </w:pPr>
          </w:p>
        </w:tc>
      </w:tr>
      <w:tr>
        <w:trPr>
          <w:trHeight w:val="20"/>
        </w:trPr>
        <w:tc>
          <w:tcPr>
            <w:tcW w:w="67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9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2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0"/>
        </w:trPr>
        <w:tc>
          <w:tcPr>
            <w:tcW w:w="6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19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20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27"/>
        </w:trPr>
        <w:tc>
          <w:tcPr>
            <w:tcW w:w="6720" w:type="dxa"/>
            <w:vAlign w:val="bottom"/>
            <w:shd w:val="clear" w:color="auto" w:fill="CCEEFF"/>
          </w:tcPr>
          <w:p>
            <w:pPr>
              <w:ind w:left="20"/>
              <w:spacing w:after="0"/>
              <w:rPr>
                <w:sz w:val="20"/>
                <w:szCs w:val="20"/>
                <w:color w:val="auto"/>
              </w:rPr>
            </w:pPr>
            <w:r>
              <w:rPr>
                <w:rFonts w:ascii="Arial" w:cs="Arial" w:eastAsia="Arial" w:hAnsi="Arial"/>
                <w:sz w:val="18"/>
                <w:szCs w:val="18"/>
                <w:color w:val="auto"/>
              </w:rPr>
              <w:t>Total assets:</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6"/>
        </w:trPr>
        <w:tc>
          <w:tcPr>
            <w:tcW w:w="6720" w:type="dxa"/>
            <w:vAlign w:val="bottom"/>
          </w:tcPr>
          <w:p>
            <w:pPr>
              <w:ind w:left="140"/>
              <w:spacing w:after="0"/>
              <w:rPr>
                <w:sz w:val="20"/>
                <w:szCs w:val="20"/>
                <w:color w:val="auto"/>
              </w:rPr>
            </w:pPr>
            <w:r>
              <w:rPr>
                <w:rFonts w:ascii="Arial" w:cs="Arial" w:eastAsia="Arial" w:hAnsi="Arial"/>
                <w:sz w:val="18"/>
                <w:szCs w:val="18"/>
                <w:color w:val="auto"/>
              </w:rPr>
              <w:t>Aviation segment</w:t>
            </w:r>
          </w:p>
        </w:tc>
        <w:tc>
          <w:tcPr>
            <w:tcW w:w="280" w:type="dxa"/>
            <w:vAlign w:val="bottom"/>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tcPr>
          <w:p>
            <w:pPr>
              <w:jc w:val="right"/>
              <w:spacing w:after="0"/>
              <w:rPr>
                <w:sz w:val="20"/>
                <w:szCs w:val="20"/>
                <w:color w:val="auto"/>
              </w:rPr>
            </w:pPr>
            <w:r>
              <w:rPr>
                <w:rFonts w:ascii="Arial" w:cs="Arial" w:eastAsia="Arial" w:hAnsi="Arial"/>
                <w:sz w:val="18"/>
                <w:szCs w:val="18"/>
                <w:color w:val="auto"/>
              </w:rPr>
              <w:t>2,719.5</w:t>
            </w:r>
          </w:p>
        </w:tc>
        <w:tc>
          <w:tcPr>
            <w:tcW w:w="140" w:type="dxa"/>
            <w:vAlign w:val="bottom"/>
          </w:tcPr>
          <w:p>
            <w:pPr>
              <w:spacing w:after="0"/>
              <w:rPr>
                <w:sz w:val="19"/>
                <w:szCs w:val="19"/>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Pr>
          <w:p>
            <w:pPr>
              <w:jc w:val="right"/>
              <w:spacing w:after="0"/>
              <w:rPr>
                <w:sz w:val="20"/>
                <w:szCs w:val="20"/>
                <w:color w:val="auto"/>
              </w:rPr>
            </w:pPr>
            <w:r>
              <w:rPr>
                <w:rFonts w:ascii="Arial" w:cs="Arial" w:eastAsia="Arial" w:hAnsi="Arial"/>
                <w:sz w:val="18"/>
                <w:szCs w:val="18"/>
                <w:color w:val="auto"/>
              </w:rPr>
              <w:t>2,305.6</w:t>
            </w:r>
          </w:p>
        </w:tc>
        <w:tc>
          <w:tcPr>
            <w:tcW w:w="0" w:type="dxa"/>
            <w:vAlign w:val="bottom"/>
          </w:tcPr>
          <w:p>
            <w:pPr>
              <w:spacing w:after="0"/>
              <w:rPr>
                <w:sz w:val="1"/>
                <w:szCs w:val="1"/>
                <w:color w:val="auto"/>
              </w:rPr>
            </w:pPr>
          </w:p>
        </w:tc>
      </w:tr>
      <w:tr>
        <w:trPr>
          <w:trHeight w:val="228"/>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Land segment</w:t>
            </w:r>
          </w:p>
        </w:tc>
        <w:tc>
          <w:tcPr>
            <w:tcW w:w="28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3,516.1</w:t>
            </w:r>
          </w:p>
        </w:tc>
        <w:tc>
          <w:tcPr>
            <w:tcW w:w="1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2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2,106.1</w:t>
            </w:r>
          </w:p>
        </w:tc>
        <w:tc>
          <w:tcPr>
            <w:tcW w:w="0" w:type="dxa"/>
            <w:vAlign w:val="bottom"/>
          </w:tcPr>
          <w:p>
            <w:pPr>
              <w:spacing w:after="0"/>
              <w:rPr>
                <w:sz w:val="1"/>
                <w:szCs w:val="1"/>
                <w:color w:val="auto"/>
              </w:rPr>
            </w:pPr>
          </w:p>
        </w:tc>
      </w:tr>
      <w:tr>
        <w:trPr>
          <w:trHeight w:val="226"/>
        </w:trPr>
        <w:tc>
          <w:tcPr>
            <w:tcW w:w="6720" w:type="dxa"/>
            <w:vAlign w:val="bottom"/>
          </w:tcPr>
          <w:p>
            <w:pPr>
              <w:ind w:left="140"/>
              <w:spacing w:after="0"/>
              <w:rPr>
                <w:sz w:val="20"/>
                <w:szCs w:val="20"/>
                <w:color w:val="auto"/>
              </w:rPr>
            </w:pPr>
            <w:r>
              <w:rPr>
                <w:rFonts w:ascii="Arial" w:cs="Arial" w:eastAsia="Arial" w:hAnsi="Arial"/>
                <w:sz w:val="18"/>
                <w:szCs w:val="18"/>
                <w:color w:val="auto"/>
              </w:rPr>
              <w:t>Marine segment</w:t>
            </w: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8"/>
                <w:szCs w:val="18"/>
                <w:color w:val="auto"/>
              </w:rPr>
              <w:t>1,403.7</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0" w:type="dxa"/>
            <w:vAlign w:val="bottom"/>
          </w:tcPr>
          <w:p>
            <w:pPr>
              <w:jc w:val="right"/>
              <w:spacing w:after="0"/>
              <w:rPr>
                <w:sz w:val="20"/>
                <w:szCs w:val="20"/>
                <w:color w:val="auto"/>
              </w:rPr>
            </w:pPr>
            <w:r>
              <w:rPr>
                <w:rFonts w:ascii="Arial" w:cs="Arial" w:eastAsia="Arial" w:hAnsi="Arial"/>
                <w:sz w:val="18"/>
                <w:szCs w:val="18"/>
                <w:color w:val="auto"/>
              </w:rPr>
              <w:t>1,022.7</w:t>
            </w:r>
          </w:p>
        </w:tc>
        <w:tc>
          <w:tcPr>
            <w:tcW w:w="0" w:type="dxa"/>
            <w:vAlign w:val="bottom"/>
          </w:tcPr>
          <w:p>
            <w:pPr>
              <w:spacing w:after="0"/>
              <w:rPr>
                <w:sz w:val="1"/>
                <w:szCs w:val="1"/>
                <w:color w:val="auto"/>
              </w:rPr>
            </w:pPr>
          </w:p>
        </w:tc>
      </w:tr>
      <w:tr>
        <w:trPr>
          <w:trHeight w:val="227"/>
        </w:trPr>
        <w:tc>
          <w:tcPr>
            <w:tcW w:w="672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Corporate</w:t>
            </w:r>
          </w:p>
        </w:tc>
        <w:tc>
          <w:tcPr>
            <w:tcW w:w="280" w:type="dxa"/>
            <w:vAlign w:val="bottom"/>
            <w:tcBorders>
              <w:bottom w:val="single" w:sz="8" w:color="auto"/>
            </w:tcBorders>
            <w:shd w:val="clear" w:color="auto" w:fill="CCEEFF"/>
          </w:tcPr>
          <w:p>
            <w:pPr>
              <w:spacing w:after="0"/>
              <w:rPr>
                <w:sz w:val="19"/>
                <w:szCs w:val="19"/>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328.7</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2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507.9</w:t>
            </w:r>
          </w:p>
        </w:tc>
        <w:tc>
          <w:tcPr>
            <w:tcW w:w="0" w:type="dxa"/>
            <w:vAlign w:val="bottom"/>
          </w:tcPr>
          <w:p>
            <w:pPr>
              <w:spacing w:after="0"/>
              <w:rPr>
                <w:sz w:val="1"/>
                <w:szCs w:val="1"/>
                <w:color w:val="auto"/>
              </w:rPr>
            </w:pPr>
          </w:p>
        </w:tc>
      </w:tr>
      <w:tr>
        <w:trPr>
          <w:trHeight w:val="221"/>
        </w:trPr>
        <w:tc>
          <w:tcPr>
            <w:tcW w:w="6720" w:type="dxa"/>
            <w:vAlign w:val="bottom"/>
          </w:tcPr>
          <w:p>
            <w:pPr>
              <w:ind w:left="24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auto"/>
            </w:tcBorders>
          </w:tcPr>
          <w:p>
            <w:pPr>
              <w:jc w:val="right"/>
              <w:ind w:right="71"/>
              <w:spacing w:after="0"/>
              <w:rPr>
                <w:sz w:val="20"/>
                <w:szCs w:val="20"/>
                <w:color w:val="auto"/>
              </w:rPr>
            </w:pPr>
            <w:r>
              <w:rPr>
                <w:rFonts w:ascii="Arial" w:cs="Arial" w:eastAsia="Arial" w:hAnsi="Arial"/>
                <w:sz w:val="18"/>
                <w:szCs w:val="18"/>
                <w:color w:val="auto"/>
                <w:w w:val="99"/>
              </w:rPr>
              <w:t>$</w:t>
            </w: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7,968.0</w:t>
            </w:r>
          </w:p>
        </w:tc>
        <w:tc>
          <w:tcPr>
            <w:tcW w:w="14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20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5,942.4</w:t>
            </w:r>
          </w:p>
        </w:tc>
        <w:tc>
          <w:tcPr>
            <w:tcW w:w="0" w:type="dxa"/>
            <w:vAlign w:val="bottom"/>
          </w:tcPr>
          <w:p>
            <w:pPr>
              <w:spacing w:after="0"/>
              <w:rPr>
                <w:sz w:val="1"/>
                <w:szCs w:val="1"/>
                <w:color w:val="auto"/>
              </w:rPr>
            </w:pPr>
          </w:p>
        </w:tc>
      </w:tr>
      <w:tr>
        <w:trPr>
          <w:trHeight w:val="20"/>
        </w:trPr>
        <w:tc>
          <w:tcPr>
            <w:tcW w:w="6720" w:type="dxa"/>
            <w:vAlign w:val="bottom"/>
            <w:vMerge w:val="restart"/>
          </w:tcPr>
          <w:p>
            <w:pPr>
              <w:ind w:left="5520"/>
              <w:spacing w:after="0"/>
              <w:rPr>
                <w:sz w:val="20"/>
                <w:szCs w:val="20"/>
                <w:color w:val="auto"/>
              </w:rPr>
            </w:pPr>
            <w:r>
              <w:rPr>
                <w:rFonts w:ascii="Arial" w:cs="Arial" w:eastAsia="Arial" w:hAnsi="Arial"/>
                <w:sz w:val="18"/>
                <w:szCs w:val="18"/>
                <w:color w:val="auto"/>
              </w:rPr>
              <w:t>18</w:t>
            </w:r>
          </w:p>
        </w:tc>
        <w:tc>
          <w:tcPr>
            <w:tcW w:w="2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833"/>
        </w:trPr>
        <w:tc>
          <w:tcPr>
            <w:tcW w:w="67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6720" w:type="dxa"/>
            <w:vAlign w:val="bottom"/>
            <w:tcBorders>
              <w:bottom w:val="single" w:sz="8" w:color="9A9A9A"/>
            </w:tcBorders>
          </w:tcPr>
          <w:p>
            <w:pPr>
              <w:spacing w:after="0"/>
              <w:rPr>
                <w:sz w:val="19"/>
                <w:szCs w:val="19"/>
                <w:color w:val="auto"/>
              </w:rPr>
            </w:pPr>
          </w:p>
        </w:tc>
        <w:tc>
          <w:tcPr>
            <w:tcW w:w="280" w:type="dxa"/>
            <w:vAlign w:val="bottom"/>
            <w:tcBorders>
              <w:bottom w:val="single" w:sz="8" w:color="9A9A9A"/>
            </w:tcBorders>
          </w:tcPr>
          <w:p>
            <w:pPr>
              <w:spacing w:after="0"/>
              <w:rPr>
                <w:sz w:val="19"/>
                <w:szCs w:val="19"/>
                <w:color w:val="auto"/>
              </w:rPr>
            </w:pPr>
          </w:p>
        </w:tc>
        <w:tc>
          <w:tcPr>
            <w:tcW w:w="1900" w:type="dxa"/>
            <w:vAlign w:val="bottom"/>
            <w:tcBorders>
              <w:bottom w:val="single" w:sz="8" w:color="9A9A9A"/>
            </w:tcBorders>
          </w:tcPr>
          <w:p>
            <w:pPr>
              <w:spacing w:after="0"/>
              <w:rPr>
                <w:sz w:val="19"/>
                <w:szCs w:val="19"/>
                <w:color w:val="auto"/>
              </w:rPr>
            </w:pPr>
          </w:p>
        </w:tc>
        <w:tc>
          <w:tcPr>
            <w:tcW w:w="140" w:type="dxa"/>
            <w:vAlign w:val="bottom"/>
            <w:tcBorders>
              <w:bottom w:val="single" w:sz="8" w:color="9A9A9A"/>
            </w:tcBorders>
          </w:tcPr>
          <w:p>
            <w:pPr>
              <w:spacing w:after="0"/>
              <w:rPr>
                <w:sz w:val="19"/>
                <w:szCs w:val="19"/>
                <w:color w:val="auto"/>
              </w:rPr>
            </w:pPr>
          </w:p>
        </w:tc>
        <w:tc>
          <w:tcPr>
            <w:tcW w:w="200" w:type="dxa"/>
            <w:vAlign w:val="bottom"/>
            <w:tcBorders>
              <w:bottom w:val="single" w:sz="8" w:color="9A9A9A"/>
            </w:tcBorders>
          </w:tcPr>
          <w:p>
            <w:pPr>
              <w:spacing w:after="0"/>
              <w:rPr>
                <w:sz w:val="19"/>
                <w:szCs w:val="19"/>
                <w:color w:val="auto"/>
              </w:rPr>
            </w:pPr>
          </w:p>
        </w:tc>
        <w:tc>
          <w:tcPr>
            <w:tcW w:w="2000" w:type="dxa"/>
            <w:vAlign w:val="bottom"/>
            <w:tcBorders>
              <w:bottom w:val="single" w:sz="8" w:color="9A9A9A"/>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7117080</wp:posOffset>
            </wp:positionH>
            <wp:positionV relativeFrom="paragraph">
              <wp:posOffset>-29210</wp:posOffset>
            </wp:positionV>
            <wp:extent cx="33655"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-7620</wp:posOffset>
            </wp:positionH>
            <wp:positionV relativeFrom="paragraph">
              <wp:posOffset>-29210</wp:posOffset>
            </wp:positionV>
            <wp:extent cx="3365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365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12. Earnings Per Common Share</w:t>
      </w:r>
    </w:p>
    <w:p>
      <w:pPr>
        <w:spacing w:after="0" w:line="242"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following table sets forth the computation of basic and diluted earnings per common share for the periods presented (in millions, except per share amounts):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40" w:type="dxa"/>
            <w:vAlign w:val="bottom"/>
          </w:tcPr>
          <w:p>
            <w:pPr>
              <w:spacing w:after="0"/>
              <w:rPr>
                <w:sz w:val="20"/>
                <w:szCs w:val="20"/>
                <w:color w:val="auto"/>
              </w:rPr>
            </w:pPr>
          </w:p>
        </w:tc>
        <w:tc>
          <w:tcPr>
            <w:tcW w:w="3980" w:type="dxa"/>
            <w:vAlign w:val="bottom"/>
            <w:tcBorders>
              <w:bottom w:val="single" w:sz="8" w:color="auto"/>
            </w:tcBorders>
            <w:gridSpan w:val="4"/>
          </w:tcPr>
          <w:p>
            <w:pPr>
              <w:jc w:val="right"/>
              <w:ind w:right="11"/>
              <w:spacing w:after="0"/>
              <w:rPr>
                <w:sz w:val="20"/>
                <w:szCs w:val="20"/>
                <w:color w:val="auto"/>
              </w:rPr>
            </w:pPr>
            <w:r>
              <w:rPr>
                <w:rFonts w:ascii="Arial" w:cs="Arial" w:eastAsia="Arial" w:hAnsi="Arial"/>
                <w:sz w:val="18"/>
                <w:szCs w:val="18"/>
                <w:b w:val="1"/>
                <w:bCs w:val="1"/>
                <w:color w:val="auto"/>
              </w:rPr>
              <w:t>For the Three Months Ended March 31,</w:t>
            </w:r>
          </w:p>
        </w:tc>
        <w:tc>
          <w:tcPr>
            <w:tcW w:w="5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1"/>
        </w:trPr>
        <w:tc>
          <w:tcPr>
            <w:tcW w:w="6740" w:type="dxa"/>
            <w:vAlign w:val="bottom"/>
            <w:tcBorders>
              <w:bottom w:val="single" w:sz="8" w:color="CCEEFF"/>
            </w:tcBorders>
          </w:tcPr>
          <w:p>
            <w:pPr>
              <w:spacing w:after="0"/>
              <w:rPr>
                <w:sz w:val="19"/>
                <w:szCs w:val="19"/>
                <w:color w:val="auto"/>
              </w:rPr>
            </w:pPr>
          </w:p>
        </w:tc>
        <w:tc>
          <w:tcPr>
            <w:tcW w:w="1520" w:type="dxa"/>
            <w:vAlign w:val="bottom"/>
            <w:tcBorders>
              <w:bottom w:val="single" w:sz="8" w:color="auto"/>
            </w:tcBorders>
          </w:tcPr>
          <w:p>
            <w:pPr>
              <w:jc w:val="right"/>
              <w:ind w:right="151"/>
              <w:spacing w:after="0"/>
              <w:rPr>
                <w:sz w:val="20"/>
                <w:szCs w:val="20"/>
                <w:color w:val="auto"/>
              </w:rPr>
            </w:pPr>
            <w:r>
              <w:rPr>
                <w:rFonts w:ascii="Arial" w:cs="Arial" w:eastAsia="Arial" w:hAnsi="Arial"/>
                <w:sz w:val="18"/>
                <w:szCs w:val="18"/>
                <w:b w:val="1"/>
                <w:bCs w:val="1"/>
                <w:color w:val="auto"/>
              </w:rPr>
              <w:t>2022</w:t>
            </w:r>
          </w:p>
        </w:tc>
        <w:tc>
          <w:tcPr>
            <w:tcW w:w="660" w:type="dxa"/>
            <w:vAlign w:val="bottom"/>
            <w:tcBorders>
              <w:bottom w:val="single" w:sz="8" w:color="auto"/>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1660" w:type="dxa"/>
            <w:vAlign w:val="bottom"/>
            <w:tcBorders>
              <w:bottom w:val="single" w:sz="8" w:color="auto"/>
            </w:tcBorders>
          </w:tcPr>
          <w:p>
            <w:pPr>
              <w:jc w:val="right"/>
              <w:ind w:right="291"/>
              <w:spacing w:after="0"/>
              <w:rPr>
                <w:sz w:val="20"/>
                <w:szCs w:val="20"/>
                <w:color w:val="auto"/>
              </w:rPr>
            </w:pPr>
            <w:r>
              <w:rPr>
                <w:rFonts w:ascii="Arial" w:cs="Arial" w:eastAsia="Arial" w:hAnsi="Arial"/>
                <w:sz w:val="18"/>
                <w:szCs w:val="18"/>
                <w:b w:val="1"/>
                <w:bCs w:val="1"/>
                <w:color w:val="auto"/>
              </w:rPr>
              <w:t>2021</w:t>
            </w:r>
          </w:p>
        </w:tc>
        <w:tc>
          <w:tcPr>
            <w:tcW w:w="5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6740" w:type="dxa"/>
            <w:vAlign w:val="bottom"/>
            <w:shd w:val="clear" w:color="auto" w:fill="CCEEFF"/>
          </w:tcPr>
          <w:p>
            <w:pPr>
              <w:ind w:left="20"/>
              <w:spacing w:after="0" w:line="206" w:lineRule="exact"/>
              <w:rPr>
                <w:sz w:val="20"/>
                <w:szCs w:val="20"/>
                <w:color w:val="auto"/>
              </w:rPr>
            </w:pPr>
            <w:r>
              <w:rPr>
                <w:rFonts w:ascii="Arial" w:cs="Arial" w:eastAsia="Arial" w:hAnsi="Arial"/>
                <w:sz w:val="18"/>
                <w:szCs w:val="18"/>
                <w:color w:val="auto"/>
              </w:rPr>
              <w:t>Numerator:</w:t>
            </w:r>
          </w:p>
        </w:tc>
        <w:tc>
          <w:tcPr>
            <w:tcW w:w="152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66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6740" w:type="dxa"/>
            <w:vAlign w:val="bottom"/>
          </w:tcPr>
          <w:p>
            <w:pPr>
              <w:ind w:left="140"/>
              <w:spacing w:after="0"/>
              <w:rPr>
                <w:sz w:val="20"/>
                <w:szCs w:val="20"/>
                <w:color w:val="auto"/>
              </w:rPr>
            </w:pPr>
            <w:r>
              <w:rPr>
                <w:rFonts w:ascii="Arial" w:cs="Arial" w:eastAsia="Arial" w:hAnsi="Arial"/>
                <w:sz w:val="18"/>
                <w:szCs w:val="18"/>
                <w:color w:val="auto"/>
              </w:rPr>
              <w:t>Net income attributable to World Fuel</w:t>
            </w:r>
          </w:p>
        </w:tc>
        <w:tc>
          <w:tcPr>
            <w:tcW w:w="1520" w:type="dxa"/>
            <w:vAlign w:val="bottom"/>
            <w:tcBorders>
              <w:bottom w:val="single" w:sz="8" w:color="auto"/>
            </w:tcBorders>
          </w:tcPr>
          <w:p>
            <w:pPr>
              <w:jc w:val="right"/>
              <w:ind w:right="1331"/>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Pr>
          <w:p>
            <w:pPr>
              <w:spacing w:after="0"/>
              <w:rPr>
                <w:sz w:val="19"/>
                <w:szCs w:val="19"/>
                <w:color w:val="auto"/>
              </w:rPr>
            </w:pPr>
          </w:p>
        </w:tc>
        <w:tc>
          <w:tcPr>
            <w:tcW w:w="1660" w:type="dxa"/>
            <w:vAlign w:val="bottom"/>
            <w:tcBorders>
              <w:bottom w:val="single" w:sz="8" w:color="auto"/>
            </w:tcBorders>
          </w:tcPr>
          <w:p>
            <w:pPr>
              <w:jc w:val="right"/>
              <w:ind w:right="1471"/>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18.9</w:t>
            </w:r>
          </w:p>
        </w:tc>
        <w:tc>
          <w:tcPr>
            <w:tcW w:w="0" w:type="dxa"/>
            <w:vAlign w:val="bottom"/>
          </w:tcPr>
          <w:p>
            <w:pPr>
              <w:spacing w:after="0"/>
              <w:rPr>
                <w:sz w:val="1"/>
                <w:szCs w:val="1"/>
                <w:color w:val="auto"/>
              </w:rPr>
            </w:pPr>
          </w:p>
        </w:tc>
      </w:tr>
      <w:tr>
        <w:trPr>
          <w:trHeight w:val="20"/>
        </w:trPr>
        <w:tc>
          <w:tcPr>
            <w:tcW w:w="6740" w:type="dxa"/>
            <w:vAlign w:val="bottom"/>
            <w:tcBorders>
              <w:bottom w:val="single" w:sz="8" w:color="CCEEFF"/>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6740" w:type="dxa"/>
            <w:vAlign w:val="bottom"/>
            <w:shd w:val="clear" w:color="auto" w:fill="CCEEFF"/>
          </w:tcPr>
          <w:p>
            <w:pPr>
              <w:ind w:left="20"/>
              <w:spacing w:after="0" w:line="193" w:lineRule="exact"/>
              <w:rPr>
                <w:sz w:val="20"/>
                <w:szCs w:val="20"/>
                <w:color w:val="auto"/>
              </w:rPr>
            </w:pPr>
            <w:r>
              <w:rPr>
                <w:rFonts w:ascii="Arial" w:cs="Arial" w:eastAsia="Arial" w:hAnsi="Arial"/>
                <w:sz w:val="18"/>
                <w:szCs w:val="18"/>
                <w:color w:val="auto"/>
              </w:rPr>
              <w:t>Denominator:</w:t>
            </w:r>
          </w:p>
        </w:tc>
        <w:tc>
          <w:tcPr>
            <w:tcW w:w="152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66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6740" w:type="dxa"/>
            <w:vAlign w:val="bottom"/>
          </w:tcPr>
          <w:p>
            <w:pPr>
              <w:ind w:left="140"/>
              <w:spacing w:after="0"/>
              <w:rPr>
                <w:sz w:val="20"/>
                <w:szCs w:val="20"/>
                <w:color w:val="auto"/>
              </w:rPr>
            </w:pPr>
            <w:r>
              <w:rPr>
                <w:rFonts w:ascii="Arial" w:cs="Arial" w:eastAsia="Arial" w:hAnsi="Arial"/>
                <w:sz w:val="18"/>
                <w:szCs w:val="18"/>
                <w:color w:val="auto"/>
              </w:rPr>
              <w:t>Weighted average common shares for basic earnings per common share</w:t>
            </w:r>
          </w:p>
        </w:tc>
        <w:tc>
          <w:tcPr>
            <w:tcW w:w="152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63.4</w:t>
            </w:r>
          </w:p>
        </w:tc>
        <w:tc>
          <w:tcPr>
            <w:tcW w:w="14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63.0</w:t>
            </w:r>
          </w:p>
        </w:tc>
        <w:tc>
          <w:tcPr>
            <w:tcW w:w="0" w:type="dxa"/>
            <w:vAlign w:val="bottom"/>
          </w:tcPr>
          <w:p>
            <w:pPr>
              <w:spacing w:after="0"/>
              <w:rPr>
                <w:sz w:val="1"/>
                <w:szCs w:val="1"/>
                <w:color w:val="auto"/>
              </w:rPr>
            </w:pPr>
          </w:p>
        </w:tc>
      </w:tr>
      <w:tr>
        <w:trPr>
          <w:trHeight w:val="227"/>
        </w:trPr>
        <w:tc>
          <w:tcPr>
            <w:tcW w:w="6740" w:type="dxa"/>
            <w:vAlign w:val="bottom"/>
            <w:shd w:val="clear" w:color="auto" w:fill="CCEEFF"/>
          </w:tcPr>
          <w:p>
            <w:pPr>
              <w:ind w:left="140"/>
              <w:spacing w:after="0"/>
              <w:rPr>
                <w:sz w:val="20"/>
                <w:szCs w:val="20"/>
                <w:color w:val="auto"/>
              </w:rPr>
            </w:pPr>
            <w:r>
              <w:rPr>
                <w:rFonts w:ascii="Arial" w:cs="Arial" w:eastAsia="Arial" w:hAnsi="Arial"/>
                <w:sz w:val="18"/>
                <w:szCs w:val="18"/>
                <w:color w:val="auto"/>
              </w:rPr>
              <w:t>Effect of dilutive securities</w:t>
            </w:r>
          </w:p>
        </w:tc>
        <w:tc>
          <w:tcPr>
            <w:tcW w:w="1520" w:type="dxa"/>
            <w:vAlign w:val="bottom"/>
            <w:tcBorders>
              <w:bottom w:val="single" w:sz="8" w:color="auto"/>
            </w:tcBorders>
            <w:shd w:val="clear" w:color="auto" w:fill="CCEEFF"/>
          </w:tcPr>
          <w:p>
            <w:pPr>
              <w:spacing w:after="0"/>
              <w:rPr>
                <w:sz w:val="19"/>
                <w:szCs w:val="19"/>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40" w:type="dxa"/>
            <w:vAlign w:val="bottom"/>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0" w:type="dxa"/>
            <w:vAlign w:val="bottom"/>
          </w:tcPr>
          <w:p>
            <w:pPr>
              <w:spacing w:after="0"/>
              <w:rPr>
                <w:sz w:val="1"/>
                <w:szCs w:val="1"/>
                <w:color w:val="auto"/>
              </w:rPr>
            </w:pPr>
          </w:p>
        </w:tc>
      </w:tr>
      <w:tr>
        <w:trPr>
          <w:trHeight w:val="221"/>
        </w:trPr>
        <w:tc>
          <w:tcPr>
            <w:tcW w:w="6740" w:type="dxa"/>
            <w:vAlign w:val="bottom"/>
          </w:tcPr>
          <w:p>
            <w:pPr>
              <w:ind w:left="140"/>
              <w:spacing w:after="0"/>
              <w:rPr>
                <w:sz w:val="20"/>
                <w:szCs w:val="20"/>
                <w:color w:val="auto"/>
              </w:rPr>
            </w:pPr>
            <w:r>
              <w:rPr>
                <w:rFonts w:ascii="Arial" w:cs="Arial" w:eastAsia="Arial" w:hAnsi="Arial"/>
                <w:sz w:val="18"/>
                <w:szCs w:val="18"/>
                <w:color w:val="auto"/>
              </w:rPr>
              <w:t>Weighted average common shares for diluted earnings per common share</w:t>
            </w:r>
          </w:p>
        </w:tc>
        <w:tc>
          <w:tcPr>
            <w:tcW w:w="152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63.7</w:t>
            </w:r>
          </w:p>
        </w:tc>
        <w:tc>
          <w:tcPr>
            <w:tcW w:w="140" w:type="dxa"/>
            <w:vAlign w:val="bottom"/>
          </w:tcPr>
          <w:p>
            <w:pPr>
              <w:spacing w:after="0"/>
              <w:rPr>
                <w:sz w:val="19"/>
                <w:szCs w:val="19"/>
                <w:color w:val="auto"/>
              </w:rPr>
            </w:pPr>
          </w:p>
        </w:tc>
        <w:tc>
          <w:tcPr>
            <w:tcW w:w="1660" w:type="dxa"/>
            <w:vAlign w:val="bottom"/>
            <w:tcBorders>
              <w:bottom w:val="single" w:sz="8" w:color="auto"/>
            </w:tcBorders>
          </w:tcPr>
          <w:p>
            <w:pPr>
              <w:spacing w:after="0"/>
              <w:rPr>
                <w:sz w:val="19"/>
                <w:szCs w:val="19"/>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63.6</w:t>
            </w:r>
          </w:p>
        </w:tc>
        <w:tc>
          <w:tcPr>
            <w:tcW w:w="0" w:type="dxa"/>
            <w:vAlign w:val="bottom"/>
          </w:tcPr>
          <w:p>
            <w:pPr>
              <w:spacing w:after="0"/>
              <w:rPr>
                <w:sz w:val="1"/>
                <w:szCs w:val="1"/>
                <w:color w:val="auto"/>
              </w:rPr>
            </w:pPr>
          </w:p>
        </w:tc>
      </w:tr>
      <w:tr>
        <w:trPr>
          <w:trHeight w:val="20"/>
        </w:trPr>
        <w:tc>
          <w:tcPr>
            <w:tcW w:w="6740" w:type="dxa"/>
            <w:vAlign w:val="bottom"/>
            <w:tcBorders>
              <w:bottom w:val="single" w:sz="8" w:color="CCEEFF"/>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5"/>
        </w:trPr>
        <w:tc>
          <w:tcPr>
            <w:tcW w:w="67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Basic earnings (loss) per common share</w:t>
            </w:r>
          </w:p>
        </w:tc>
        <w:tc>
          <w:tcPr>
            <w:tcW w:w="1520" w:type="dxa"/>
            <w:vAlign w:val="bottom"/>
            <w:tcBorders>
              <w:bottom w:val="single" w:sz="8" w:color="auto"/>
            </w:tcBorders>
            <w:shd w:val="clear" w:color="auto" w:fill="CCEEFF"/>
          </w:tcPr>
          <w:p>
            <w:pPr>
              <w:jc w:val="right"/>
              <w:ind w:right="1331"/>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0.42</w:t>
            </w:r>
          </w:p>
        </w:tc>
        <w:tc>
          <w:tcPr>
            <w:tcW w:w="140" w:type="dxa"/>
            <w:vAlign w:val="bottom"/>
            <w:tcBorders>
              <w:bottom w:val="single" w:sz="8" w:color="CCEEFF"/>
            </w:tcBorders>
            <w:shd w:val="clear" w:color="auto" w:fill="CCEEFF"/>
          </w:tcPr>
          <w:p>
            <w:pPr>
              <w:spacing w:after="0"/>
              <w:rPr>
                <w:sz w:val="20"/>
                <w:szCs w:val="20"/>
                <w:color w:val="auto"/>
              </w:rPr>
            </w:pPr>
          </w:p>
        </w:tc>
        <w:tc>
          <w:tcPr>
            <w:tcW w:w="1660" w:type="dxa"/>
            <w:vAlign w:val="bottom"/>
            <w:tcBorders>
              <w:bottom w:val="single" w:sz="8" w:color="auto"/>
            </w:tcBorders>
            <w:shd w:val="clear" w:color="auto" w:fill="CCEEFF"/>
          </w:tcPr>
          <w:p>
            <w:pPr>
              <w:jc w:val="right"/>
              <w:ind w:right="1471"/>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0"/>
        </w:trPr>
        <w:tc>
          <w:tcPr>
            <w:tcW w:w="6740" w:type="dxa"/>
            <w:vAlign w:val="bottom"/>
          </w:tcPr>
          <w:p>
            <w:pPr>
              <w:ind w:left="20"/>
              <w:spacing w:after="0" w:line="201" w:lineRule="exact"/>
              <w:rPr>
                <w:sz w:val="20"/>
                <w:szCs w:val="20"/>
                <w:color w:val="auto"/>
              </w:rPr>
            </w:pPr>
            <w:r>
              <w:rPr>
                <w:rFonts w:ascii="Arial" w:cs="Arial" w:eastAsia="Arial" w:hAnsi="Arial"/>
                <w:sz w:val="18"/>
                <w:szCs w:val="18"/>
                <w:color w:val="auto"/>
              </w:rPr>
              <w:t>Diluted earnings (loss) per common share</w:t>
            </w:r>
          </w:p>
        </w:tc>
        <w:tc>
          <w:tcPr>
            <w:tcW w:w="1520" w:type="dxa"/>
            <w:vAlign w:val="bottom"/>
            <w:tcBorders>
              <w:bottom w:val="single" w:sz="8" w:color="auto"/>
            </w:tcBorders>
          </w:tcPr>
          <w:p>
            <w:pPr>
              <w:jc w:val="right"/>
              <w:ind w:right="1331"/>
              <w:spacing w:after="0" w:line="201" w:lineRule="exact"/>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auto"/>
            </w:tcBorders>
          </w:tcPr>
          <w:p>
            <w:pPr>
              <w:jc w:val="right"/>
              <w:spacing w:after="0" w:line="201" w:lineRule="exact"/>
              <w:rPr>
                <w:sz w:val="20"/>
                <w:szCs w:val="20"/>
                <w:color w:val="auto"/>
              </w:rPr>
            </w:pPr>
            <w:r>
              <w:rPr>
                <w:rFonts w:ascii="Arial" w:cs="Arial" w:eastAsia="Arial" w:hAnsi="Arial"/>
                <w:sz w:val="18"/>
                <w:szCs w:val="18"/>
                <w:color w:val="auto"/>
              </w:rPr>
              <w:t>0.41</w:t>
            </w:r>
          </w:p>
        </w:tc>
        <w:tc>
          <w:tcPr>
            <w:tcW w:w="140" w:type="dxa"/>
            <w:vAlign w:val="bottom"/>
          </w:tcPr>
          <w:p>
            <w:pPr>
              <w:spacing w:after="0"/>
              <w:rPr>
                <w:sz w:val="17"/>
                <w:szCs w:val="17"/>
                <w:color w:val="auto"/>
              </w:rPr>
            </w:pPr>
          </w:p>
        </w:tc>
        <w:tc>
          <w:tcPr>
            <w:tcW w:w="1660" w:type="dxa"/>
            <w:vAlign w:val="bottom"/>
            <w:tcBorders>
              <w:bottom w:val="single" w:sz="8" w:color="auto"/>
            </w:tcBorders>
          </w:tcPr>
          <w:p>
            <w:pPr>
              <w:jc w:val="right"/>
              <w:ind w:right="1471"/>
              <w:spacing w:after="0" w:line="201" w:lineRule="exact"/>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tcPr>
          <w:p>
            <w:pPr>
              <w:jc w:val="right"/>
              <w:spacing w:after="0" w:line="201" w:lineRule="exact"/>
              <w:rPr>
                <w:sz w:val="20"/>
                <w:szCs w:val="20"/>
                <w:color w:val="auto"/>
              </w:rPr>
            </w:pPr>
            <w:r>
              <w:rPr>
                <w:rFonts w:ascii="Arial" w:cs="Arial" w:eastAsia="Arial" w:hAnsi="Arial"/>
                <w:sz w:val="18"/>
                <w:szCs w:val="18"/>
                <w:color w:val="auto"/>
              </w:rPr>
              <w:t>0.30</w:t>
            </w:r>
          </w:p>
        </w:tc>
        <w:tc>
          <w:tcPr>
            <w:tcW w:w="0" w:type="dxa"/>
            <w:vAlign w:val="bottom"/>
          </w:tcPr>
          <w:p>
            <w:pPr>
              <w:spacing w:after="0"/>
              <w:rPr>
                <w:sz w:val="1"/>
                <w:szCs w:val="1"/>
                <w:color w:val="auto"/>
              </w:rPr>
            </w:pPr>
          </w:p>
        </w:tc>
      </w:tr>
      <w:tr>
        <w:trPr>
          <w:trHeight w:val="20"/>
        </w:trPr>
        <w:tc>
          <w:tcPr>
            <w:tcW w:w="6740" w:type="dxa"/>
            <w:vAlign w:val="bottom"/>
            <w:tcBorders>
              <w:bottom w:val="single" w:sz="8" w:color="CCEEFF"/>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3"/>
        </w:trPr>
        <w:tc>
          <w:tcPr>
            <w:tcW w:w="6740" w:type="dxa"/>
            <w:vAlign w:val="bottom"/>
            <w:shd w:val="clear" w:color="auto" w:fill="CCEEFF"/>
          </w:tcPr>
          <w:p>
            <w:pPr>
              <w:ind w:left="20"/>
              <w:spacing w:after="0" w:line="153" w:lineRule="exact"/>
              <w:rPr>
                <w:sz w:val="20"/>
                <w:szCs w:val="20"/>
                <w:color w:val="auto"/>
              </w:rPr>
            </w:pPr>
            <w:r>
              <w:rPr>
                <w:rFonts w:ascii="Arial" w:cs="Arial" w:eastAsia="Arial" w:hAnsi="Arial"/>
                <w:sz w:val="17"/>
                <w:szCs w:val="17"/>
                <w:color w:val="auto"/>
              </w:rPr>
              <w:t>Weighted average securities which are not included in the calculation of diluted</w:t>
            </w:r>
          </w:p>
        </w:tc>
        <w:tc>
          <w:tcPr>
            <w:tcW w:w="152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660" w:type="dxa"/>
            <w:vAlign w:val="bottom"/>
            <w:shd w:val="clear" w:color="auto" w:fill="CCEEFF"/>
          </w:tcPr>
          <w:p>
            <w:pPr>
              <w:spacing w:after="0"/>
              <w:rPr>
                <w:sz w:val="13"/>
                <w:szCs w:val="13"/>
                <w:color w:val="auto"/>
              </w:rPr>
            </w:pPr>
          </w:p>
        </w:tc>
        <w:tc>
          <w:tcPr>
            <w:tcW w:w="5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6740" w:type="dxa"/>
            <w:vAlign w:val="bottom"/>
            <w:shd w:val="clear" w:color="auto" w:fill="CCEEFF"/>
          </w:tcPr>
          <w:p>
            <w:pPr>
              <w:ind w:left="20"/>
              <w:spacing w:after="0" w:line="174" w:lineRule="exact"/>
              <w:rPr>
                <w:sz w:val="20"/>
                <w:szCs w:val="20"/>
                <w:color w:val="auto"/>
              </w:rPr>
            </w:pPr>
            <w:r>
              <w:rPr>
                <w:rFonts w:ascii="Arial" w:cs="Arial" w:eastAsia="Arial" w:hAnsi="Arial"/>
                <w:sz w:val="18"/>
                <w:szCs w:val="18"/>
                <w:color w:val="auto"/>
              </w:rPr>
              <w:t>earnings per common share because their impact is anti-dilutive or their</w:t>
            </w:r>
          </w:p>
        </w:tc>
        <w:tc>
          <w:tcPr>
            <w:tcW w:w="1520" w:type="dxa"/>
            <w:vAlign w:val="bottom"/>
            <w:shd w:val="clear" w:color="auto" w:fill="CCEEFF"/>
          </w:tcPr>
          <w:p>
            <w:pPr>
              <w:spacing w:after="0"/>
              <w:rPr>
                <w:sz w:val="15"/>
                <w:szCs w:val="15"/>
                <w:color w:val="auto"/>
              </w:rPr>
            </w:pPr>
          </w:p>
        </w:tc>
        <w:tc>
          <w:tcPr>
            <w:tcW w:w="66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40" w:type="dxa"/>
            <w:vAlign w:val="bottom"/>
            <w:shd w:val="clear" w:color="auto" w:fill="CCEEFF"/>
          </w:tcPr>
          <w:p>
            <w:pPr>
              <w:spacing w:after="0"/>
              <w:rPr>
                <w:sz w:val="15"/>
                <w:szCs w:val="15"/>
                <w:color w:val="auto"/>
              </w:rPr>
            </w:pPr>
          </w:p>
        </w:tc>
        <w:tc>
          <w:tcPr>
            <w:tcW w:w="1660" w:type="dxa"/>
            <w:vAlign w:val="bottom"/>
            <w:shd w:val="clear" w:color="auto" w:fill="CCEEFF"/>
          </w:tcPr>
          <w:p>
            <w:pPr>
              <w:spacing w:after="0"/>
              <w:rPr>
                <w:sz w:val="15"/>
                <w:szCs w:val="15"/>
                <w:color w:val="auto"/>
              </w:rPr>
            </w:pPr>
          </w:p>
        </w:tc>
        <w:tc>
          <w:tcPr>
            <w:tcW w:w="5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08"/>
        </w:trPr>
        <w:tc>
          <w:tcPr>
            <w:tcW w:w="6740" w:type="dxa"/>
            <w:vAlign w:val="bottom"/>
            <w:tcBorders>
              <w:bottom w:val="single" w:sz="8" w:color="CCEEFF"/>
            </w:tcBorders>
            <w:shd w:val="clear" w:color="auto" w:fill="CCEEFF"/>
          </w:tcPr>
          <w:p>
            <w:pPr>
              <w:ind w:left="20"/>
              <w:spacing w:after="0" w:line="188" w:lineRule="exact"/>
              <w:rPr>
                <w:sz w:val="20"/>
                <w:szCs w:val="20"/>
                <w:color w:val="auto"/>
              </w:rPr>
            </w:pPr>
            <w:r>
              <w:rPr>
                <w:rFonts w:ascii="Arial" w:cs="Arial" w:eastAsia="Arial" w:hAnsi="Arial"/>
                <w:sz w:val="18"/>
                <w:szCs w:val="18"/>
                <w:color w:val="auto"/>
              </w:rPr>
              <w:t>performance conditions have not been met</w:t>
            </w:r>
          </w:p>
        </w:tc>
        <w:tc>
          <w:tcPr>
            <w:tcW w:w="15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vMerge w:val="continue"/>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spacing w:after="0"/>
              <w:rPr>
                <w:sz w:val="18"/>
                <w:szCs w:val="18"/>
                <w:color w:val="auto"/>
              </w:rPr>
            </w:pPr>
          </w:p>
        </w:tc>
        <w:tc>
          <w:tcPr>
            <w:tcW w:w="52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Commitments and Contingencies</w:t>
      </w:r>
    </w:p>
    <w:p>
      <w:pPr>
        <w:spacing w:after="0" w:line="242"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We are a party to various claims, complaints and proceedings arising in the ordinary course of our business including, but not limited to, environmental claims, commercial and governmental contract claims, such as property damage, demurrage, personal injury, billing and fuel quality claims, as well as bankruptcy preference claims and tax and administrative claims. For example, in December 2021, a judgment was entered against one of our subsidiaries in the Singapore High Court in respect of an action filed by a financing bank of two of our subsidiary’s suppliers. The claims arose out of a financing arrangement between the suppliers and the bank and the resulting judgments, including principal and interest, are in the aggregate amount of approximately $33 million. We believe the claims are without merit, have appealed the judgments and are vigorously defending against the claims.</w:t>
      </w:r>
    </w:p>
    <w:p>
      <w:pPr>
        <w:spacing w:after="0" w:line="104"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From time to time, we are also under review by various domestic and foreign tax authorities regarding indirect tax matters and are involved in various challenges and litigation in a number of countries, including, in particular, South Korea and Brazil, where the amounts under controversy may be material. During 2016 and 2017, the South Korean branch of one of our subsidiaries received assessments totaling approximately $28.2 million (KRW 34.3 billion) from the regional tax authorities of Seoul, South Korea. The assessment primarily consist of fines and penalties for allegedly failing to issue Value Added Tax ("VAT") invoices and report certain transactions during the period 2011-2014. We believe that these assessments are without merit and are currently appealing the actions.</w:t>
      </w:r>
    </w:p>
    <w:p>
      <w:pPr>
        <w:spacing w:after="0" w:line="104"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We are also involved in several tax disputes with federal, state and municipal tax authorities in Brazil, relating primarily to a VAT tax known as ICMS. These disputes are at various stages of the legal process, including the administrative review phase and the collection action phase, and include assessments of fixed amounts of principal and penalties, plus interest. One of our Brazilian subsidiaries is currently appealing an assessment of approximately $12.6 million (BRL 59.6 million) from the Brazilian tax authorities relating to the ICMS rate used for certain transactions. The assessment primarily consists of interest and penalties. We believe that the assessment is without merit and are pursuing our remedies in the judicial court system.</w:t>
      </w:r>
    </w:p>
    <w:p>
      <w:pPr>
        <w:spacing w:after="0" w:line="104"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We have established loss provisions for claims and other matters in which losses are probable and can be reasonably estimated. As of March 31, 2022, these reserves were not material. For those matters where a reserve has not been established and for which we believe a loss is reasonably possible, we believe that such losses will not have a material adverse effect on our Condensed Consolidated Financial Statements. However, any adverse resolution of one or more such claims, complaints or proceedings during a particular period could have a material adverse effect on our Condensed Consolidated Financial Statements or disclosures for that period.</w:t>
      </w: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21" w:name="page22"/>
    <w:bookmarkEnd w:id="21"/>
    <w:p>
      <w:pPr>
        <w:jc w:val="both"/>
        <w:spacing w:after="0" w:line="250" w:lineRule="auto"/>
        <w:rPr>
          <w:sz w:val="20"/>
          <w:szCs w:val="20"/>
          <w:color w:val="auto"/>
        </w:rPr>
      </w:pPr>
      <w:r>
        <w:rPr>
          <w:rFonts w:ascii="Arial" w:cs="Arial" w:eastAsia="Arial" w:hAnsi="Arial"/>
          <w:sz w:val="18"/>
          <w:szCs w:val="18"/>
          <w:color w:val="auto"/>
        </w:rPr>
        <w:t>Our estimates regarding potential losses and materiality are based on our judgment and assessment of the claims utilizing currently available information. Although we will continue to reassess our reserves and estimates based on future developments, our objective assessment of the legal merits of such claims may not always be predictive of the outcome and actual results may vary from our current estimates.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22" w:name="page23"/>
    <w:bookmarkEnd w:id="22"/>
    <w:p>
      <w:pPr>
        <w:spacing w:after="0"/>
        <w:tabs>
          <w:tab w:leader="none" w:pos="8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Management's Discussion and Analysis of Financial Condition and Results of Operations</w:t>
      </w:r>
    </w:p>
    <w:p>
      <w:pPr>
        <w:spacing w:after="0" w:line="242"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The following discussion should be read in conjunction with our 2021 10-K Report and the unaudited Condensed Consolidated Financial Statements and related Notes in Item 1 - Financial Statements of this 10-Q Report. A reference to a "Note" herein refers to the accompanying Notes to the Condensed Consolidated Financial Statements contained in Item 1 - Financial Statements. The following discussion may contain forward-looking statements, and our actual results may differ materially from the results suggested by these forward-looking statements. Some factors that may cause our results to differ are disclosed in Item 1A - Risk Factors of our 2021 10-K Report.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8"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This 10-Q Report and the information incorporated by reference in it, or made by us in other reports, filings with the SEC, press releases, teleconferences, industry conferences or otherwise, contain "forward-looking statements" within the meaning of the Private Securities Litigation Reform Act of 1995. The forward-looking statements include, without limitation, any statement that may predict, forecast, indicate or imply future results, performance or achievements, and may contain the words "believe," "anticipate," "expect," "estimate," "project," "could," "would," "will," "will be," "will continue," "plan," or words or phrases of similar meaning. Specifically, this 10-Q Report includes forward-looking statements regarding (i) the conditions in the aviation, land, and marine markets and their impact on our business, (ii) the effectiveness of our initiatives to reduce cost, improve liquidity and increase efficiencies, as well as the impact of such initiatives on our business, (iii) growth strategies and our working capital, liquidity, capital expenditure requirements, (iv) the expected benefit of our land segment restructuring and its ability to create efficiencies and allow for greater scalability and quicker integration of new businesses to capture synergies, (v) our expectations and estimates regarding certain tax, legal and accounting matters, including the impact on our financial statements, (vi) our expectations regarding the financial impact and other benefits of previous acquisitions, including estimates of future expenses and our ability to realize estimated synergies, (vii) estimates regarding the financial impact of our derivative contracts, and (viii) the ultimate impact of the coronavirus pandemic, or COVID-19, and related travel restrictions on us and our customers, including our expectations about demand, volume, profitability and the impact of fuel prices. These forward-looking statements are qualified in their entirety by cautionary statements and risk factor disclosures contained in our SEC filings.</w:t>
      </w:r>
    </w:p>
    <w:p>
      <w:pPr>
        <w:spacing w:after="0" w:line="101"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These forward-looking statements are estimates and projections reflecting our best judgment and involve risks, uncertainties or other factors relating to our operations and business environment, all of which are difficult to predict and many of which are beyond our control. Although we believe the estimates and projections reflected in the forward-looking statements are reasonable, our expectations may prove to be incorrect. Our actual results may differ materially from the future results, performance or achievements expressed or implied by the forward-looking statements.</w:t>
      </w:r>
    </w:p>
    <w:p>
      <w:pPr>
        <w:spacing w:after="0" w:line="10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Important factors that could cause actual results to differ materially from the results and events anticipated or implied by such forward-looking statements include, but are not limited to:</w:t>
      </w:r>
    </w:p>
    <w:p>
      <w:pPr>
        <w:spacing w:after="0" w:line="96" w:lineRule="exact"/>
        <w:rPr>
          <w:sz w:val="20"/>
          <w:szCs w:val="20"/>
          <w:color w:val="auto"/>
        </w:rPr>
      </w:pPr>
    </w:p>
    <w:p>
      <w:pPr>
        <w:ind w:left="640" w:hanging="313"/>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customer and counterparty creditworthiness and our ability to collect accounts receivable and settle derivative contracts;</w:t>
      </w:r>
    </w:p>
    <w:p>
      <w:pPr>
        <w:spacing w:after="0" w:line="113" w:lineRule="exact"/>
        <w:rPr>
          <w:rFonts w:ascii="Arial" w:cs="Arial" w:eastAsia="Arial" w:hAnsi="Arial"/>
          <w:sz w:val="18"/>
          <w:szCs w:val="18"/>
          <w:color w:val="auto"/>
        </w:rPr>
      </w:pPr>
    </w:p>
    <w:p>
      <w:pPr>
        <w:ind w:left="640" w:hanging="313"/>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adverse conditions in the industries in which our customers operate;</w:t>
      </w:r>
    </w:p>
    <w:p>
      <w:pPr>
        <w:spacing w:after="0" w:line="113" w:lineRule="exact"/>
        <w:rPr>
          <w:rFonts w:ascii="Arial" w:cs="Arial" w:eastAsia="Arial" w:hAnsi="Arial"/>
          <w:sz w:val="18"/>
          <w:szCs w:val="18"/>
          <w:color w:val="auto"/>
        </w:rPr>
      </w:pPr>
    </w:p>
    <w:p>
      <w:pPr>
        <w:ind w:left="640" w:hanging="313"/>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sudden changes in the market price of fuel or extremely high or low fuel prices that continue for an extended period of time;</w:t>
      </w:r>
    </w:p>
    <w:p>
      <w:pPr>
        <w:spacing w:after="0" w:line="113" w:lineRule="exact"/>
        <w:rPr>
          <w:rFonts w:ascii="Arial" w:cs="Arial" w:eastAsia="Arial" w:hAnsi="Arial"/>
          <w:sz w:val="18"/>
          <w:szCs w:val="18"/>
          <w:color w:val="auto"/>
        </w:rPr>
      </w:pPr>
    </w:p>
    <w:p>
      <w:pPr>
        <w:ind w:left="640" w:hanging="313"/>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ability to effectively integrate and derive benefits from acquired businesses;</w:t>
      </w:r>
    </w:p>
    <w:p>
      <w:pPr>
        <w:spacing w:after="0" w:line="113" w:lineRule="exact"/>
        <w:rPr>
          <w:rFonts w:ascii="Arial" w:cs="Arial" w:eastAsia="Arial" w:hAnsi="Arial"/>
          <w:sz w:val="18"/>
          <w:szCs w:val="18"/>
          <w:color w:val="auto"/>
        </w:rPr>
      </w:pPr>
    </w:p>
    <w:p>
      <w:pPr>
        <w:ind w:left="640" w:hanging="313"/>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inability to effectively mitigate certain financial risks and other risks associated with derivatives and our physical fuel products;</w:t>
      </w:r>
    </w:p>
    <w:p>
      <w:pPr>
        <w:spacing w:after="0" w:line="113" w:lineRule="exact"/>
        <w:rPr>
          <w:rFonts w:ascii="Arial" w:cs="Arial" w:eastAsia="Arial" w:hAnsi="Arial"/>
          <w:sz w:val="18"/>
          <w:szCs w:val="18"/>
          <w:color w:val="auto"/>
        </w:rPr>
      </w:pPr>
    </w:p>
    <w:p>
      <w:pPr>
        <w:ind w:left="640" w:hanging="313"/>
        <w:spacing w:after="0" w:line="254"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failure to comply with restrictions and covenants in our senior revolving credit facility ("Credit Facility") and our senior term loans ("Term Loans"), including our financial covenants;</w:t>
      </w:r>
    </w:p>
    <w:p>
      <w:pPr>
        <w:spacing w:after="0" w:line="95" w:lineRule="exact"/>
        <w:rPr>
          <w:rFonts w:ascii="Arial" w:cs="Arial" w:eastAsia="Arial" w:hAnsi="Arial"/>
          <w:sz w:val="18"/>
          <w:szCs w:val="18"/>
          <w:color w:val="auto"/>
        </w:rPr>
      </w:pPr>
    </w:p>
    <w:p>
      <w:pPr>
        <w:ind w:left="640" w:hanging="313"/>
        <w:spacing w:after="0"/>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impact of cyber and other information security-related incidents;</w:t>
      </w:r>
    </w:p>
    <w:p>
      <w:pPr>
        <w:spacing w:after="0" w:line="113" w:lineRule="exact"/>
        <w:rPr>
          <w:rFonts w:ascii="Arial" w:cs="Arial" w:eastAsia="Arial" w:hAnsi="Arial"/>
          <w:sz w:val="18"/>
          <w:szCs w:val="18"/>
          <w:color w:val="auto"/>
        </w:rPr>
      </w:pPr>
    </w:p>
    <w:p>
      <w:pPr>
        <w:ind w:left="640" w:hanging="313"/>
        <w:spacing w:after="0" w:line="254"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changes in the political, economic or regulatory environment generally and in the markets in which we operate, such as the current conflict in Eastern Europe;</w:t>
      </w:r>
    </w:p>
    <w:p>
      <w:pPr>
        <w:spacing w:after="0" w:line="95" w:lineRule="exact"/>
        <w:rPr>
          <w:rFonts w:ascii="Arial" w:cs="Arial" w:eastAsia="Arial" w:hAnsi="Arial"/>
          <w:sz w:val="18"/>
          <w:szCs w:val="18"/>
          <w:color w:val="auto"/>
        </w:rPr>
      </w:pPr>
    </w:p>
    <w:p>
      <w:pPr>
        <w:ind w:left="640" w:hanging="313"/>
        <w:spacing w:after="0" w:line="254"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greenhouse gas reduction ("GHG") programs and other environmental and climate change legislation adopted by governments around the world, including cap and trade regimes, carbon taxes, increased</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23" w:name="page24"/>
    <w:bookmarkEnd w:id="23"/>
    <w:p>
      <w:pPr>
        <w:ind w:left="320"/>
        <w:spacing w:after="0" w:line="254" w:lineRule="auto"/>
        <w:rPr>
          <w:sz w:val="20"/>
          <w:szCs w:val="20"/>
          <w:color w:val="auto"/>
        </w:rPr>
      </w:pPr>
      <w:r>
        <w:rPr>
          <w:rFonts w:ascii="Arial" w:cs="Arial" w:eastAsia="Arial" w:hAnsi="Arial"/>
          <w:sz w:val="18"/>
          <w:szCs w:val="18"/>
          <w:color w:val="auto"/>
        </w:rPr>
        <w:t>efficiency standards and mandates for renewable energy, each of which could increase our operating and compliance costs as well as adversely impact our sales of fuel products;</w:t>
      </w:r>
    </w:p>
    <w:p>
      <w:pPr>
        <w:spacing w:after="0" w:line="96" w:lineRule="exact"/>
        <w:rPr>
          <w:sz w:val="20"/>
          <w:szCs w:val="20"/>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credit terms extended to us from our suppliers;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non-performance of suppliers on their sale commitments and customers on their purchase commitments;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non-performance of third-party service providers;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increases in interest rates;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meet financial forecasts associated with our operating plan;</w:t>
      </w:r>
    </w:p>
    <w:p>
      <w:pPr>
        <w:spacing w:after="0" w:line="113" w:lineRule="exact"/>
        <w:rPr>
          <w:rFonts w:ascii="Arial" w:cs="Arial" w:eastAsia="Arial" w:hAnsi="Arial"/>
          <w:sz w:val="18"/>
          <w:szCs w:val="18"/>
          <w:color w:val="auto"/>
        </w:rPr>
      </w:pPr>
    </w:p>
    <w:p>
      <w:pPr>
        <w:ind w:left="3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lower than expected cash flows and revenues, which could impair our ability to realize the value of recorded intangible assets and goodwill;</w:t>
      </w:r>
    </w:p>
    <w:p>
      <w:pPr>
        <w:spacing w:after="0" w:line="95"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availability of cash and sufficient liquidity to fund our working capital and strategic investment needs;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currency exchange fluctuations;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ability to effectively leverage technology and operating systems and realize the anticipated benefits;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failure to meet fuel and other product specifications agreed with our customers;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achieve the expected level of benefit from our restructuring activities and cost reduction initiatives;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environmental and other risks associated with the storage, transportation and delivery of petroleum products;</w:t>
      </w:r>
    </w:p>
    <w:p>
      <w:pPr>
        <w:spacing w:after="0" w:line="113" w:lineRule="exact"/>
        <w:rPr>
          <w:rFonts w:ascii="Arial" w:cs="Arial" w:eastAsia="Arial" w:hAnsi="Arial"/>
          <w:sz w:val="18"/>
          <w:szCs w:val="18"/>
          <w:color w:val="auto"/>
        </w:rPr>
      </w:pPr>
    </w:p>
    <w:p>
      <w:pPr>
        <w:ind w:left="3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reputational harm from adverse publicity arising out of spills, environmental contamination or public perception about the impacts on climate change by us or other companies in our industry;</w:t>
      </w:r>
    </w:p>
    <w:p>
      <w:pPr>
        <w:spacing w:after="0" w:line="95" w:lineRule="exact"/>
        <w:rPr>
          <w:rFonts w:ascii="Arial" w:cs="Arial" w:eastAsia="Arial" w:hAnsi="Arial"/>
          <w:sz w:val="18"/>
          <w:szCs w:val="18"/>
          <w:color w:val="auto"/>
        </w:rPr>
      </w:pPr>
    </w:p>
    <w:p>
      <w:pPr>
        <w:ind w:left="320" w:right="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risks associated with operating in high-risk locations, including supply disruptions, border closures and other logistical difficulties that arise when working in these areas;</w:t>
      </w:r>
    </w:p>
    <w:p>
      <w:pPr>
        <w:spacing w:after="0" w:line="95"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uninsured or underinsured losses;</w:t>
      </w:r>
    </w:p>
    <w:p>
      <w:pPr>
        <w:spacing w:after="0" w:line="113" w:lineRule="exact"/>
        <w:rPr>
          <w:rFonts w:ascii="Arial" w:cs="Arial" w:eastAsia="Arial" w:hAnsi="Arial"/>
          <w:sz w:val="18"/>
          <w:szCs w:val="18"/>
          <w:color w:val="auto"/>
        </w:rPr>
      </w:pPr>
    </w:p>
    <w:p>
      <w:pPr>
        <w:ind w:left="320" w:right="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seasonal variability that adversely affects our revenues and operating results, as well as the impact of natural disasters, such as earthquakes, hurricanes and wildfires;</w:t>
      </w:r>
    </w:p>
    <w:p>
      <w:pPr>
        <w:spacing w:after="0" w:line="95"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declines in the value and liquidity of cash equivalents and investments;</w:t>
      </w:r>
    </w:p>
    <w:p>
      <w:pPr>
        <w:spacing w:after="0" w:line="113"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retain and attract senior management and other key employees;</w:t>
      </w:r>
    </w:p>
    <w:p>
      <w:pPr>
        <w:spacing w:after="0" w:line="113" w:lineRule="exact"/>
        <w:rPr>
          <w:rFonts w:ascii="Arial" w:cs="Arial" w:eastAsia="Arial" w:hAnsi="Arial"/>
          <w:sz w:val="18"/>
          <w:szCs w:val="18"/>
          <w:color w:val="auto"/>
        </w:rPr>
      </w:pPr>
    </w:p>
    <w:p>
      <w:pPr>
        <w:ind w:left="3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U.S. or foreign tax laws, interpretations of such laws, changes in the mix of taxable income among different tax jurisdictions, or adverse results of tax audits, assessments, or disputes;</w:t>
      </w:r>
    </w:p>
    <w:p>
      <w:pPr>
        <w:spacing w:after="0" w:line="95" w:lineRule="exact"/>
        <w:rPr>
          <w:rFonts w:ascii="Arial" w:cs="Arial" w:eastAsia="Arial" w:hAnsi="Arial"/>
          <w:sz w:val="18"/>
          <w:szCs w:val="18"/>
          <w:color w:val="auto"/>
        </w:rPr>
      </w:pPr>
    </w:p>
    <w:p>
      <w:pPr>
        <w:ind w:left="320" w:right="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failure to generate sufficient future taxable income in jurisdictions with material deferred tax assets and net operating loss carryforwards;</w:t>
      </w:r>
    </w:p>
    <w:p>
      <w:pPr>
        <w:spacing w:after="0" w:line="95"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impact of the U.K.'s exit from the European Union, known as Brexit, on our business, operations and financial condition;</w:t>
      </w:r>
    </w:p>
    <w:p>
      <w:pPr>
        <w:spacing w:after="0" w:line="113" w:lineRule="exact"/>
        <w:rPr>
          <w:rFonts w:ascii="Arial" w:cs="Arial" w:eastAsia="Arial" w:hAnsi="Arial"/>
          <w:sz w:val="18"/>
          <w:szCs w:val="18"/>
          <w:color w:val="auto"/>
        </w:rPr>
      </w:pPr>
    </w:p>
    <w:p>
      <w:pPr>
        <w:ind w:left="3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comply with U.S. and international laws and regulations, including those related to anti-corruption, economic sanction programs and environmental matters;</w:t>
      </w:r>
    </w:p>
    <w:p>
      <w:pPr>
        <w:spacing w:after="0" w:line="95" w:lineRule="exact"/>
        <w:rPr>
          <w:rFonts w:ascii="Arial" w:cs="Arial" w:eastAsia="Arial" w:hAnsi="Arial"/>
          <w:sz w:val="18"/>
          <w:szCs w:val="18"/>
          <w:color w:val="auto"/>
        </w:rPr>
      </w:pPr>
    </w:p>
    <w:p>
      <w:pPr>
        <w:ind w:left="3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extent of the impact of the pandemic, including the duration, spread, severity and scope of related government orders and restrictions, on ours and our customers' sales, profitability, operations and supply chains;</w:t>
      </w:r>
    </w:p>
    <w:p>
      <w:pPr>
        <w:spacing w:after="0" w:line="95" w:lineRule="exact"/>
        <w:rPr>
          <w:rFonts w:ascii="Arial" w:cs="Arial" w:eastAsia="Arial" w:hAnsi="Arial"/>
          <w:sz w:val="18"/>
          <w:szCs w:val="18"/>
          <w:color w:val="auto"/>
        </w:rPr>
      </w:pPr>
    </w:p>
    <w:p>
      <w:pPr>
        <w:ind w:left="320" w:hanging="313"/>
        <w:spacing w:after="0"/>
        <w:tabs>
          <w:tab w:leader="none" w:pos="3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outcome of litigation and other proceedings, including the costs associated in defending any actions; and</w:t>
      </w:r>
    </w:p>
    <w:p>
      <w:pPr>
        <w:spacing w:after="0" w:line="113" w:lineRule="exact"/>
        <w:rPr>
          <w:rFonts w:ascii="Arial" w:cs="Arial" w:eastAsia="Arial" w:hAnsi="Arial"/>
          <w:sz w:val="18"/>
          <w:szCs w:val="18"/>
          <w:color w:val="auto"/>
        </w:rPr>
      </w:pPr>
    </w:p>
    <w:p>
      <w:pPr>
        <w:ind w:left="320" w:hanging="313"/>
        <w:spacing w:after="0" w:line="254" w:lineRule="auto"/>
        <w:tabs>
          <w:tab w:leader="none" w:pos="315" w:val="left"/>
        </w:tabs>
        <w:numPr>
          <w:ilvl w:val="0"/>
          <w:numId w:val="9"/>
        </w:numPr>
        <w:rPr>
          <w:rFonts w:ascii="Arial" w:cs="Arial" w:eastAsia="Arial" w:hAnsi="Arial"/>
          <w:sz w:val="18"/>
          <w:szCs w:val="18"/>
          <w:color w:val="auto"/>
        </w:rPr>
      </w:pPr>
      <w:r>
        <w:rPr>
          <w:rFonts w:ascii="Arial" w:cs="Arial" w:eastAsia="Arial" w:hAnsi="Arial"/>
          <w:sz w:val="18"/>
          <w:szCs w:val="18"/>
          <w:color w:val="auto"/>
        </w:rPr>
        <w:t>other risks, including those described in Item 1A - Risk Factors in our 2021 10-K Report, and those described from time to time in our other filings with the SEC.</w:t>
      </w:r>
    </w:p>
    <w:p>
      <w:pPr>
        <w:spacing w:after="0" w:line="200" w:lineRule="exact"/>
        <w:rPr>
          <w:sz w:val="20"/>
          <w:szCs w:val="20"/>
          <w:color w:val="auto"/>
        </w:rPr>
      </w:pPr>
    </w:p>
    <w:p>
      <w:pPr>
        <w:spacing w:after="0" w:line="336" w:lineRule="exact"/>
        <w:rPr>
          <w:sz w:val="20"/>
          <w:szCs w:val="20"/>
          <w:color w:val="auto"/>
        </w:rPr>
      </w:pPr>
    </w:p>
    <w:p>
      <w:pPr>
        <w:jc w:val="center"/>
        <w:ind w:right="320"/>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127635</wp:posOffset>
            </wp:positionV>
            <wp:extent cx="715962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0920"/>
          </w:cols>
          <w:pgMar w:left="640" w:top="1113" w:right="339" w:bottom="1440" w:gutter="0" w:footer="0" w:header="0"/>
        </w:sectPr>
      </w:pPr>
    </w:p>
    <w:bookmarkStart w:id="24" w:name="page25"/>
    <w:bookmarkEnd w:id="24"/>
    <w:p>
      <w:pPr>
        <w:jc w:val="both"/>
        <w:spacing w:after="0" w:line="248" w:lineRule="auto"/>
        <w:rPr>
          <w:sz w:val="20"/>
          <w:szCs w:val="20"/>
          <w:color w:val="auto"/>
        </w:rPr>
      </w:pPr>
      <w:r>
        <w:rPr>
          <w:rFonts w:ascii="Arial" w:cs="Arial" w:eastAsia="Arial" w:hAnsi="Arial"/>
          <w:sz w:val="18"/>
          <w:szCs w:val="18"/>
          <w:color w:val="auto"/>
        </w:rPr>
        <w:t>We operate in a very competitive and rapidly changing environment. New risks emerge from time to time. It is not possible for us to predict all of those risks, nor can we assess the impact of all of those risks on our business or the extent to which any factor may cause actual results to differ materially from those contained in any forward-looking statement. Further, forward-looking statements speak only as of the date they are made, and unless required by law, we expressly disclaim any obligation or undertaking to publicly update any of them in light of new information, future events, or otherwise. Any public statements or disclosures by us following this report that modify or impact any of the forward-looking statements contained in or accompanying this 10-Q Report will be deemed to modify or supersede such forward-looking statements.</w:t>
      </w:r>
    </w:p>
    <w:p>
      <w:pPr>
        <w:spacing w:after="0" w:line="104"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For these statements, we claim the protection of the safe harbor for forward-looking statements contained in Section 27A of the Securities Act of 1933, as amended, and Section 21E of the Securities Exchange Act, as amended (the "Exchange Act").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Overview</w:t>
      </w:r>
    </w:p>
    <w:p>
      <w:pPr>
        <w:spacing w:after="0" w:line="28"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We are a leading global fuel services company, principally engaged in the distribution of fuel and related products and services in the aviation, land and marine transportation industries. In recent years, we have expanded our product and service offerings to include energy advisory services, sustainability and renewable energy solutions, as well as supply fulfillment for natural gas and power to commercial, industrial and government customers. Our intention is to become a leading global energy management company offering a full suite of energy advisory, management and fulfillment services, technology solutions, payment management solutions, as well as sustainability products and services across the energy product spectrum. We believe that we can have a significant impact on advancing the energy transition to lower carbon alternatives through expanding our portfolio of energy solutions and providing customers with greater access to sustainably sourced energy as well as mechanisms to compensate for residual emissions in the near term.</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COVID-19</w:t>
      </w:r>
    </w:p>
    <w:p>
      <w:pPr>
        <w:spacing w:after="0" w:line="28"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Throughout 2020 and 2021, the COVID-19 pandemic had a significant impact on the global economy as a whole, and the transportation industries in particular. Many of our customers in these industries, especially commercial airlines, experienced a substantial decline in business activity arising from the various measures enacted by governments around the world to contain the spread of the virus. While travel and economic activity has been improving recently in various regions, activity in certain parts of the world continues to be negatively impacted by travel restrictions and other quarantine mandates. For additional discussion on the risks relating to the pandemic, see Item 1A - Risk Factors in our 2021 10-K Report.</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Reportable Segments</w:t>
      </w:r>
    </w:p>
    <w:p>
      <w:pPr>
        <w:spacing w:after="0" w:line="28"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We operate in three reportable segments consisting of aviation, land, and marine. For additional discussion on our reportable segments, see "Reportable Segments" under Part I, Item 1. Business in our 2021 10-K. Selected financial information with respect to our business segments is provided in Note 11. Business Segments.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Aviation Segment</w:t>
      </w:r>
    </w:p>
    <w:p>
      <w:pPr>
        <w:spacing w:after="0" w:line="28"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Our aviation segment has benefited from growth in our fuel and related services offerings, as well as our improving logistics capability and the geographic expansion of our aviation fueling operations into additional international airport locations. As part of our growth strategy, we have also increased the level of inventory that we hold for strategic reasons at certain locations. While we generally enter into financial derivative contracts to mitigate price risk exposure associated with our inventory, depending on market pricing dynamics we may experience negative impacts on our results, particularly in a market pricing environment experiencing severe backwardation, where oil futures forward prices trade at lower levels than the current market price. Our results of operations in our aviation segment have been significantly affected during the last two fiscal years by the effects of the COVID-19 pandemic, as well as the withdrawal of the troops in Afghanistan by the U.S. and NATO that concluded in the third quarter of 2021. However, the gradual relaxation of global travel restrictions in conjunction with higher vaccination distribution and lower COVID-19 case rates has contributed to a substantial recovery in global aviation volumes as compared to pre-pandemic levels.</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Land Segment</w:t>
      </w:r>
    </w:p>
    <w:p>
      <w:pPr>
        <w:spacing w:after="0" w:line="28"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We believe our land segment is well positioned to continue growing market share, both organically and through leveraging the capabilities of our acquisitions, serving to further enhance our commercial and industrial platforms to deliver value-added solutions to customers across the U.S. In addition, to participate in accelerating the energy transition, we continue to focus on the expansion of our sustainability offerings, which include consulting, renewable fuel products, and carbon management and renewable energy solutions through World Kinect, our global energy management brand. In connection with our efforts to sharpen our portfolio of businesses and accelerate growth in our core business activities, we have also divested of certain businesses and focused on investing in businesses that we believe will drive enhanced operating efficiencies and generate long-term shareholder value. With the addition of Flyers' operations we acquired in January 2022, we believe our expanded national platform will continue to accelerate the delivery of value-added solutions to commercial and industrial customers across the United States. See Note 3. Acquisitions for additional information. Finally, our results of operations in our land segment can be significantly affected by market volatility and weather conditions. In periods where we experience historically extreme or unseasonable weather conditions, demand for our products may be affected, both positively and negatively. In addition, our land segment also similarly benefited from sales to NATO in Afghanistan in recent years, however, such activity materially declined and ultimately concluded in 2021 in connection with the withdrawal of the U.S. and NATO troops in the area.</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Marine Segment</w:t>
      </w:r>
    </w:p>
    <w:p>
      <w:pPr>
        <w:spacing w:after="0" w:line="28"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Our marine segment has traditionally benefited from fuel price volatility, supply uncertainty, and a constrained credit environment. Through much of 2019 and into early 2020, we experienced improved profitability in our marine segment due to higher average fuel prices, combined with our heightened focus on cost management and the continued reshaping of our business portfolio. In addition, the IMO 2020 regulations resulted in certain supply imbalances and price volatility which positively impacted our operating results in those periods. Beginning in the latter part of the first quarter of 2020 and continuing through 2021, we experienced a material decline in volume and related profitability primarily due to the impact of the COVID-19 pandemic on the marine transportation industry. The recent increase in global oil prices and related volatility experienced in the first quarter of 2022 contributed to the improvement in marine segment profitability.</w:t>
      </w:r>
    </w:p>
    <w:p>
      <w:pPr>
        <w:spacing w:after="0" w:line="200" w:lineRule="exact"/>
        <w:rPr>
          <w:sz w:val="20"/>
          <w:szCs w:val="20"/>
          <w:color w:val="auto"/>
        </w:rPr>
      </w:pPr>
    </w:p>
    <w:p>
      <w:pPr>
        <w:spacing w:after="0" w:line="3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26" w:name="page27"/>
    <w:bookmarkEnd w:id="26"/>
    <w:tbl>
      <w:tblPr>
        <w:tblLayout w:type="fixed"/>
        <w:tblInd w:w="0" w:type="dxa"/>
        <w:tblCellMar>
          <w:top w:w="0" w:type="dxa"/>
          <w:left w:w="0" w:type="dxa"/>
          <w:bottom w:w="0" w:type="dxa"/>
          <w:right w:w="0" w:type="dxa"/>
        </w:tblCellMar>
      </w:tblPr>
      <w:tr>
        <w:trPr>
          <w:trHeight w:val="235"/>
        </w:trPr>
        <w:tc>
          <w:tcPr>
            <w:tcW w:w="5400" w:type="dxa"/>
            <w:vAlign w:val="bottom"/>
          </w:tcPr>
          <w:p>
            <w:pPr>
              <w:spacing w:after="0"/>
              <w:rPr>
                <w:sz w:val="20"/>
                <w:szCs w:val="20"/>
                <w:color w:val="auto"/>
              </w:rPr>
            </w:pPr>
            <w:r>
              <w:rPr>
                <w:rFonts w:ascii="Arial" w:cs="Arial" w:eastAsia="Arial" w:hAnsi="Arial"/>
                <w:sz w:val="18"/>
                <w:szCs w:val="18"/>
                <w:b w:val="1"/>
                <w:bCs w:val="1"/>
                <w:color w:val="auto"/>
              </w:rPr>
              <w:t>Results of Operations</w:t>
            </w:r>
          </w:p>
        </w:tc>
        <w:tc>
          <w:tcPr>
            <w:tcW w:w="13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40" w:type="dxa"/>
            <w:vAlign w:val="bottom"/>
          </w:tcPr>
          <w:p>
            <w:pPr>
              <w:spacing w:after="0"/>
              <w:rPr>
                <w:sz w:val="20"/>
                <w:szCs w:val="20"/>
                <w:color w:val="auto"/>
              </w:rPr>
            </w:pPr>
          </w:p>
        </w:tc>
      </w:tr>
      <w:tr>
        <w:trPr>
          <w:trHeight w:val="388"/>
        </w:trPr>
        <w:tc>
          <w:tcPr>
            <w:tcW w:w="7500" w:type="dxa"/>
            <w:vAlign w:val="bottom"/>
            <w:gridSpan w:val="4"/>
          </w:tcPr>
          <w:p>
            <w:pPr>
              <w:spacing w:after="0"/>
              <w:rPr>
                <w:sz w:val="20"/>
                <w:szCs w:val="20"/>
                <w:color w:val="auto"/>
              </w:rPr>
            </w:pPr>
            <w:r>
              <w:rPr>
                <w:rFonts w:ascii="Arial" w:cs="Arial" w:eastAsia="Arial" w:hAnsi="Arial"/>
                <w:sz w:val="18"/>
                <w:szCs w:val="18"/>
                <w:color w:val="auto"/>
              </w:rPr>
              <w:t>Three Months Ended March 31, 2022 Compared to Three Months Ended March 31, 2021</w:t>
            </w:r>
          </w:p>
        </w:tc>
        <w:tc>
          <w:tcPr>
            <w:tcW w:w="1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40" w:type="dxa"/>
            <w:vAlign w:val="bottom"/>
          </w:tcPr>
          <w:p>
            <w:pPr>
              <w:spacing w:after="0"/>
              <w:rPr>
                <w:sz w:val="24"/>
                <w:szCs w:val="24"/>
                <w:color w:val="auto"/>
              </w:rPr>
            </w:pPr>
          </w:p>
        </w:tc>
      </w:tr>
      <w:tr>
        <w:trPr>
          <w:trHeight w:val="339"/>
        </w:trPr>
        <w:tc>
          <w:tcPr>
            <w:tcW w:w="5400" w:type="dxa"/>
            <w:vAlign w:val="bottom"/>
            <w:tcBorders>
              <w:top w:val="single" w:sz="8" w:color="auto"/>
            </w:tcBorders>
          </w:tcPr>
          <w:p>
            <w:pPr>
              <w:spacing w:after="0"/>
              <w:rPr>
                <w:sz w:val="20"/>
                <w:szCs w:val="20"/>
                <w:color w:val="auto"/>
              </w:rPr>
            </w:pPr>
            <w:r>
              <w:rPr>
                <w:rFonts w:ascii="Arial" w:cs="Arial" w:eastAsia="Arial" w:hAnsi="Arial"/>
                <w:sz w:val="18"/>
                <w:szCs w:val="18"/>
                <w:i w:val="1"/>
                <w:iCs w:val="1"/>
                <w:color w:val="auto"/>
              </w:rPr>
              <w:t>Consolidated Results of Operations</w:t>
            </w:r>
          </w:p>
        </w:tc>
        <w:tc>
          <w:tcPr>
            <w:tcW w:w="132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40" w:type="dxa"/>
            <w:vAlign w:val="bottom"/>
          </w:tcPr>
          <w:p>
            <w:pPr>
              <w:spacing w:after="0"/>
              <w:rPr>
                <w:sz w:val="24"/>
                <w:szCs w:val="24"/>
                <w:color w:val="auto"/>
              </w:rPr>
            </w:pPr>
          </w:p>
        </w:tc>
      </w:tr>
      <w:tr>
        <w:trPr>
          <w:trHeight w:val="213"/>
        </w:trPr>
        <w:tc>
          <w:tcPr>
            <w:tcW w:w="5400" w:type="dxa"/>
            <w:vAlign w:val="bottom"/>
          </w:tcPr>
          <w:p>
            <w:pPr>
              <w:spacing w:after="0"/>
              <w:rPr>
                <w:sz w:val="20"/>
                <w:szCs w:val="20"/>
                <w:color w:val="auto"/>
              </w:rPr>
            </w:pPr>
            <w:r>
              <w:rPr>
                <w:rFonts w:ascii="Arial" w:cs="Arial" w:eastAsia="Arial" w:hAnsi="Arial"/>
                <w:sz w:val="18"/>
                <w:szCs w:val="18"/>
                <w:color w:val="auto"/>
              </w:rPr>
              <w:t>The  following  provides  a  summary  of  our  consolidated</w:t>
            </w:r>
          </w:p>
        </w:tc>
        <w:tc>
          <w:tcPr>
            <w:tcW w:w="2100" w:type="dxa"/>
            <w:vAlign w:val="bottom"/>
            <w:gridSpan w:val="3"/>
          </w:tcPr>
          <w:p>
            <w:pPr>
              <w:ind w:left="100"/>
              <w:spacing w:after="0"/>
              <w:rPr>
                <w:sz w:val="20"/>
                <w:szCs w:val="20"/>
                <w:color w:val="auto"/>
              </w:rPr>
            </w:pPr>
            <w:r>
              <w:rPr>
                <w:rFonts w:ascii="Arial" w:cs="Arial" w:eastAsia="Arial" w:hAnsi="Arial"/>
                <w:sz w:val="18"/>
                <w:szCs w:val="18"/>
                <w:color w:val="auto"/>
              </w:rPr>
              <w:t>results  of  operations</w:t>
            </w:r>
          </w:p>
        </w:tc>
        <w:tc>
          <w:tcPr>
            <w:tcW w:w="1560" w:type="dxa"/>
            <w:vAlign w:val="bottom"/>
            <w:gridSpan w:val="2"/>
          </w:tcPr>
          <w:p>
            <w:pPr>
              <w:ind w:left="100"/>
              <w:spacing w:after="0"/>
              <w:rPr>
                <w:sz w:val="20"/>
                <w:szCs w:val="20"/>
                <w:color w:val="auto"/>
              </w:rPr>
            </w:pPr>
            <w:r>
              <w:rPr>
                <w:rFonts w:ascii="Arial" w:cs="Arial" w:eastAsia="Arial" w:hAnsi="Arial"/>
                <w:sz w:val="18"/>
                <w:szCs w:val="18"/>
                <w:color w:val="auto"/>
              </w:rPr>
              <w:t>for  the  periods</w:t>
            </w:r>
          </w:p>
        </w:tc>
        <w:tc>
          <w:tcPr>
            <w:tcW w:w="140" w:type="dxa"/>
            <w:vAlign w:val="bottom"/>
          </w:tcPr>
          <w:p>
            <w:pPr>
              <w:spacing w:after="0"/>
              <w:rPr>
                <w:sz w:val="18"/>
                <w:szCs w:val="18"/>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indicated  (in  millions):</w:t>
            </w:r>
          </w:p>
        </w:tc>
      </w:tr>
      <w:tr>
        <w:trPr>
          <w:trHeight w:val="254"/>
        </w:trPr>
        <w:tc>
          <w:tcPr>
            <w:tcW w:w="540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4220" w:type="dxa"/>
            <w:vAlign w:val="bottom"/>
            <w:tcBorders>
              <w:bottom w:val="single" w:sz="8" w:color="auto"/>
            </w:tcBorders>
            <w:gridSpan w:val="5"/>
          </w:tcPr>
          <w:p>
            <w:pPr>
              <w:jc w:val="right"/>
              <w:ind w:right="531"/>
              <w:spacing w:after="0"/>
              <w:rPr>
                <w:sz w:val="20"/>
                <w:szCs w:val="20"/>
                <w:color w:val="auto"/>
              </w:rPr>
            </w:pPr>
            <w:r>
              <w:rPr>
                <w:rFonts w:ascii="Arial" w:cs="Arial" w:eastAsia="Arial" w:hAnsi="Arial"/>
                <w:sz w:val="18"/>
                <w:szCs w:val="18"/>
                <w:b w:val="1"/>
                <w:bCs w:val="1"/>
                <w:color w:val="auto"/>
              </w:rPr>
              <w:t>For the Three Months Ended March 31,</w:t>
            </w:r>
          </w:p>
        </w:tc>
      </w:tr>
      <w:tr>
        <w:trPr>
          <w:trHeight w:val="221"/>
        </w:trPr>
        <w:tc>
          <w:tcPr>
            <w:tcW w:w="5400" w:type="dxa"/>
            <w:vAlign w:val="bottom"/>
            <w:tcBorders>
              <w:bottom w:val="single" w:sz="8" w:color="CCEEFF"/>
            </w:tcBorders>
          </w:tcPr>
          <w:p>
            <w:pPr>
              <w:spacing w:after="0"/>
              <w:rPr>
                <w:sz w:val="19"/>
                <w:szCs w:val="19"/>
                <w:color w:val="auto"/>
              </w:rPr>
            </w:pPr>
          </w:p>
        </w:tc>
        <w:tc>
          <w:tcPr>
            <w:tcW w:w="13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2022</w:t>
            </w:r>
          </w:p>
        </w:tc>
        <w:tc>
          <w:tcPr>
            <w:tcW w:w="14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2021</w:t>
            </w:r>
          </w:p>
        </w:tc>
      </w:tr>
      <w:tr>
        <w:trPr>
          <w:trHeight w:val="220"/>
        </w:trPr>
        <w:tc>
          <w:tcPr>
            <w:tcW w:w="5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6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12,382.0</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5,957.9</w:t>
            </w:r>
          </w:p>
        </w:tc>
      </w:tr>
      <w:tr>
        <w:trPr>
          <w:trHeight w:val="226"/>
        </w:trPr>
        <w:tc>
          <w:tcPr>
            <w:tcW w:w="54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revenue</w:t>
            </w:r>
          </w:p>
        </w:tc>
        <w:tc>
          <w:tcPr>
            <w:tcW w:w="13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12,151.1</w:t>
            </w:r>
          </w:p>
        </w:tc>
        <w:tc>
          <w:tcPr>
            <w:tcW w:w="14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5,766.3</w:t>
            </w:r>
          </w:p>
        </w:tc>
      </w:tr>
      <w:tr>
        <w:trPr>
          <w:trHeight w:val="221"/>
        </w:trPr>
        <w:tc>
          <w:tcPr>
            <w:tcW w:w="5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13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230.9</w:t>
            </w:r>
          </w:p>
        </w:tc>
        <w:tc>
          <w:tcPr>
            <w:tcW w:w="14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2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191.6</w:t>
            </w:r>
          </w:p>
        </w:tc>
      </w:tr>
      <w:tr>
        <w:trPr>
          <w:trHeight w:val="206"/>
        </w:trPr>
        <w:tc>
          <w:tcPr>
            <w:tcW w:w="5400" w:type="dxa"/>
            <w:vAlign w:val="bottom"/>
          </w:tcPr>
          <w:p>
            <w:pPr>
              <w:ind w:left="20"/>
              <w:spacing w:after="0" w:line="206" w:lineRule="exact"/>
              <w:rPr>
                <w:sz w:val="20"/>
                <w:szCs w:val="20"/>
                <w:color w:val="auto"/>
              </w:rPr>
            </w:pPr>
            <w:r>
              <w:rPr>
                <w:rFonts w:ascii="Arial" w:cs="Arial" w:eastAsia="Arial" w:hAnsi="Arial"/>
                <w:sz w:val="18"/>
                <w:szCs w:val="18"/>
                <w:color w:val="auto"/>
              </w:rPr>
              <w:t>Operating expenses:</w:t>
            </w:r>
          </w:p>
        </w:tc>
        <w:tc>
          <w:tcPr>
            <w:tcW w:w="1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40" w:type="dxa"/>
            <w:vAlign w:val="bottom"/>
          </w:tcPr>
          <w:p>
            <w:pPr>
              <w:spacing w:after="0"/>
              <w:rPr>
                <w:sz w:val="17"/>
                <w:szCs w:val="17"/>
                <w:color w:val="auto"/>
              </w:rPr>
            </w:pPr>
          </w:p>
        </w:tc>
      </w:tr>
      <w:tr>
        <w:trPr>
          <w:trHeight w:val="228"/>
        </w:trPr>
        <w:tc>
          <w:tcPr>
            <w:tcW w:w="5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Compensation and employee benefits</w:t>
            </w:r>
          </w:p>
        </w:tc>
        <w:tc>
          <w:tcPr>
            <w:tcW w:w="13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114.9</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92.5</w:t>
            </w:r>
          </w:p>
        </w:tc>
      </w:tr>
      <w:tr>
        <w:trPr>
          <w:trHeight w:val="226"/>
        </w:trPr>
        <w:tc>
          <w:tcPr>
            <w:tcW w:w="5400" w:type="dxa"/>
            <w:vAlign w:val="bottom"/>
          </w:tcPr>
          <w:p>
            <w:pPr>
              <w:ind w:left="140"/>
              <w:spacing w:after="0"/>
              <w:rPr>
                <w:sz w:val="20"/>
                <w:szCs w:val="20"/>
                <w:color w:val="auto"/>
              </w:rPr>
            </w:pPr>
            <w:r>
              <w:rPr>
                <w:rFonts w:ascii="Arial" w:cs="Arial" w:eastAsia="Arial" w:hAnsi="Arial"/>
                <w:sz w:val="18"/>
                <w:szCs w:val="18"/>
                <w:color w:val="auto"/>
              </w:rPr>
              <w:t>General and administrative</w:t>
            </w: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74.7</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59.4</w:t>
            </w:r>
          </w:p>
        </w:tc>
      </w:tr>
      <w:tr>
        <w:trPr>
          <w:trHeight w:val="227"/>
        </w:trPr>
        <w:tc>
          <w:tcPr>
            <w:tcW w:w="5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Restructuring charges</w:t>
            </w:r>
          </w:p>
        </w:tc>
        <w:tc>
          <w:tcPr>
            <w:tcW w:w="13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5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9"/>
                <w:szCs w:val="19"/>
                <w:color w:val="auto"/>
              </w:rPr>
            </w:pP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w:t>
            </w:r>
          </w:p>
        </w:tc>
      </w:tr>
      <w:tr>
        <w:trPr>
          <w:trHeight w:val="220"/>
        </w:trPr>
        <w:tc>
          <w:tcPr>
            <w:tcW w:w="5400" w:type="dxa"/>
            <w:vAlign w:val="bottom"/>
            <w:tcBorders>
              <w:bottom w:val="single" w:sz="8" w:color="CCEEFF"/>
            </w:tcBorders>
          </w:tcPr>
          <w:p>
            <w:pPr>
              <w:ind w:left="240"/>
              <w:spacing w:after="0"/>
              <w:rPr>
                <w:sz w:val="20"/>
                <w:szCs w:val="20"/>
                <w:color w:val="auto"/>
              </w:rPr>
            </w:pPr>
            <w:r>
              <w:rPr>
                <w:rFonts w:ascii="Arial" w:cs="Arial" w:eastAsia="Arial" w:hAnsi="Arial"/>
                <w:sz w:val="18"/>
                <w:szCs w:val="18"/>
                <w:color w:val="auto"/>
              </w:rPr>
              <w:t>Total operating expenses</w:t>
            </w:r>
          </w:p>
        </w:tc>
        <w:tc>
          <w:tcPr>
            <w:tcW w:w="1320" w:type="dxa"/>
            <w:vAlign w:val="bottom"/>
            <w:tcBorders>
              <w:bottom w:val="single" w:sz="8" w:color="CCEEFF"/>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spacing w:after="0"/>
              <w:rPr>
                <w:sz w:val="19"/>
                <w:szCs w:val="19"/>
                <w:color w:val="auto"/>
              </w:rPr>
            </w:pP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189.6</w:t>
            </w:r>
          </w:p>
        </w:tc>
        <w:tc>
          <w:tcPr>
            <w:tcW w:w="140" w:type="dxa"/>
            <w:vAlign w:val="bottom"/>
            <w:tcBorders>
              <w:bottom w:val="single" w:sz="8" w:color="CCEEFF"/>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2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154.0</w:t>
            </w:r>
          </w:p>
        </w:tc>
      </w:tr>
      <w:tr>
        <w:trPr>
          <w:trHeight w:val="221"/>
        </w:trPr>
        <w:tc>
          <w:tcPr>
            <w:tcW w:w="5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from operations</w:t>
            </w:r>
          </w:p>
        </w:tc>
        <w:tc>
          <w:tcPr>
            <w:tcW w:w="13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41.3</w:t>
            </w:r>
          </w:p>
        </w:tc>
        <w:tc>
          <w:tcPr>
            <w:tcW w:w="14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2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37.6</w:t>
            </w:r>
          </w:p>
        </w:tc>
      </w:tr>
      <w:tr>
        <w:trPr>
          <w:trHeight w:val="206"/>
        </w:trPr>
        <w:tc>
          <w:tcPr>
            <w:tcW w:w="5400" w:type="dxa"/>
            <w:vAlign w:val="bottom"/>
          </w:tcPr>
          <w:p>
            <w:pPr>
              <w:ind w:left="20"/>
              <w:spacing w:after="0" w:line="206" w:lineRule="exact"/>
              <w:rPr>
                <w:sz w:val="20"/>
                <w:szCs w:val="20"/>
                <w:color w:val="auto"/>
              </w:rPr>
            </w:pPr>
            <w:r>
              <w:rPr>
                <w:rFonts w:ascii="Arial" w:cs="Arial" w:eastAsia="Arial" w:hAnsi="Arial"/>
                <w:sz w:val="18"/>
                <w:szCs w:val="18"/>
                <w:color w:val="auto"/>
              </w:rPr>
              <w:t>Non-operating income (expenses), net:</w:t>
            </w:r>
          </w:p>
        </w:tc>
        <w:tc>
          <w:tcPr>
            <w:tcW w:w="13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40" w:type="dxa"/>
            <w:vAlign w:val="bottom"/>
          </w:tcPr>
          <w:p>
            <w:pPr>
              <w:spacing w:after="0"/>
              <w:rPr>
                <w:sz w:val="17"/>
                <w:szCs w:val="17"/>
                <w:color w:val="auto"/>
              </w:rPr>
            </w:pPr>
          </w:p>
        </w:tc>
      </w:tr>
      <w:tr>
        <w:trPr>
          <w:trHeight w:val="228"/>
        </w:trPr>
        <w:tc>
          <w:tcPr>
            <w:tcW w:w="5400" w:type="dxa"/>
            <w:vAlign w:val="bottom"/>
            <w:shd w:val="clear" w:color="auto" w:fill="CCEEFF"/>
          </w:tcPr>
          <w:p>
            <w:pPr>
              <w:ind w:left="140"/>
              <w:spacing w:after="0"/>
              <w:rPr>
                <w:sz w:val="20"/>
                <w:szCs w:val="20"/>
                <w:color w:val="auto"/>
              </w:rPr>
            </w:pPr>
            <w:r>
              <w:rPr>
                <w:rFonts w:ascii="Arial" w:cs="Arial" w:eastAsia="Arial" w:hAnsi="Arial"/>
                <w:sz w:val="18"/>
                <w:szCs w:val="18"/>
                <w:color w:val="auto"/>
              </w:rPr>
              <w:t>Interest expense and other financing costs, net</w:t>
            </w:r>
          </w:p>
        </w:tc>
        <w:tc>
          <w:tcPr>
            <w:tcW w:w="132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2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w:t>
            </w:r>
          </w:p>
        </w:tc>
      </w:tr>
      <w:tr>
        <w:trPr>
          <w:trHeight w:val="226"/>
        </w:trPr>
        <w:tc>
          <w:tcPr>
            <w:tcW w:w="5400" w:type="dxa"/>
            <w:vAlign w:val="bottom"/>
            <w:tcBorders>
              <w:bottom w:val="single" w:sz="8" w:color="CCEEFF"/>
            </w:tcBorders>
          </w:tcPr>
          <w:p>
            <w:pPr>
              <w:ind w:left="140"/>
              <w:spacing w:after="0"/>
              <w:rPr>
                <w:sz w:val="20"/>
                <w:szCs w:val="20"/>
                <w:color w:val="auto"/>
              </w:rPr>
            </w:pPr>
            <w:r>
              <w:rPr>
                <w:rFonts w:ascii="Arial" w:cs="Arial" w:eastAsia="Arial" w:hAnsi="Arial"/>
                <w:sz w:val="18"/>
                <w:szCs w:val="18"/>
                <w:color w:val="auto"/>
              </w:rPr>
              <w:t>Other income (expense), net</w:t>
            </w:r>
          </w:p>
        </w:tc>
        <w:tc>
          <w:tcPr>
            <w:tcW w:w="132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w:t>
            </w:r>
          </w:p>
        </w:tc>
        <w:tc>
          <w:tcPr>
            <w:tcW w:w="14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w:t>
            </w:r>
          </w:p>
        </w:tc>
      </w:tr>
      <w:tr>
        <w:trPr>
          <w:trHeight w:val="220"/>
        </w:trPr>
        <w:tc>
          <w:tcPr>
            <w:tcW w:w="5400" w:type="dxa"/>
            <w:vAlign w:val="bottom"/>
            <w:shd w:val="clear" w:color="auto" w:fill="CCEEFF"/>
          </w:tcPr>
          <w:p>
            <w:pPr>
              <w:ind w:left="240"/>
              <w:spacing w:after="0"/>
              <w:rPr>
                <w:sz w:val="20"/>
                <w:szCs w:val="20"/>
                <w:color w:val="auto"/>
              </w:rPr>
            </w:pPr>
            <w:r>
              <w:rPr>
                <w:rFonts w:ascii="Arial" w:cs="Arial" w:eastAsia="Arial" w:hAnsi="Arial"/>
                <w:sz w:val="18"/>
                <w:szCs w:val="18"/>
                <w:color w:val="auto"/>
              </w:rPr>
              <w:t>Total non-operating income (expense), net</w:t>
            </w:r>
          </w:p>
        </w:tc>
        <w:tc>
          <w:tcPr>
            <w:tcW w:w="13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w:t>
            </w:r>
          </w:p>
        </w:tc>
        <w:tc>
          <w:tcPr>
            <w:tcW w:w="14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2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w:t>
            </w:r>
          </w:p>
        </w:tc>
      </w:tr>
      <w:tr>
        <w:trPr>
          <w:trHeight w:val="220"/>
        </w:trPr>
        <w:tc>
          <w:tcPr>
            <w:tcW w:w="5400" w:type="dxa"/>
            <w:vAlign w:val="bottom"/>
          </w:tcPr>
          <w:p>
            <w:pPr>
              <w:ind w:left="20"/>
              <w:spacing w:after="0"/>
              <w:rPr>
                <w:sz w:val="20"/>
                <w:szCs w:val="20"/>
                <w:color w:val="auto"/>
              </w:rPr>
            </w:pPr>
            <w:r>
              <w:rPr>
                <w:rFonts w:ascii="Arial" w:cs="Arial" w:eastAsia="Arial" w:hAnsi="Arial"/>
                <w:sz w:val="18"/>
                <w:szCs w:val="18"/>
                <w:color w:val="auto"/>
              </w:rPr>
              <w:t>Income (loss) before income taxes</w:t>
            </w: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32.6</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27.6</w:t>
            </w:r>
          </w:p>
        </w:tc>
      </w:tr>
      <w:tr>
        <w:trPr>
          <w:trHeight w:val="227"/>
        </w:trPr>
        <w:tc>
          <w:tcPr>
            <w:tcW w:w="5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Provision for income taxes</w:t>
            </w:r>
          </w:p>
        </w:tc>
        <w:tc>
          <w:tcPr>
            <w:tcW w:w="13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14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2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w:t>
            </w:r>
          </w:p>
        </w:tc>
      </w:tr>
      <w:tr>
        <w:trPr>
          <w:trHeight w:val="220"/>
        </w:trPr>
        <w:tc>
          <w:tcPr>
            <w:tcW w:w="5400" w:type="dxa"/>
            <w:vAlign w:val="bottom"/>
          </w:tcPr>
          <w:p>
            <w:pPr>
              <w:ind w:left="20"/>
              <w:spacing w:after="0"/>
              <w:rPr>
                <w:sz w:val="20"/>
                <w:szCs w:val="20"/>
                <w:color w:val="auto"/>
              </w:rPr>
            </w:pPr>
            <w:r>
              <w:rPr>
                <w:rFonts w:ascii="Arial" w:cs="Arial" w:eastAsia="Arial" w:hAnsi="Arial"/>
                <w:sz w:val="18"/>
                <w:szCs w:val="18"/>
                <w:color w:val="auto"/>
              </w:rPr>
              <w:t>Net income (loss) including noncontrolling interest</w:t>
            </w:r>
          </w:p>
        </w:tc>
        <w:tc>
          <w:tcPr>
            <w:tcW w:w="13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40" w:type="dxa"/>
            <w:vAlign w:val="bottom"/>
          </w:tcPr>
          <w:p>
            <w:pPr>
              <w:jc w:val="right"/>
              <w:spacing w:after="0"/>
              <w:rPr>
                <w:sz w:val="20"/>
                <w:szCs w:val="20"/>
                <w:color w:val="auto"/>
              </w:rPr>
            </w:pPr>
            <w:r>
              <w:rPr>
                <w:rFonts w:ascii="Arial" w:cs="Arial" w:eastAsia="Arial" w:hAnsi="Arial"/>
                <w:sz w:val="18"/>
                <w:szCs w:val="18"/>
                <w:color w:val="auto"/>
              </w:rPr>
              <w:t>18.8</w:t>
            </w:r>
          </w:p>
        </w:tc>
      </w:tr>
      <w:tr>
        <w:trPr>
          <w:trHeight w:val="227"/>
        </w:trPr>
        <w:tc>
          <w:tcPr>
            <w:tcW w:w="54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 (loss) attributable to noncontrolling interest</w:t>
            </w:r>
          </w:p>
        </w:tc>
        <w:tc>
          <w:tcPr>
            <w:tcW w:w="132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4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2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1"/>
        </w:trPr>
        <w:tc>
          <w:tcPr>
            <w:tcW w:w="5400" w:type="dxa"/>
            <w:vAlign w:val="bottom"/>
          </w:tcPr>
          <w:p>
            <w:pPr>
              <w:ind w:left="20"/>
              <w:spacing w:after="0"/>
              <w:rPr>
                <w:sz w:val="20"/>
                <w:szCs w:val="20"/>
                <w:color w:val="auto"/>
              </w:rPr>
            </w:pPr>
            <w:r>
              <w:rPr>
                <w:rFonts w:ascii="Arial" w:cs="Arial" w:eastAsia="Arial" w:hAnsi="Arial"/>
                <w:sz w:val="18"/>
                <w:szCs w:val="18"/>
                <w:color w:val="auto"/>
              </w:rPr>
              <w:t>Net income (loss) attributable to World Fuel</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26.3</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2040" w:type="dxa"/>
            <w:vAlign w:val="bottom"/>
          </w:tcPr>
          <w:p>
            <w:pPr>
              <w:jc w:val="right"/>
              <w:spacing w:after="0"/>
              <w:rPr>
                <w:sz w:val="20"/>
                <w:szCs w:val="20"/>
                <w:color w:val="auto"/>
              </w:rPr>
            </w:pPr>
            <w:r>
              <w:rPr>
                <w:rFonts w:ascii="Arial" w:cs="Arial" w:eastAsia="Arial" w:hAnsi="Arial"/>
                <w:sz w:val="18"/>
                <w:szCs w:val="18"/>
                <w:color w:val="auto"/>
              </w:rPr>
              <w:t>18.9</w:t>
            </w: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40" w:type="dxa"/>
            <w:vAlign w:val="bottom"/>
            <w:tcBorders>
              <w:top w:val="single" w:sz="8" w:color="auto"/>
              <w:bottom w:val="single" w:sz="8" w:color="auto"/>
            </w:tcBorders>
          </w:tcPr>
          <w:p>
            <w:pPr>
              <w:spacing w:after="0" w:line="20" w:lineRule="exact"/>
              <w:rPr>
                <w:sz w:val="1"/>
                <w:szCs w:val="1"/>
                <w:color w:val="auto"/>
              </w:rPr>
            </w:pPr>
          </w:p>
        </w:tc>
      </w:tr>
      <w:tr>
        <w:trPr>
          <w:trHeight w:val="73"/>
        </w:trPr>
        <w:tc>
          <w:tcPr>
            <w:tcW w:w="5400" w:type="dxa"/>
            <w:vAlign w:val="bottom"/>
            <w:shd w:val="clear" w:color="auto" w:fill="CCEEFF"/>
          </w:tcPr>
          <w:p>
            <w:pPr>
              <w:spacing w:after="0"/>
              <w:rPr>
                <w:sz w:val="6"/>
                <w:szCs w:val="6"/>
                <w:color w:val="auto"/>
              </w:rPr>
            </w:pPr>
          </w:p>
        </w:tc>
        <w:tc>
          <w:tcPr>
            <w:tcW w:w="13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480" w:type="dxa"/>
            <w:vAlign w:val="bottom"/>
            <w:shd w:val="clear" w:color="auto" w:fill="CCEEFF"/>
          </w:tcPr>
          <w:p>
            <w:pPr>
              <w:spacing w:after="0"/>
              <w:rPr>
                <w:sz w:val="6"/>
                <w:szCs w:val="6"/>
                <w:color w:val="auto"/>
              </w:rPr>
            </w:pPr>
          </w:p>
        </w:tc>
        <w:tc>
          <w:tcPr>
            <w:tcW w:w="14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2040" w:type="dxa"/>
            <w:vAlign w:val="bottom"/>
            <w:shd w:val="clear" w:color="auto" w:fill="CCEEFF"/>
          </w:tcPr>
          <w:p>
            <w:pPr>
              <w:spacing w:after="0"/>
              <w:rPr>
                <w:sz w:val="6"/>
                <w:szCs w:val="6"/>
                <w:color w:val="auto"/>
              </w:rPr>
            </w:pPr>
          </w:p>
        </w:tc>
      </w:tr>
      <w:tr>
        <w:trPr>
          <w:trHeight w:val="227"/>
        </w:trPr>
        <w:tc>
          <w:tcPr>
            <w:tcW w:w="5400" w:type="dxa"/>
            <w:vAlign w:val="bottom"/>
          </w:tcPr>
          <w:p>
            <w:pPr>
              <w:ind w:left="20"/>
              <w:spacing w:after="0"/>
              <w:rPr>
                <w:sz w:val="20"/>
                <w:szCs w:val="20"/>
                <w:color w:val="auto"/>
              </w:rPr>
            </w:pPr>
            <w:r>
              <w:rPr>
                <w:rFonts w:ascii="Arial" w:cs="Arial" w:eastAsia="Arial" w:hAnsi="Arial"/>
                <w:sz w:val="18"/>
                <w:szCs w:val="18"/>
                <w:color w:val="auto"/>
              </w:rPr>
              <w:t>Basic earnings (loss) per common share</w:t>
            </w:r>
          </w:p>
        </w:tc>
        <w:tc>
          <w:tcPr>
            <w:tcW w:w="13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0.42</w:t>
            </w:r>
          </w:p>
        </w:tc>
        <w:tc>
          <w:tcPr>
            <w:tcW w:w="1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0.30</w:t>
            </w: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r>
      <w:tr>
        <w:trPr>
          <w:trHeight w:val="73"/>
        </w:trPr>
        <w:tc>
          <w:tcPr>
            <w:tcW w:w="5400" w:type="dxa"/>
            <w:vAlign w:val="bottom"/>
            <w:shd w:val="clear" w:color="auto" w:fill="CCEEFF"/>
          </w:tcPr>
          <w:p>
            <w:pPr>
              <w:spacing w:after="0"/>
              <w:rPr>
                <w:sz w:val="6"/>
                <w:szCs w:val="6"/>
                <w:color w:val="auto"/>
              </w:rPr>
            </w:pPr>
          </w:p>
        </w:tc>
        <w:tc>
          <w:tcPr>
            <w:tcW w:w="1320" w:type="dxa"/>
            <w:vAlign w:val="bottom"/>
            <w:shd w:val="clear" w:color="auto" w:fill="CCEEFF"/>
          </w:tcPr>
          <w:p>
            <w:pPr>
              <w:spacing w:after="0"/>
              <w:rPr>
                <w:sz w:val="6"/>
                <w:szCs w:val="6"/>
                <w:color w:val="auto"/>
              </w:rPr>
            </w:pPr>
          </w:p>
        </w:tc>
        <w:tc>
          <w:tcPr>
            <w:tcW w:w="300" w:type="dxa"/>
            <w:vAlign w:val="bottom"/>
            <w:shd w:val="clear" w:color="auto" w:fill="CCEEFF"/>
          </w:tcPr>
          <w:p>
            <w:pPr>
              <w:spacing w:after="0"/>
              <w:rPr>
                <w:sz w:val="6"/>
                <w:szCs w:val="6"/>
                <w:color w:val="auto"/>
              </w:rPr>
            </w:pPr>
          </w:p>
        </w:tc>
        <w:tc>
          <w:tcPr>
            <w:tcW w:w="480" w:type="dxa"/>
            <w:vAlign w:val="bottom"/>
            <w:shd w:val="clear" w:color="auto" w:fill="CCEEFF"/>
          </w:tcPr>
          <w:p>
            <w:pPr>
              <w:spacing w:after="0"/>
              <w:rPr>
                <w:sz w:val="6"/>
                <w:szCs w:val="6"/>
                <w:color w:val="auto"/>
              </w:rPr>
            </w:pPr>
          </w:p>
        </w:tc>
        <w:tc>
          <w:tcPr>
            <w:tcW w:w="14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2040" w:type="dxa"/>
            <w:vAlign w:val="bottom"/>
            <w:shd w:val="clear" w:color="auto" w:fill="CCEEFF"/>
          </w:tcPr>
          <w:p>
            <w:pPr>
              <w:spacing w:after="0"/>
              <w:rPr>
                <w:sz w:val="6"/>
                <w:szCs w:val="6"/>
                <w:color w:val="auto"/>
              </w:rPr>
            </w:pPr>
          </w:p>
        </w:tc>
      </w:tr>
      <w:tr>
        <w:trPr>
          <w:trHeight w:val="227"/>
        </w:trPr>
        <w:tc>
          <w:tcPr>
            <w:tcW w:w="5400" w:type="dxa"/>
            <w:vAlign w:val="bottom"/>
          </w:tcPr>
          <w:p>
            <w:pPr>
              <w:ind w:left="20"/>
              <w:spacing w:after="0"/>
              <w:rPr>
                <w:sz w:val="20"/>
                <w:szCs w:val="20"/>
                <w:color w:val="auto"/>
              </w:rPr>
            </w:pPr>
            <w:r>
              <w:rPr>
                <w:rFonts w:ascii="Arial" w:cs="Arial" w:eastAsia="Arial" w:hAnsi="Arial"/>
                <w:sz w:val="18"/>
                <w:szCs w:val="18"/>
                <w:color w:val="auto"/>
              </w:rPr>
              <w:t>Diluted earnings (loss) per common share</w:t>
            </w:r>
          </w:p>
        </w:tc>
        <w:tc>
          <w:tcPr>
            <w:tcW w:w="13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0.41</w:t>
            </w:r>
          </w:p>
        </w:tc>
        <w:tc>
          <w:tcPr>
            <w:tcW w:w="1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2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0.30</w:t>
            </w:r>
          </w:p>
        </w:tc>
      </w:tr>
      <w:tr>
        <w:trPr>
          <w:trHeight w:val="20"/>
        </w:trPr>
        <w:tc>
          <w:tcPr>
            <w:tcW w:w="54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r>
    </w:tbl>
    <w:p>
      <w:pPr>
        <w:spacing w:after="0" w:line="181" w:lineRule="exact"/>
        <w:rPr>
          <w:sz w:val="20"/>
          <w:szCs w:val="20"/>
          <w:color w:val="auto"/>
        </w:rPr>
      </w:pPr>
    </w:p>
    <w:p>
      <w:pPr>
        <w:jc w:val="both"/>
        <w:spacing w:after="0" w:line="261" w:lineRule="auto"/>
        <w:rPr>
          <w:sz w:val="20"/>
          <w:szCs w:val="20"/>
          <w:color w:val="auto"/>
        </w:rPr>
      </w:pPr>
      <w:r>
        <w:rPr>
          <w:rFonts w:ascii="Arial" w:cs="Arial" w:eastAsia="Arial" w:hAnsi="Arial"/>
          <w:sz w:val="18"/>
          <w:szCs w:val="18"/>
          <w:i w:val="1"/>
          <w:iCs w:val="1"/>
          <w:color w:val="auto"/>
        </w:rPr>
        <w:t xml:space="preserve">Revenue. </w:t>
      </w:r>
      <w:r>
        <w:rPr>
          <w:rFonts w:ascii="Arial" w:cs="Arial" w:eastAsia="Arial" w:hAnsi="Arial"/>
          <w:sz w:val="18"/>
          <w:szCs w:val="18"/>
          <w:color w:val="auto"/>
        </w:rPr>
        <w:t>Our consolidated revenue for the three months ended March 31, 2022 was $12.4 billion, an increase of $6.4 billion, or 108%,</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the three months ended March 31, 2021, due to higher prices and increased volumes our aviation, land, and marine segments, respectively, as discussed further below.</w:t>
      </w:r>
    </w:p>
    <w:p>
      <w:pPr>
        <w:spacing w:after="0" w:line="72" w:lineRule="exact"/>
        <w:rPr>
          <w:sz w:val="20"/>
          <w:szCs w:val="20"/>
          <w:color w:val="auto"/>
        </w:rPr>
      </w:pPr>
    </w:p>
    <w:p>
      <w:pPr>
        <w:jc w:val="both"/>
        <w:spacing w:after="0" w:line="261" w:lineRule="auto"/>
        <w:rPr>
          <w:sz w:val="20"/>
          <w:szCs w:val="20"/>
          <w:color w:val="auto"/>
        </w:rPr>
      </w:pPr>
      <w:r>
        <w:rPr>
          <w:rFonts w:ascii="Arial" w:cs="Arial" w:eastAsia="Arial" w:hAnsi="Arial"/>
          <w:sz w:val="18"/>
          <w:szCs w:val="18"/>
          <w:i w:val="1"/>
          <w:iCs w:val="1"/>
          <w:color w:val="auto"/>
        </w:rPr>
        <w:t xml:space="preserve">Gross Profit. </w:t>
      </w:r>
      <w:r>
        <w:rPr>
          <w:rFonts w:ascii="Arial" w:cs="Arial" w:eastAsia="Arial" w:hAnsi="Arial"/>
          <w:sz w:val="18"/>
          <w:szCs w:val="18"/>
          <w:color w:val="auto"/>
        </w:rPr>
        <w:t>Our gross profit for the three months ended March 31, 2022 was $230.9 million, an increase of $39.4 million, or 21%, compared</w:t>
      </w:r>
      <w:r>
        <w:rPr>
          <w:rFonts w:ascii="Arial" w:cs="Arial" w:eastAsia="Arial" w:hAnsi="Arial"/>
          <w:sz w:val="18"/>
          <w:szCs w:val="18"/>
          <w:i w:val="1"/>
          <w:iCs w:val="1"/>
          <w:color w:val="auto"/>
        </w:rPr>
        <w:t xml:space="preserve"> </w:t>
      </w:r>
      <w:r>
        <w:rPr>
          <w:rFonts w:ascii="Arial" w:cs="Arial" w:eastAsia="Arial" w:hAnsi="Arial"/>
          <w:sz w:val="18"/>
          <w:szCs w:val="18"/>
          <w:color w:val="auto"/>
        </w:rPr>
        <w:t>to the three months ended March 31, 2021, attributable to increased gross profit of $30.3 million and $21.5 million in the land and marine segments, respectively, partially offset by a decrease of $12.5 million in the aviation segment, as discussed further below.</w:t>
      </w:r>
    </w:p>
    <w:p>
      <w:pPr>
        <w:spacing w:after="0" w:line="72" w:lineRule="exact"/>
        <w:rPr>
          <w:sz w:val="20"/>
          <w:szCs w:val="20"/>
          <w:color w:val="auto"/>
        </w:rPr>
      </w:pPr>
    </w:p>
    <w:p>
      <w:pPr>
        <w:jc w:val="both"/>
        <w:spacing w:after="0" w:line="256" w:lineRule="auto"/>
        <w:rPr>
          <w:sz w:val="20"/>
          <w:szCs w:val="20"/>
          <w:color w:val="auto"/>
        </w:rPr>
      </w:pPr>
      <w:r>
        <w:rPr>
          <w:rFonts w:ascii="Arial" w:cs="Arial" w:eastAsia="Arial" w:hAnsi="Arial"/>
          <w:sz w:val="18"/>
          <w:szCs w:val="18"/>
          <w:i w:val="1"/>
          <w:iCs w:val="1"/>
          <w:color w:val="auto"/>
        </w:rPr>
        <w:t xml:space="preserve">Operating Expenses. </w:t>
      </w:r>
      <w:r>
        <w:rPr>
          <w:rFonts w:ascii="Arial" w:cs="Arial" w:eastAsia="Arial" w:hAnsi="Arial"/>
          <w:sz w:val="18"/>
          <w:szCs w:val="18"/>
          <w:color w:val="auto"/>
        </w:rPr>
        <w:t>Total operating expenses for the three months ended March 31, 2022 were $189.6 million, an increase of $35.7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or 23%, compared to the three months ended March 31, 2021. The increase in operating expenses was partially attributable to the addition of Flyers' operating expenses of $18.4 million, as well as increased compensation and employee benefit costs, together with higher general and administrative costs associated with more normalized levels of business activity.</w:t>
      </w:r>
    </w:p>
    <w:p>
      <w:pPr>
        <w:spacing w:after="0" w:line="78" w:lineRule="exact"/>
        <w:rPr>
          <w:sz w:val="20"/>
          <w:szCs w:val="20"/>
          <w:color w:val="auto"/>
        </w:rPr>
      </w:pPr>
    </w:p>
    <w:p>
      <w:pPr>
        <w:jc w:val="both"/>
        <w:spacing w:after="0" w:line="256" w:lineRule="auto"/>
        <w:rPr>
          <w:sz w:val="20"/>
          <w:szCs w:val="20"/>
          <w:color w:val="auto"/>
        </w:rPr>
      </w:pPr>
      <w:r>
        <w:rPr>
          <w:rFonts w:ascii="Arial" w:cs="Arial" w:eastAsia="Arial" w:hAnsi="Arial"/>
          <w:sz w:val="18"/>
          <w:szCs w:val="18"/>
          <w:i w:val="1"/>
          <w:iCs w:val="1"/>
          <w:color w:val="auto"/>
        </w:rPr>
        <w:t xml:space="preserve">Non-Operating Income (Expense), net. </w:t>
      </w:r>
      <w:r>
        <w:rPr>
          <w:rFonts w:ascii="Arial" w:cs="Arial" w:eastAsia="Arial" w:hAnsi="Arial"/>
          <w:sz w:val="18"/>
          <w:szCs w:val="18"/>
          <w:color w:val="auto"/>
        </w:rPr>
        <w:t>For the three months ended March 31, 2022, we had net non-operating expense of $8.7 million</w:t>
      </w:r>
      <w:r>
        <w:rPr>
          <w:rFonts w:ascii="Arial" w:cs="Arial" w:eastAsia="Arial" w:hAnsi="Arial"/>
          <w:sz w:val="18"/>
          <w:szCs w:val="18"/>
          <w:i w:val="1"/>
          <w:iCs w:val="1"/>
          <w:color w:val="auto"/>
        </w:rPr>
        <w:t xml:space="preserve"> </w:t>
      </w:r>
      <w:r>
        <w:rPr>
          <w:rFonts w:ascii="Arial" w:cs="Arial" w:eastAsia="Arial" w:hAnsi="Arial"/>
          <w:sz w:val="18"/>
          <w:szCs w:val="18"/>
          <w:color w:val="auto"/>
        </w:rPr>
        <w:t>compared to net non-operating expense of $10.0 million the three months ended March 31, 2021. The decrease of $1.3 million was primarily attributable to equity in earnings and foreign currency gains, partially offset by an increase in interest expense of $5.6 million primarily driven by incremental borrowings during the three months ended March 31, 2022 related to the Flyers acquisition.</w:t>
      </w:r>
    </w:p>
    <w:p>
      <w:pPr>
        <w:spacing w:after="0" w:line="78" w:lineRule="exact"/>
        <w:rPr>
          <w:sz w:val="20"/>
          <w:szCs w:val="20"/>
          <w:color w:val="auto"/>
        </w:rPr>
      </w:pPr>
    </w:p>
    <w:p>
      <w:pPr>
        <w:jc w:val="both"/>
        <w:spacing w:after="0" w:line="261" w:lineRule="auto"/>
        <w:rPr>
          <w:sz w:val="20"/>
          <w:szCs w:val="20"/>
          <w:color w:val="auto"/>
        </w:rPr>
      </w:pPr>
      <w:r>
        <w:rPr>
          <w:rFonts w:ascii="Arial" w:cs="Arial" w:eastAsia="Arial" w:hAnsi="Arial"/>
          <w:sz w:val="18"/>
          <w:szCs w:val="18"/>
          <w:i w:val="1"/>
          <w:iCs w:val="1"/>
          <w:color w:val="auto"/>
        </w:rPr>
        <w:t>Income Taxes</w:t>
      </w:r>
      <w:r>
        <w:rPr>
          <w:rFonts w:ascii="Arial" w:cs="Arial" w:eastAsia="Arial" w:hAnsi="Arial"/>
          <w:sz w:val="18"/>
          <w:szCs w:val="18"/>
          <w:color w:val="auto"/>
        </w:rPr>
        <w:t>. Our income tax provision was $6.4 million for the three months ended March 31, 2022, compared to an income tax provision of</w:t>
      </w:r>
      <w:r>
        <w:rPr>
          <w:rFonts w:ascii="Arial" w:cs="Arial" w:eastAsia="Arial" w:hAnsi="Arial"/>
          <w:sz w:val="18"/>
          <w:szCs w:val="18"/>
          <w:i w:val="1"/>
          <w:iCs w:val="1"/>
          <w:color w:val="auto"/>
        </w:rPr>
        <w:t xml:space="preserve"> </w:t>
      </w:r>
      <w:r>
        <w:rPr>
          <w:rFonts w:ascii="Arial" w:cs="Arial" w:eastAsia="Arial" w:hAnsi="Arial"/>
          <w:sz w:val="18"/>
          <w:szCs w:val="18"/>
          <w:color w:val="auto"/>
        </w:rPr>
        <w:t>$8.8 million for the three months ended March 31, 2021. The decrease of $2.4 million was primarily attributable to differences in the results of our subsidiaries in tax jurisdictions with different tax rates. See Note 10. Income Taxes for additional information.</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1" w:right="339" w:bottom="1440" w:gutter="0" w:footer="0" w:header="0"/>
        </w:sectPr>
      </w:pPr>
    </w:p>
    <w:bookmarkStart w:id="27" w:name="page28"/>
    <w:bookmarkEnd w:id="27"/>
    <w:p>
      <w:pPr>
        <w:spacing w:after="0"/>
        <w:rPr>
          <w:sz w:val="20"/>
          <w:szCs w:val="20"/>
          <w:color w:val="auto"/>
        </w:rPr>
      </w:pPr>
      <w:r>
        <w:rPr>
          <w:rFonts w:ascii="Arial" w:cs="Arial" w:eastAsia="Arial" w:hAnsi="Arial"/>
          <w:sz w:val="18"/>
          <w:szCs w:val="18"/>
          <w:i w:val="1"/>
          <w:iCs w:val="1"/>
          <w:color w:val="auto"/>
        </w:rPr>
        <w:t>Aviation Segment Results of Operations</w:t>
      </w:r>
    </w:p>
    <w:p>
      <w:pPr>
        <w:spacing w:after="0" w:line="24" w:lineRule="exact"/>
        <w:rPr>
          <w:sz w:val="20"/>
          <w:szCs w:val="20"/>
          <w:color w:val="auto"/>
        </w:rPr>
      </w:pPr>
    </w:p>
    <w:p>
      <w:pPr>
        <w:spacing w:after="0"/>
        <w:rPr>
          <w:sz w:val="20"/>
          <w:szCs w:val="20"/>
          <w:color w:val="auto"/>
        </w:rPr>
      </w:pPr>
      <w:r>
        <w:rPr>
          <w:rFonts w:ascii="Arial" w:cs="Arial" w:eastAsia="Arial" w:hAnsi="Arial"/>
          <w:sz w:val="18"/>
          <w:szCs w:val="18"/>
          <w:color w:val="auto"/>
        </w:rPr>
        <w:t>The following provides a summary of the aviation segment results of operations for the periods indicated (in millions, except price per gallon):</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35"/>
        </w:trPr>
        <w:tc>
          <w:tcPr>
            <w:tcW w:w="4620" w:type="dxa"/>
            <w:vAlign w:val="bottom"/>
          </w:tcPr>
          <w:p>
            <w:pPr>
              <w:spacing w:after="0"/>
              <w:rPr>
                <w:sz w:val="20"/>
                <w:szCs w:val="20"/>
                <w:color w:val="auto"/>
              </w:rPr>
            </w:pPr>
          </w:p>
        </w:tc>
        <w:tc>
          <w:tcPr>
            <w:tcW w:w="4640" w:type="dxa"/>
            <w:vAlign w:val="bottom"/>
            <w:gridSpan w:val="6"/>
          </w:tcPr>
          <w:p>
            <w:pPr>
              <w:ind w:left="620"/>
              <w:spacing w:after="0"/>
              <w:rPr>
                <w:sz w:val="20"/>
                <w:szCs w:val="20"/>
                <w:color w:val="auto"/>
              </w:rPr>
            </w:pPr>
            <w:r>
              <w:rPr>
                <w:rFonts w:ascii="Arial" w:cs="Arial" w:eastAsia="Arial" w:hAnsi="Arial"/>
                <w:sz w:val="18"/>
                <w:szCs w:val="18"/>
                <w:b w:val="1"/>
                <w:bCs w:val="1"/>
                <w:color w:val="auto"/>
              </w:rPr>
              <w:t>For the Three Months Ended March 31,</w:t>
            </w:r>
          </w:p>
        </w:tc>
        <w:tc>
          <w:tcPr>
            <w:tcW w:w="400" w:type="dxa"/>
            <w:vAlign w:val="bottom"/>
          </w:tcPr>
          <w:p>
            <w:pPr>
              <w:spacing w:after="0"/>
              <w:rPr>
                <w:sz w:val="20"/>
                <w:szCs w:val="20"/>
                <w:color w:val="auto"/>
              </w:rPr>
            </w:pPr>
          </w:p>
        </w:tc>
        <w:tc>
          <w:tcPr>
            <w:tcW w:w="1580" w:type="dxa"/>
            <w:vAlign w:val="bottom"/>
          </w:tcPr>
          <w:p>
            <w:pPr>
              <w:spacing w:after="0"/>
              <w:rPr>
                <w:sz w:val="20"/>
                <w:szCs w:val="20"/>
                <w:color w:val="auto"/>
              </w:rPr>
            </w:pPr>
          </w:p>
        </w:tc>
      </w:tr>
      <w:tr>
        <w:trPr>
          <w:trHeight w:val="222"/>
        </w:trPr>
        <w:tc>
          <w:tcPr>
            <w:tcW w:w="4620" w:type="dxa"/>
            <w:vAlign w:val="bottom"/>
            <w:tcBorders>
              <w:bottom w:val="single" w:sz="8" w:color="CCEEFF"/>
            </w:tcBorders>
          </w:tcPr>
          <w:p>
            <w:pPr>
              <w:spacing w:after="0"/>
              <w:rPr>
                <w:sz w:val="19"/>
                <w:szCs w:val="19"/>
                <w:color w:val="auto"/>
              </w:rPr>
            </w:pPr>
          </w:p>
        </w:tc>
        <w:tc>
          <w:tcPr>
            <w:tcW w:w="14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2022</w:t>
            </w:r>
          </w:p>
        </w:tc>
        <w:tc>
          <w:tcPr>
            <w:tcW w:w="800" w:type="dxa"/>
            <w:vAlign w:val="bottom"/>
            <w:tcBorders>
              <w:top w:val="single" w:sz="8" w:color="auto"/>
              <w:bottom w:val="single" w:sz="8" w:color="auto"/>
            </w:tcBorders>
          </w:tcPr>
          <w:p>
            <w:pPr>
              <w:spacing w:after="0"/>
              <w:rPr>
                <w:sz w:val="19"/>
                <w:szCs w:val="19"/>
                <w:color w:val="auto"/>
              </w:rPr>
            </w:pPr>
          </w:p>
        </w:tc>
        <w:tc>
          <w:tcPr>
            <w:tcW w:w="120" w:type="dxa"/>
            <w:vAlign w:val="bottom"/>
            <w:tcBorders>
              <w:top w:val="single" w:sz="8" w:color="auto"/>
              <w:bottom w:val="single" w:sz="8" w:color="CCEEFF"/>
            </w:tcBorders>
          </w:tcPr>
          <w:p>
            <w:pPr>
              <w:spacing w:after="0"/>
              <w:rPr>
                <w:sz w:val="19"/>
                <w:szCs w:val="19"/>
                <w:color w:val="auto"/>
              </w:rPr>
            </w:pPr>
          </w:p>
        </w:tc>
        <w:tc>
          <w:tcPr>
            <w:tcW w:w="520" w:type="dxa"/>
            <w:vAlign w:val="bottom"/>
            <w:tcBorders>
              <w:top w:val="single" w:sz="8" w:color="auto"/>
              <w:bottom w:val="single" w:sz="8" w:color="auto"/>
            </w:tcBorders>
          </w:tcPr>
          <w:p>
            <w:pPr>
              <w:spacing w:after="0"/>
              <w:rPr>
                <w:sz w:val="19"/>
                <w:szCs w:val="19"/>
                <w:color w:val="auto"/>
              </w:rPr>
            </w:pPr>
          </w:p>
        </w:tc>
        <w:tc>
          <w:tcPr>
            <w:tcW w:w="1680" w:type="dxa"/>
            <w:vAlign w:val="bottom"/>
            <w:tcBorders>
              <w:top w:val="single" w:sz="8" w:color="auto"/>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ind w:right="571"/>
              <w:spacing w:after="0"/>
              <w:rPr>
                <w:sz w:val="20"/>
                <w:szCs w:val="20"/>
                <w:color w:val="auto"/>
              </w:rPr>
            </w:pPr>
            <w:r>
              <w:rPr>
                <w:rFonts w:ascii="Arial" w:cs="Arial" w:eastAsia="Arial" w:hAnsi="Arial"/>
                <w:sz w:val="18"/>
                <w:szCs w:val="18"/>
                <w:b w:val="1"/>
                <w:bCs w:val="1"/>
                <w:color w:val="auto"/>
              </w:rPr>
              <w:t>Change</w:t>
            </w:r>
          </w:p>
        </w:tc>
      </w:tr>
      <w:tr>
        <w:trPr>
          <w:trHeight w:val="220"/>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5,010.5</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2,095.0</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2,915.5</w:t>
            </w:r>
          </w:p>
        </w:tc>
      </w:tr>
      <w:tr>
        <w:trPr>
          <w:trHeight w:val="93"/>
        </w:trPr>
        <w:tc>
          <w:tcPr>
            <w:tcW w:w="4620" w:type="dxa"/>
            <w:vAlign w:val="bottom"/>
          </w:tcPr>
          <w:p>
            <w:pPr>
              <w:spacing w:after="0"/>
              <w:rPr>
                <w:sz w:val="8"/>
                <w:szCs w:val="8"/>
                <w:color w:val="auto"/>
              </w:rPr>
            </w:pPr>
          </w:p>
        </w:tc>
        <w:tc>
          <w:tcPr>
            <w:tcW w:w="14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8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0" w:type="dxa"/>
            <w:vAlign w:val="bottom"/>
          </w:tcPr>
          <w:p>
            <w:pPr>
              <w:spacing w:after="0"/>
              <w:rPr>
                <w:sz w:val="8"/>
                <w:szCs w:val="8"/>
                <w:color w:val="auto"/>
              </w:rPr>
            </w:pPr>
          </w:p>
        </w:tc>
        <w:tc>
          <w:tcPr>
            <w:tcW w:w="1580" w:type="dxa"/>
            <w:vAlign w:val="bottom"/>
          </w:tcPr>
          <w:p>
            <w:pPr>
              <w:spacing w:after="0"/>
              <w:rPr>
                <w:sz w:val="8"/>
                <w:szCs w:val="8"/>
                <w:color w:val="auto"/>
              </w:rPr>
            </w:pPr>
          </w:p>
        </w:tc>
      </w:tr>
      <w:tr>
        <w:trPr>
          <w:trHeight w:val="22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64.2</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76.7</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w:t>
            </w:r>
          </w:p>
        </w:tc>
      </w:tr>
      <w:tr>
        <w:trPr>
          <w:trHeight w:val="226"/>
        </w:trPr>
        <w:tc>
          <w:tcPr>
            <w:tcW w:w="46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Operating expenses</w:t>
            </w:r>
          </w:p>
        </w:tc>
        <w:tc>
          <w:tcPr>
            <w:tcW w:w="1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56.7</w:t>
            </w:r>
          </w:p>
        </w:tc>
        <w:tc>
          <w:tcPr>
            <w:tcW w:w="12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w:t>
            </w:r>
          </w:p>
        </w:tc>
      </w:tr>
      <w:tr>
        <w:trPr>
          <w:trHeight w:val="220"/>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from operations</w:t>
            </w:r>
          </w:p>
        </w:tc>
        <w:tc>
          <w:tcPr>
            <w:tcW w:w="1400" w:type="dxa"/>
            <w:vAlign w:val="bottom"/>
            <w:tcBorders>
              <w:bottom w:val="single" w:sz="8" w:color="auto"/>
            </w:tcBorders>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12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23.0</w:t>
            </w: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(15.5)</w:t>
            </w:r>
          </w:p>
        </w:tc>
      </w:tr>
      <w:tr>
        <w:trPr>
          <w:trHeight w:val="74"/>
        </w:trPr>
        <w:tc>
          <w:tcPr>
            <w:tcW w:w="4620" w:type="dxa"/>
            <w:vAlign w:val="bottom"/>
          </w:tcPr>
          <w:p>
            <w:pPr>
              <w:spacing w:after="0"/>
              <w:rPr>
                <w:sz w:val="6"/>
                <w:szCs w:val="6"/>
                <w:color w:val="auto"/>
              </w:rPr>
            </w:pPr>
          </w:p>
        </w:tc>
        <w:tc>
          <w:tcPr>
            <w:tcW w:w="14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1680" w:type="dxa"/>
            <w:vAlign w:val="bottom"/>
          </w:tcPr>
          <w:p>
            <w:pPr>
              <w:spacing w:after="0"/>
              <w:rPr>
                <w:sz w:val="6"/>
                <w:szCs w:val="6"/>
                <w:color w:val="auto"/>
              </w:rPr>
            </w:pPr>
          </w:p>
        </w:tc>
        <w:tc>
          <w:tcPr>
            <w:tcW w:w="1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580" w:type="dxa"/>
            <w:vAlign w:val="bottom"/>
          </w:tcPr>
          <w:p>
            <w:pPr>
              <w:spacing w:after="0"/>
              <w:rPr>
                <w:sz w:val="6"/>
                <w:szCs w:val="6"/>
                <w:color w:val="auto"/>
              </w:rPr>
            </w:pPr>
          </w:p>
        </w:tc>
      </w:tr>
      <w:tr>
        <w:trPr>
          <w:trHeight w:val="22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i w:val="1"/>
                <w:iCs w:val="1"/>
                <w:color w:val="auto"/>
              </w:rPr>
              <w:t>Operational metrics:</w:t>
            </w:r>
          </w:p>
        </w:tc>
        <w:tc>
          <w:tcPr>
            <w:tcW w:w="14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r>
      <w:tr>
        <w:trPr>
          <w:trHeight w:val="226"/>
        </w:trPr>
        <w:tc>
          <w:tcPr>
            <w:tcW w:w="4620" w:type="dxa"/>
            <w:vAlign w:val="bottom"/>
          </w:tcPr>
          <w:p>
            <w:pPr>
              <w:ind w:left="20"/>
              <w:spacing w:after="0"/>
              <w:rPr>
                <w:sz w:val="20"/>
                <w:szCs w:val="20"/>
                <w:color w:val="auto"/>
              </w:rPr>
            </w:pPr>
            <w:r>
              <w:rPr>
                <w:rFonts w:ascii="Arial" w:cs="Arial" w:eastAsia="Arial" w:hAnsi="Arial"/>
                <w:sz w:val="18"/>
                <w:szCs w:val="18"/>
                <w:color w:val="auto"/>
              </w:rPr>
              <w:t>Aviation segment volumes (gallons)</w:t>
            </w:r>
          </w:p>
        </w:tc>
        <w:tc>
          <w:tcPr>
            <w:tcW w:w="14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1,655.4</w:t>
            </w: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1,143.4</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512.1</w:t>
            </w:r>
          </w:p>
        </w:tc>
      </w:tr>
      <w:tr>
        <w:trPr>
          <w:trHeight w:val="228"/>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Aviation segment average price per gallon</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1.72</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w:t>
            </w:r>
          </w:p>
        </w:tc>
      </w:tr>
    </w:tbl>
    <w:p>
      <w:pPr>
        <w:spacing w:after="0" w:line="199"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Revenues in our aviation segment were $5.0 billion for the three months ended March 31, 2022, an increase of $2.9 billion, or 139%, compared to the three months ended March 31, 2021. The increase in revenue was driven by higher average prices and increased volumes. Average jet fuel price per gallon sold increased by 70% in the three months ended March 31, 2022 compared to the three months ended March 31, 2021 as a result of the rise in global oil prices. Total aviation volumes increased by 512.1 million gallons, or 45%, to 1.7 billion gallons as global travel restrictions eased and demand for air travel continued to recover.</w:t>
      </w:r>
    </w:p>
    <w:p>
      <w:pPr>
        <w:spacing w:after="0" w:line="100"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Our aviation segment gross profit for the three months ended March 31, 2022 was $64.2 million, a decrease of $12.5 million, or 16%, compared to the three months ended March 31, 2021. The decrease in gross profit was primarily attributable to inventory losses driven by significant price volatility and backwardation during the three months ended March 31, 2022 and the reduction in our government-related activity in Afghanistan as a result of the military withdrawal which concluded during the third quarter of 2021, partially offset by increased volumes from the continued recovery in demand for air travel.</w:t>
      </w:r>
    </w:p>
    <w:p>
      <w:pPr>
        <w:spacing w:after="0" w:line="100"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Income from operations in our aviation segment for the three months ended March 31, 2022 was $7.5 million, a decrease of $15.5 million, or 67%, compared to the three months ended March 31, 2021. In addition to the decrease in gross profit discussed above, income from operations was also impacted by a $3.0 million increase in operating expenses. The increase in operating expenses was driven by higher general and administrative costs, such as employee travel and professional fees, as business activity resumed to more normalized levels.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Land Segment Results of Operations</w:t>
      </w:r>
    </w:p>
    <w:p>
      <w:pPr>
        <w:spacing w:after="0" w:line="2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provides a summary of the land segment results of operations for the periods indicated (in millions, except price per gallon):</w:t>
      </w:r>
    </w:p>
    <w:p>
      <w:pPr>
        <w:spacing w:after="0" w:line="131" w:lineRule="exact"/>
        <w:rPr>
          <w:sz w:val="20"/>
          <w:szCs w:val="20"/>
          <w:color w:val="auto"/>
        </w:rPr>
      </w:pPr>
    </w:p>
    <w:tbl>
      <w:tblPr>
        <w:tblLayout w:type="fixed"/>
        <w:tblInd w:w="0" w:type="dxa"/>
        <w:tblCellMar>
          <w:top w:w="0" w:type="dxa"/>
          <w:left w:w="0" w:type="dxa"/>
          <w:bottom w:w="0" w:type="dxa"/>
          <w:right w:w="0" w:type="dxa"/>
        </w:tblCellMar>
      </w:tblPr>
      <w:tr>
        <w:trPr>
          <w:trHeight w:val="235"/>
        </w:trPr>
        <w:tc>
          <w:tcPr>
            <w:tcW w:w="4620" w:type="dxa"/>
            <w:vAlign w:val="bottom"/>
          </w:tcPr>
          <w:p>
            <w:pPr>
              <w:spacing w:after="0"/>
              <w:rPr>
                <w:sz w:val="20"/>
                <w:szCs w:val="20"/>
                <w:color w:val="auto"/>
              </w:rPr>
            </w:pPr>
          </w:p>
        </w:tc>
        <w:tc>
          <w:tcPr>
            <w:tcW w:w="4640" w:type="dxa"/>
            <w:vAlign w:val="bottom"/>
            <w:gridSpan w:val="6"/>
          </w:tcPr>
          <w:p>
            <w:pPr>
              <w:ind w:left="620"/>
              <w:spacing w:after="0"/>
              <w:rPr>
                <w:sz w:val="20"/>
                <w:szCs w:val="20"/>
                <w:color w:val="auto"/>
              </w:rPr>
            </w:pPr>
            <w:r>
              <w:rPr>
                <w:rFonts w:ascii="Arial" w:cs="Arial" w:eastAsia="Arial" w:hAnsi="Arial"/>
                <w:sz w:val="18"/>
                <w:szCs w:val="18"/>
                <w:b w:val="1"/>
                <w:bCs w:val="1"/>
                <w:color w:val="auto"/>
              </w:rPr>
              <w:t>For the Three Months Ended March 31,</w:t>
            </w:r>
          </w:p>
        </w:tc>
        <w:tc>
          <w:tcPr>
            <w:tcW w:w="400" w:type="dxa"/>
            <w:vAlign w:val="bottom"/>
          </w:tcPr>
          <w:p>
            <w:pPr>
              <w:spacing w:after="0"/>
              <w:rPr>
                <w:sz w:val="20"/>
                <w:szCs w:val="20"/>
                <w:color w:val="auto"/>
              </w:rPr>
            </w:pPr>
          </w:p>
        </w:tc>
        <w:tc>
          <w:tcPr>
            <w:tcW w:w="1580" w:type="dxa"/>
            <w:vAlign w:val="bottom"/>
          </w:tcPr>
          <w:p>
            <w:pPr>
              <w:spacing w:after="0"/>
              <w:rPr>
                <w:sz w:val="20"/>
                <w:szCs w:val="20"/>
                <w:color w:val="auto"/>
              </w:rPr>
            </w:pPr>
          </w:p>
        </w:tc>
      </w:tr>
      <w:tr>
        <w:trPr>
          <w:trHeight w:val="222"/>
        </w:trPr>
        <w:tc>
          <w:tcPr>
            <w:tcW w:w="4620" w:type="dxa"/>
            <w:vAlign w:val="bottom"/>
            <w:tcBorders>
              <w:bottom w:val="single" w:sz="8" w:color="CCEEFF"/>
            </w:tcBorders>
          </w:tcPr>
          <w:p>
            <w:pPr>
              <w:spacing w:after="0"/>
              <w:rPr>
                <w:sz w:val="19"/>
                <w:szCs w:val="19"/>
                <w:color w:val="auto"/>
              </w:rPr>
            </w:pPr>
          </w:p>
        </w:tc>
        <w:tc>
          <w:tcPr>
            <w:tcW w:w="14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2022</w:t>
            </w:r>
          </w:p>
        </w:tc>
        <w:tc>
          <w:tcPr>
            <w:tcW w:w="800" w:type="dxa"/>
            <w:vAlign w:val="bottom"/>
            <w:tcBorders>
              <w:top w:val="single" w:sz="8" w:color="auto"/>
              <w:bottom w:val="single" w:sz="8" w:color="auto"/>
            </w:tcBorders>
          </w:tcPr>
          <w:p>
            <w:pPr>
              <w:spacing w:after="0"/>
              <w:rPr>
                <w:sz w:val="19"/>
                <w:szCs w:val="19"/>
                <w:color w:val="auto"/>
              </w:rPr>
            </w:pPr>
          </w:p>
        </w:tc>
        <w:tc>
          <w:tcPr>
            <w:tcW w:w="120" w:type="dxa"/>
            <w:vAlign w:val="bottom"/>
            <w:tcBorders>
              <w:top w:val="single" w:sz="8" w:color="auto"/>
              <w:bottom w:val="single" w:sz="8" w:color="CCEEFF"/>
            </w:tcBorders>
          </w:tcPr>
          <w:p>
            <w:pPr>
              <w:spacing w:after="0"/>
              <w:rPr>
                <w:sz w:val="19"/>
                <w:szCs w:val="19"/>
                <w:color w:val="auto"/>
              </w:rPr>
            </w:pPr>
          </w:p>
        </w:tc>
        <w:tc>
          <w:tcPr>
            <w:tcW w:w="520" w:type="dxa"/>
            <w:vAlign w:val="bottom"/>
            <w:tcBorders>
              <w:top w:val="single" w:sz="8" w:color="auto"/>
              <w:bottom w:val="single" w:sz="8" w:color="auto"/>
            </w:tcBorders>
          </w:tcPr>
          <w:p>
            <w:pPr>
              <w:spacing w:after="0"/>
              <w:rPr>
                <w:sz w:val="19"/>
                <w:szCs w:val="19"/>
                <w:color w:val="auto"/>
              </w:rPr>
            </w:pPr>
          </w:p>
        </w:tc>
        <w:tc>
          <w:tcPr>
            <w:tcW w:w="1680" w:type="dxa"/>
            <w:vAlign w:val="bottom"/>
            <w:tcBorders>
              <w:top w:val="single" w:sz="8" w:color="auto"/>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ind w:right="571"/>
              <w:spacing w:after="0"/>
              <w:rPr>
                <w:sz w:val="20"/>
                <w:szCs w:val="20"/>
                <w:color w:val="auto"/>
              </w:rPr>
            </w:pPr>
            <w:r>
              <w:rPr>
                <w:rFonts w:ascii="Arial" w:cs="Arial" w:eastAsia="Arial" w:hAnsi="Arial"/>
                <w:sz w:val="18"/>
                <w:szCs w:val="18"/>
                <w:b w:val="1"/>
                <w:bCs w:val="1"/>
                <w:color w:val="auto"/>
              </w:rPr>
              <w:t>Change</w:t>
            </w:r>
          </w:p>
        </w:tc>
      </w:tr>
      <w:tr>
        <w:trPr>
          <w:trHeight w:val="220"/>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4,380.8</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2,188.2</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2,192.7</w:t>
            </w:r>
          </w:p>
        </w:tc>
      </w:tr>
      <w:tr>
        <w:trPr>
          <w:trHeight w:val="93"/>
        </w:trPr>
        <w:tc>
          <w:tcPr>
            <w:tcW w:w="4620" w:type="dxa"/>
            <w:vAlign w:val="bottom"/>
          </w:tcPr>
          <w:p>
            <w:pPr>
              <w:spacing w:after="0"/>
              <w:rPr>
                <w:sz w:val="8"/>
                <w:szCs w:val="8"/>
                <w:color w:val="auto"/>
              </w:rPr>
            </w:pPr>
          </w:p>
        </w:tc>
        <w:tc>
          <w:tcPr>
            <w:tcW w:w="14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8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0" w:type="dxa"/>
            <w:vAlign w:val="bottom"/>
          </w:tcPr>
          <w:p>
            <w:pPr>
              <w:spacing w:after="0"/>
              <w:rPr>
                <w:sz w:val="8"/>
                <w:szCs w:val="8"/>
                <w:color w:val="auto"/>
              </w:rPr>
            </w:pPr>
          </w:p>
        </w:tc>
        <w:tc>
          <w:tcPr>
            <w:tcW w:w="1580" w:type="dxa"/>
            <w:vAlign w:val="bottom"/>
          </w:tcPr>
          <w:p>
            <w:pPr>
              <w:spacing w:after="0"/>
              <w:rPr>
                <w:sz w:val="8"/>
                <w:szCs w:val="8"/>
                <w:color w:val="auto"/>
              </w:rPr>
            </w:pPr>
          </w:p>
        </w:tc>
      </w:tr>
      <w:tr>
        <w:trPr>
          <w:trHeight w:val="22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119.8</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89.5</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w:t>
            </w:r>
          </w:p>
        </w:tc>
      </w:tr>
      <w:tr>
        <w:trPr>
          <w:trHeight w:val="226"/>
        </w:trPr>
        <w:tc>
          <w:tcPr>
            <w:tcW w:w="46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Operating expenses</w:t>
            </w:r>
          </w:p>
        </w:tc>
        <w:tc>
          <w:tcPr>
            <w:tcW w:w="1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86.4</w:t>
            </w:r>
          </w:p>
        </w:tc>
        <w:tc>
          <w:tcPr>
            <w:tcW w:w="12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56.7</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29.7</w:t>
            </w:r>
          </w:p>
        </w:tc>
      </w:tr>
      <w:tr>
        <w:trPr>
          <w:trHeight w:val="220"/>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from operations</w:t>
            </w:r>
          </w:p>
        </w:tc>
        <w:tc>
          <w:tcPr>
            <w:tcW w:w="1400" w:type="dxa"/>
            <w:vAlign w:val="bottom"/>
            <w:tcBorders>
              <w:bottom w:val="single" w:sz="8" w:color="auto"/>
            </w:tcBorders>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33.4</w:t>
            </w:r>
          </w:p>
        </w:tc>
        <w:tc>
          <w:tcPr>
            <w:tcW w:w="12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32.8</w:t>
            </w: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0.6</w:t>
            </w:r>
          </w:p>
        </w:tc>
      </w:tr>
      <w:tr>
        <w:trPr>
          <w:trHeight w:val="74"/>
        </w:trPr>
        <w:tc>
          <w:tcPr>
            <w:tcW w:w="4620" w:type="dxa"/>
            <w:vAlign w:val="bottom"/>
          </w:tcPr>
          <w:p>
            <w:pPr>
              <w:spacing w:after="0"/>
              <w:rPr>
                <w:sz w:val="6"/>
                <w:szCs w:val="6"/>
                <w:color w:val="auto"/>
              </w:rPr>
            </w:pPr>
          </w:p>
        </w:tc>
        <w:tc>
          <w:tcPr>
            <w:tcW w:w="14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1680" w:type="dxa"/>
            <w:vAlign w:val="bottom"/>
          </w:tcPr>
          <w:p>
            <w:pPr>
              <w:spacing w:after="0"/>
              <w:rPr>
                <w:sz w:val="6"/>
                <w:szCs w:val="6"/>
                <w:color w:val="auto"/>
              </w:rPr>
            </w:pPr>
          </w:p>
        </w:tc>
        <w:tc>
          <w:tcPr>
            <w:tcW w:w="1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580" w:type="dxa"/>
            <w:vAlign w:val="bottom"/>
          </w:tcPr>
          <w:p>
            <w:pPr>
              <w:spacing w:after="0"/>
              <w:rPr>
                <w:sz w:val="6"/>
                <w:szCs w:val="6"/>
                <w:color w:val="auto"/>
              </w:rPr>
            </w:pPr>
          </w:p>
        </w:tc>
      </w:tr>
      <w:tr>
        <w:trPr>
          <w:trHeight w:val="22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i w:val="1"/>
                <w:iCs w:val="1"/>
                <w:color w:val="auto"/>
              </w:rPr>
              <w:t>Operational metrics:</w:t>
            </w:r>
          </w:p>
        </w:tc>
        <w:tc>
          <w:tcPr>
            <w:tcW w:w="14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r>
      <w:tr>
        <w:trPr>
          <w:trHeight w:val="226"/>
        </w:trPr>
        <w:tc>
          <w:tcPr>
            <w:tcW w:w="4620" w:type="dxa"/>
            <w:vAlign w:val="bottom"/>
          </w:tcPr>
          <w:p>
            <w:pPr>
              <w:ind w:left="20"/>
              <w:spacing w:after="0"/>
              <w:rPr>
                <w:sz w:val="20"/>
                <w:szCs w:val="20"/>
                <w:color w:val="auto"/>
              </w:rPr>
            </w:pPr>
            <w:r>
              <w:rPr>
                <w:rFonts w:ascii="Arial" w:cs="Arial" w:eastAsia="Arial" w:hAnsi="Arial"/>
                <w:sz w:val="18"/>
                <w:szCs w:val="18"/>
                <w:color w:val="auto"/>
              </w:rPr>
              <w:t>Land segment volumes (gallons)</w:t>
            </w:r>
          </w:p>
        </w:tc>
        <w:tc>
          <w:tcPr>
            <w:tcW w:w="14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1,582.6</w:t>
            </w: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1,303.0</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279.5</w:t>
            </w:r>
          </w:p>
        </w:tc>
      </w:tr>
      <w:tr>
        <w:trPr>
          <w:trHeight w:val="228"/>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Land segment average price per gallon</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2.77</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1.09</w:t>
            </w:r>
          </w:p>
        </w:tc>
      </w:tr>
    </w:tbl>
    <w:p>
      <w:pPr>
        <w:spacing w:after="0" w:line="186"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Revenues in our land segment were $4.4 billion for the three months ended March 31, 2022, an increase of $2.2 billion, or 100%, compared to the three months ended March 31, 2021. The increase in revenue was principally driven by higher average prices and the acquisition of Flyers. The average price per gallon, or gallon equivalent sold, increased by 65% in the three months ended March 31, 2022 compared to the three months ended March 31, 2021 as a result of the rise in global oil prices. Total volumes increased by 279.5 million, or 21%, to 1.6 billion gallons or gallon equivalents in the three months ended March 31, 2022 compared to the three months ended March 31, 2021, primarily due to the acquisition of Flyers in January 2022.</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5" w:right="339" w:bottom="1440" w:gutter="0" w:footer="0" w:header="0"/>
        </w:sectPr>
      </w:pPr>
    </w:p>
    <w:bookmarkStart w:id="28" w:name="page29"/>
    <w:bookmarkEnd w:id="28"/>
    <w:p>
      <w:pPr>
        <w:jc w:val="both"/>
        <w:spacing w:after="0" w:line="249" w:lineRule="auto"/>
        <w:rPr>
          <w:sz w:val="20"/>
          <w:szCs w:val="20"/>
          <w:color w:val="auto"/>
        </w:rPr>
      </w:pPr>
      <w:r>
        <w:rPr>
          <w:rFonts w:ascii="Arial" w:cs="Arial" w:eastAsia="Arial" w:hAnsi="Arial"/>
          <w:sz w:val="18"/>
          <w:szCs w:val="18"/>
          <w:color w:val="auto"/>
        </w:rPr>
        <w:t>Our land segment gross profit for the three months ended March 31, 2022 was $119.8 million, an increase of $30.3 million, or 34%, compared to the three months ended March 31, 2021. The increase in gross profit was primarily attributable to Flyers gross profit of $36.1 million in the three months ended March 31, 2022, partially offset by the reduction in our government-related activity in Afghanistan as well as a decline in our natural gas activities relative to the exceptional results during the three months ended March 31, 2021, which benefited from extreme weather conditions.</w:t>
      </w:r>
    </w:p>
    <w:p>
      <w:pPr>
        <w:spacing w:after="0" w:line="100"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our land segment, income from operations for the three months ended March 31, 2022 was $33.4 million, an increase of $0.6 million, or 2%, compared to the three months ended March 31, 2021. The increase in income from operations attributable to Flyers of $17.6 million during the three months ended March 31, 2022 was partially offset by the reductions in gross profit discussed above, as well as increased operating expenses driven by higher compensation and employee benefit costs, as described under Consolidated Results of Operations above.</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Marine Segment Results of Operations</w:t>
      </w:r>
    </w:p>
    <w:p>
      <w:pPr>
        <w:spacing w:after="0" w:line="28" w:lineRule="exact"/>
        <w:rPr>
          <w:sz w:val="20"/>
          <w:szCs w:val="20"/>
          <w:color w:val="auto"/>
        </w:rPr>
      </w:pPr>
    </w:p>
    <w:p>
      <w:pPr>
        <w:jc w:val="both"/>
        <w:ind w:right="20"/>
        <w:spacing w:after="0" w:line="254" w:lineRule="auto"/>
        <w:rPr>
          <w:sz w:val="20"/>
          <w:szCs w:val="20"/>
          <w:color w:val="auto"/>
        </w:rPr>
      </w:pPr>
      <w:r>
        <w:rPr>
          <w:rFonts w:ascii="Arial" w:cs="Arial" w:eastAsia="Arial" w:hAnsi="Arial"/>
          <w:sz w:val="18"/>
          <w:szCs w:val="18"/>
          <w:color w:val="auto"/>
        </w:rPr>
        <w:t>The following provides a summary of the marine segment results of operations for the periods indicated (in millions, except price per metric ton):</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35"/>
        </w:trPr>
        <w:tc>
          <w:tcPr>
            <w:tcW w:w="4620" w:type="dxa"/>
            <w:vAlign w:val="bottom"/>
          </w:tcPr>
          <w:p>
            <w:pPr>
              <w:spacing w:after="0"/>
              <w:rPr>
                <w:sz w:val="20"/>
                <w:szCs w:val="20"/>
                <w:color w:val="auto"/>
              </w:rPr>
            </w:pPr>
          </w:p>
        </w:tc>
        <w:tc>
          <w:tcPr>
            <w:tcW w:w="4640" w:type="dxa"/>
            <w:vAlign w:val="bottom"/>
            <w:gridSpan w:val="6"/>
          </w:tcPr>
          <w:p>
            <w:pPr>
              <w:ind w:left="620"/>
              <w:spacing w:after="0"/>
              <w:rPr>
                <w:sz w:val="20"/>
                <w:szCs w:val="20"/>
                <w:color w:val="auto"/>
              </w:rPr>
            </w:pPr>
            <w:r>
              <w:rPr>
                <w:rFonts w:ascii="Arial" w:cs="Arial" w:eastAsia="Arial" w:hAnsi="Arial"/>
                <w:sz w:val="18"/>
                <w:szCs w:val="18"/>
                <w:b w:val="1"/>
                <w:bCs w:val="1"/>
                <w:color w:val="auto"/>
              </w:rPr>
              <w:t>For the Three Months Ended March 31,</w:t>
            </w:r>
          </w:p>
        </w:tc>
        <w:tc>
          <w:tcPr>
            <w:tcW w:w="400" w:type="dxa"/>
            <w:vAlign w:val="bottom"/>
          </w:tcPr>
          <w:p>
            <w:pPr>
              <w:spacing w:after="0"/>
              <w:rPr>
                <w:sz w:val="20"/>
                <w:szCs w:val="20"/>
                <w:color w:val="auto"/>
              </w:rPr>
            </w:pPr>
          </w:p>
        </w:tc>
        <w:tc>
          <w:tcPr>
            <w:tcW w:w="1580" w:type="dxa"/>
            <w:vAlign w:val="bottom"/>
          </w:tcPr>
          <w:p>
            <w:pPr>
              <w:spacing w:after="0"/>
              <w:rPr>
                <w:sz w:val="20"/>
                <w:szCs w:val="20"/>
                <w:color w:val="auto"/>
              </w:rPr>
            </w:pPr>
          </w:p>
        </w:tc>
      </w:tr>
      <w:tr>
        <w:trPr>
          <w:trHeight w:val="222"/>
        </w:trPr>
        <w:tc>
          <w:tcPr>
            <w:tcW w:w="4620" w:type="dxa"/>
            <w:vAlign w:val="bottom"/>
            <w:tcBorders>
              <w:bottom w:val="single" w:sz="8" w:color="CCEEFF"/>
            </w:tcBorders>
          </w:tcPr>
          <w:p>
            <w:pPr>
              <w:spacing w:after="0"/>
              <w:rPr>
                <w:sz w:val="19"/>
                <w:szCs w:val="19"/>
                <w:color w:val="auto"/>
              </w:rPr>
            </w:pPr>
          </w:p>
        </w:tc>
        <w:tc>
          <w:tcPr>
            <w:tcW w:w="140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2022</w:t>
            </w:r>
          </w:p>
        </w:tc>
        <w:tc>
          <w:tcPr>
            <w:tcW w:w="800" w:type="dxa"/>
            <w:vAlign w:val="bottom"/>
            <w:tcBorders>
              <w:top w:val="single" w:sz="8" w:color="auto"/>
              <w:bottom w:val="single" w:sz="8" w:color="auto"/>
            </w:tcBorders>
          </w:tcPr>
          <w:p>
            <w:pPr>
              <w:spacing w:after="0"/>
              <w:rPr>
                <w:sz w:val="19"/>
                <w:szCs w:val="19"/>
                <w:color w:val="auto"/>
              </w:rPr>
            </w:pPr>
          </w:p>
        </w:tc>
        <w:tc>
          <w:tcPr>
            <w:tcW w:w="120" w:type="dxa"/>
            <w:vAlign w:val="bottom"/>
            <w:tcBorders>
              <w:top w:val="single" w:sz="8" w:color="auto"/>
              <w:bottom w:val="single" w:sz="8" w:color="CCEEFF"/>
            </w:tcBorders>
          </w:tcPr>
          <w:p>
            <w:pPr>
              <w:spacing w:after="0"/>
              <w:rPr>
                <w:sz w:val="19"/>
                <w:szCs w:val="19"/>
                <w:color w:val="auto"/>
              </w:rPr>
            </w:pPr>
          </w:p>
        </w:tc>
        <w:tc>
          <w:tcPr>
            <w:tcW w:w="520" w:type="dxa"/>
            <w:vAlign w:val="bottom"/>
            <w:tcBorders>
              <w:top w:val="single" w:sz="8" w:color="auto"/>
              <w:bottom w:val="single" w:sz="8" w:color="auto"/>
            </w:tcBorders>
          </w:tcPr>
          <w:p>
            <w:pPr>
              <w:spacing w:after="0"/>
              <w:rPr>
                <w:sz w:val="19"/>
                <w:szCs w:val="19"/>
                <w:color w:val="auto"/>
              </w:rPr>
            </w:pPr>
          </w:p>
        </w:tc>
        <w:tc>
          <w:tcPr>
            <w:tcW w:w="1680" w:type="dxa"/>
            <w:vAlign w:val="bottom"/>
            <w:tcBorders>
              <w:top w:val="single" w:sz="8" w:color="auto"/>
              <w:bottom w:val="single" w:sz="8" w:color="auto"/>
            </w:tcBorders>
          </w:tcPr>
          <w:p>
            <w:pPr>
              <w:jc w:val="right"/>
              <w:ind w:right="811"/>
              <w:spacing w:after="0"/>
              <w:rPr>
                <w:sz w:val="20"/>
                <w:szCs w:val="20"/>
                <w:color w:val="auto"/>
              </w:rPr>
            </w:pPr>
            <w:r>
              <w:rPr>
                <w:rFonts w:ascii="Arial" w:cs="Arial" w:eastAsia="Arial" w:hAnsi="Arial"/>
                <w:sz w:val="18"/>
                <w:szCs w:val="18"/>
                <w:b w:val="1"/>
                <w:bCs w:val="1"/>
                <w:color w:val="auto"/>
              </w:rPr>
              <w:t>2021</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ind w:right="571"/>
              <w:spacing w:after="0"/>
              <w:rPr>
                <w:sz w:val="20"/>
                <w:szCs w:val="20"/>
                <w:color w:val="auto"/>
              </w:rPr>
            </w:pPr>
            <w:r>
              <w:rPr>
                <w:rFonts w:ascii="Arial" w:cs="Arial" w:eastAsia="Arial" w:hAnsi="Arial"/>
                <w:sz w:val="18"/>
                <w:szCs w:val="18"/>
                <w:b w:val="1"/>
                <w:bCs w:val="1"/>
                <w:color w:val="auto"/>
              </w:rPr>
              <w:t>Change</w:t>
            </w:r>
          </w:p>
        </w:tc>
      </w:tr>
      <w:tr>
        <w:trPr>
          <w:trHeight w:val="220"/>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Revenue</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2,990.6</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1,674.7</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1,315.9</w:t>
            </w:r>
          </w:p>
        </w:tc>
      </w:tr>
      <w:tr>
        <w:trPr>
          <w:trHeight w:val="93"/>
        </w:trPr>
        <w:tc>
          <w:tcPr>
            <w:tcW w:w="4620" w:type="dxa"/>
            <w:vAlign w:val="bottom"/>
          </w:tcPr>
          <w:p>
            <w:pPr>
              <w:spacing w:after="0"/>
              <w:rPr>
                <w:sz w:val="8"/>
                <w:szCs w:val="8"/>
                <w:color w:val="auto"/>
              </w:rPr>
            </w:pPr>
          </w:p>
        </w:tc>
        <w:tc>
          <w:tcPr>
            <w:tcW w:w="1400" w:type="dxa"/>
            <w:vAlign w:val="bottom"/>
          </w:tcPr>
          <w:p>
            <w:pPr>
              <w:spacing w:after="0"/>
              <w:rPr>
                <w:sz w:val="8"/>
                <w:szCs w:val="8"/>
                <w:color w:val="auto"/>
              </w:rPr>
            </w:pPr>
          </w:p>
        </w:tc>
        <w:tc>
          <w:tcPr>
            <w:tcW w:w="8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20" w:type="dxa"/>
            <w:vAlign w:val="bottom"/>
          </w:tcPr>
          <w:p>
            <w:pPr>
              <w:spacing w:after="0"/>
              <w:rPr>
                <w:sz w:val="8"/>
                <w:szCs w:val="8"/>
                <w:color w:val="auto"/>
              </w:rPr>
            </w:pPr>
          </w:p>
        </w:tc>
        <w:tc>
          <w:tcPr>
            <w:tcW w:w="1680" w:type="dxa"/>
            <w:vAlign w:val="bottom"/>
          </w:tcPr>
          <w:p>
            <w:pPr>
              <w:spacing w:after="0"/>
              <w:rPr>
                <w:sz w:val="8"/>
                <w:szCs w:val="8"/>
                <w:color w:val="auto"/>
              </w:rPr>
            </w:pPr>
          </w:p>
        </w:tc>
        <w:tc>
          <w:tcPr>
            <w:tcW w:w="120" w:type="dxa"/>
            <w:vAlign w:val="bottom"/>
          </w:tcPr>
          <w:p>
            <w:pPr>
              <w:spacing w:after="0"/>
              <w:rPr>
                <w:sz w:val="8"/>
                <w:szCs w:val="8"/>
                <w:color w:val="auto"/>
              </w:rPr>
            </w:pPr>
          </w:p>
        </w:tc>
        <w:tc>
          <w:tcPr>
            <w:tcW w:w="400" w:type="dxa"/>
            <w:vAlign w:val="bottom"/>
          </w:tcPr>
          <w:p>
            <w:pPr>
              <w:spacing w:after="0"/>
              <w:rPr>
                <w:sz w:val="8"/>
                <w:szCs w:val="8"/>
                <w:color w:val="auto"/>
              </w:rPr>
            </w:pPr>
          </w:p>
        </w:tc>
        <w:tc>
          <w:tcPr>
            <w:tcW w:w="1580" w:type="dxa"/>
            <w:vAlign w:val="bottom"/>
          </w:tcPr>
          <w:p>
            <w:pPr>
              <w:spacing w:after="0"/>
              <w:rPr>
                <w:sz w:val="8"/>
                <w:szCs w:val="8"/>
                <w:color w:val="auto"/>
              </w:rPr>
            </w:pPr>
          </w:p>
        </w:tc>
      </w:tr>
      <w:tr>
        <w:trPr>
          <w:trHeight w:val="22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w:t>
            </w:r>
          </w:p>
        </w:tc>
      </w:tr>
      <w:tr>
        <w:trPr>
          <w:trHeight w:val="226"/>
        </w:trPr>
        <w:tc>
          <w:tcPr>
            <w:tcW w:w="462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Operating expenses</w:t>
            </w:r>
          </w:p>
        </w:tc>
        <w:tc>
          <w:tcPr>
            <w:tcW w:w="140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23.8</w:t>
            </w:r>
          </w:p>
        </w:tc>
        <w:tc>
          <w:tcPr>
            <w:tcW w:w="12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19.1</w:t>
            </w:r>
          </w:p>
        </w:tc>
        <w:tc>
          <w:tcPr>
            <w:tcW w:w="12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w:t>
            </w:r>
          </w:p>
        </w:tc>
      </w:tr>
      <w:tr>
        <w:trPr>
          <w:trHeight w:val="220"/>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from operations</w:t>
            </w:r>
          </w:p>
        </w:tc>
        <w:tc>
          <w:tcPr>
            <w:tcW w:w="1400" w:type="dxa"/>
            <w:vAlign w:val="bottom"/>
            <w:tcBorders>
              <w:bottom w:val="single" w:sz="8" w:color="auto"/>
            </w:tcBorders>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23.1</w:t>
            </w:r>
          </w:p>
        </w:tc>
        <w:tc>
          <w:tcPr>
            <w:tcW w:w="120" w:type="dxa"/>
            <w:vAlign w:val="bottom"/>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w:t>
            </w:r>
          </w:p>
        </w:tc>
        <w:tc>
          <w:tcPr>
            <w:tcW w:w="120" w:type="dxa"/>
            <w:vAlign w:val="bottom"/>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w:t>
            </w:r>
          </w:p>
        </w:tc>
      </w:tr>
      <w:tr>
        <w:trPr>
          <w:trHeight w:val="74"/>
        </w:trPr>
        <w:tc>
          <w:tcPr>
            <w:tcW w:w="4620" w:type="dxa"/>
            <w:vAlign w:val="bottom"/>
          </w:tcPr>
          <w:p>
            <w:pPr>
              <w:spacing w:after="0"/>
              <w:rPr>
                <w:sz w:val="6"/>
                <w:szCs w:val="6"/>
                <w:color w:val="auto"/>
              </w:rPr>
            </w:pPr>
          </w:p>
        </w:tc>
        <w:tc>
          <w:tcPr>
            <w:tcW w:w="14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1680" w:type="dxa"/>
            <w:vAlign w:val="bottom"/>
          </w:tcPr>
          <w:p>
            <w:pPr>
              <w:spacing w:after="0"/>
              <w:rPr>
                <w:sz w:val="6"/>
                <w:szCs w:val="6"/>
                <w:color w:val="auto"/>
              </w:rPr>
            </w:pPr>
          </w:p>
        </w:tc>
        <w:tc>
          <w:tcPr>
            <w:tcW w:w="120" w:type="dxa"/>
            <w:vAlign w:val="bottom"/>
          </w:tcPr>
          <w:p>
            <w:pPr>
              <w:spacing w:after="0"/>
              <w:rPr>
                <w:sz w:val="6"/>
                <w:szCs w:val="6"/>
                <w:color w:val="auto"/>
              </w:rPr>
            </w:pPr>
          </w:p>
        </w:tc>
        <w:tc>
          <w:tcPr>
            <w:tcW w:w="400" w:type="dxa"/>
            <w:vAlign w:val="bottom"/>
          </w:tcPr>
          <w:p>
            <w:pPr>
              <w:spacing w:after="0"/>
              <w:rPr>
                <w:sz w:val="6"/>
                <w:szCs w:val="6"/>
                <w:color w:val="auto"/>
              </w:rPr>
            </w:pPr>
          </w:p>
        </w:tc>
        <w:tc>
          <w:tcPr>
            <w:tcW w:w="1580" w:type="dxa"/>
            <w:vAlign w:val="bottom"/>
          </w:tcPr>
          <w:p>
            <w:pPr>
              <w:spacing w:after="0"/>
              <w:rPr>
                <w:sz w:val="6"/>
                <w:szCs w:val="6"/>
                <w:color w:val="auto"/>
              </w:rPr>
            </w:pPr>
          </w:p>
        </w:tc>
      </w:tr>
      <w:tr>
        <w:trPr>
          <w:trHeight w:val="22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i w:val="1"/>
                <w:iCs w:val="1"/>
                <w:color w:val="auto"/>
              </w:rPr>
              <w:t>Operational metrics:</w:t>
            </w:r>
          </w:p>
        </w:tc>
        <w:tc>
          <w:tcPr>
            <w:tcW w:w="140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r>
      <w:tr>
        <w:trPr>
          <w:trHeight w:val="226"/>
        </w:trPr>
        <w:tc>
          <w:tcPr>
            <w:tcW w:w="4620" w:type="dxa"/>
            <w:vAlign w:val="bottom"/>
          </w:tcPr>
          <w:p>
            <w:pPr>
              <w:ind w:left="20"/>
              <w:spacing w:after="0"/>
              <w:rPr>
                <w:sz w:val="20"/>
                <w:szCs w:val="20"/>
                <w:color w:val="auto"/>
              </w:rPr>
            </w:pPr>
            <w:r>
              <w:rPr>
                <w:rFonts w:ascii="Arial" w:cs="Arial" w:eastAsia="Arial" w:hAnsi="Arial"/>
                <w:sz w:val="18"/>
                <w:szCs w:val="18"/>
                <w:color w:val="auto"/>
              </w:rPr>
              <w:t>Marine segment volumes (metric tons)</w:t>
            </w:r>
          </w:p>
        </w:tc>
        <w:tc>
          <w:tcPr>
            <w:tcW w:w="140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4.7</w:t>
            </w: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0.5</w:t>
            </w:r>
          </w:p>
        </w:tc>
      </w:tr>
      <w:tr>
        <w:trPr>
          <w:trHeight w:val="228"/>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Marine segment average price per metric ton</w:t>
            </w:r>
          </w:p>
        </w:tc>
        <w:tc>
          <w:tcPr>
            <w:tcW w:w="1400" w:type="dxa"/>
            <w:vAlign w:val="bottom"/>
            <w:shd w:val="clear" w:color="auto" w:fill="CCEEFF"/>
          </w:tcPr>
          <w:p>
            <w:pPr>
              <w:jc w:val="right"/>
              <w:ind w:right="1191"/>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637.61</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1"/>
              <w:spacing w:after="0"/>
              <w:rPr>
                <w:sz w:val="20"/>
                <w:szCs w:val="20"/>
                <w:color w:val="auto"/>
              </w:rPr>
            </w:pPr>
            <w:r>
              <w:rPr>
                <w:rFonts w:ascii="Arial" w:cs="Arial" w:eastAsia="Arial" w:hAnsi="Arial"/>
                <w:sz w:val="18"/>
                <w:szCs w:val="18"/>
                <w:color w:val="auto"/>
                <w:w w:val="9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395.65</w:t>
            </w:r>
          </w:p>
        </w:tc>
        <w:tc>
          <w:tcPr>
            <w:tcW w:w="12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1"/>
              <w:spacing w:after="0"/>
              <w:rPr>
                <w:sz w:val="20"/>
                <w:szCs w:val="20"/>
                <w:color w:val="auto"/>
              </w:rPr>
            </w:pPr>
            <w:r>
              <w:rPr>
                <w:rFonts w:ascii="Arial" w:cs="Arial" w:eastAsia="Arial" w:hAnsi="Arial"/>
                <w:sz w:val="18"/>
                <w:szCs w:val="18"/>
                <w:color w:val="auto"/>
                <w:w w:val="99"/>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241.96</w:t>
            </w:r>
          </w:p>
        </w:tc>
      </w:tr>
    </w:tbl>
    <w:p>
      <w:pPr>
        <w:spacing w:after="0" w:line="199"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Revenues in our marine segment were $3.0 billion for the three months ended March 31, 2022, an increase of $1.3 billion, or 79%, compared to the three months ended March 31, 2021. The increase in revenue was principally driven by a 61% increase in the average price per metric ton of bunker fuel sold in the three months ended March 31, 2022 compared to the three months ended March 31, 2021. In addition, total volumes increased by 0.5 million metric tons, or 11%, to 4.7 million metric tons in the three months ended March 31, 2022 compared to the three months ended March 31, 2021.</w:t>
      </w:r>
    </w:p>
    <w:p>
      <w:pPr>
        <w:spacing w:after="0" w:line="100"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Our marine segment gross profit for the three months ended March 31, 2022 was $47.0 million, an increase of $21.5 million, or 85%, compared to the three months ended March 31, 2021. The increase in gross profit was principally attributable to the impact of the rise in global oil prices and the resulting constrained credit environment.</w:t>
      </w:r>
    </w:p>
    <w:p>
      <w:pPr>
        <w:spacing w:after="0" w:line="9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Our marine segment income from operations for the three months ended March 31, 2022 was $23.1 million, an increase of $16.8 million, or 264%, compared to the three months ended March 31, 2021, driven by the increase in gross profit, partially offset by a $4.7 million increase in operating expenses largely driven by increased compensation and employee benefit costs as described in Consolidated Results of Operations above.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Liquidity to fund working capital, as well as make strategic investments to further our growth strategy, is a significant priority for us. Our views concerning liquidity are based on currently available information and if circumstances change significantly, whether as a result of the COVID-19 pandemic or otherwise, the future availability of trade credit or other sources of financing may be reduced, and our liquidity would be adversely affected accordingly.</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Sources of Liquidity and Factors Impacting Our Liquidity</w:t>
      </w:r>
    </w:p>
    <w:p>
      <w:pPr>
        <w:spacing w:after="0" w:line="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Our liquidity, consisting principally of cash and availability under our Credit Facility, fluctuates based on a number of factors, including the timing of receipts from our customers and payments to our suppliers, changes in fuel prices, as well as our financial performance.</w:t>
      </w:r>
    </w:p>
    <w:p>
      <w:pPr>
        <w:spacing w:after="0" w:line="96"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Based on the information currently available, we believe that our cash and cash equivalents as of March 31, 2022 and available funds from our Credit Facility, together with cash flows generated by operations, are sufficient to fund our working capital and capital expenditure requirements for at least the next twelve months.</w:t>
      </w: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29" w:name="page30"/>
    <w:bookmarkEnd w:id="29"/>
    <w:p>
      <w:pPr>
        <w:jc w:val="both"/>
        <w:spacing w:after="0" w:line="268" w:lineRule="auto"/>
        <w:rPr>
          <w:sz w:val="20"/>
          <w:szCs w:val="20"/>
          <w:color w:val="auto"/>
        </w:rPr>
      </w:pPr>
      <w:r>
        <w:rPr>
          <w:rFonts w:ascii="Arial" w:cs="Arial" w:eastAsia="Arial" w:hAnsi="Arial"/>
          <w:sz w:val="17"/>
          <w:szCs w:val="17"/>
          <w:i w:val="1"/>
          <w:iCs w:val="1"/>
          <w:color w:val="auto"/>
        </w:rPr>
        <w:t xml:space="preserve">Credit Facility and Term Loans. </w:t>
      </w:r>
      <w:r>
        <w:rPr>
          <w:rFonts w:ascii="Arial" w:cs="Arial" w:eastAsia="Arial" w:hAnsi="Arial"/>
          <w:sz w:val="17"/>
          <w:szCs w:val="17"/>
          <w:color w:val="auto"/>
        </w:rPr>
        <w:t>On April 1, 2022, we entered into Amendment No. 8 to Fourth Amended and Restated Credit Agreement (the</w:t>
      </w:r>
      <w:r>
        <w:rPr>
          <w:rFonts w:ascii="Arial" w:cs="Arial" w:eastAsia="Arial" w:hAnsi="Arial"/>
          <w:sz w:val="17"/>
          <w:szCs w:val="17"/>
          <w:i w:val="1"/>
          <w:iCs w:val="1"/>
          <w:color w:val="auto"/>
        </w:rPr>
        <w:t xml:space="preserve"> </w:t>
      </w:r>
      <w:r>
        <w:rPr>
          <w:rFonts w:ascii="Arial" w:cs="Arial" w:eastAsia="Arial" w:hAnsi="Arial"/>
          <w:sz w:val="17"/>
          <w:szCs w:val="17"/>
          <w:color w:val="auto"/>
        </w:rPr>
        <w:t>"Amendment") to amend certain terms and conditions of our Credit Facility, including: (i) increasing the revolving credit facility to $1.5 billion; (ii) providing a new term loan of $500 million, thereby increasing the total borrowing capacity under the credit facility to $2.0 billion; (iii) modifying the pricing of the loans, including the reference rates for various currencies to reflect the discontinuation of LIBOR; (iv) extending the maturity to April 1, 2027; and (v) modifying certain financial and other covenants to provide greater operating flexibility. Our availability under our Credit Facility is limited by, among other things, our consolidated total leverage ratio, which is defined in the Credit Agreement and is based, in part, on our adjusted consolidated earnings before interest, taxes, depreciation and amortization ("Adjusted EBITDA") for the four immediately preceding fiscal quarters. The Credit Facility generally limits the total amount of indebtedness we may incur to not more than 4.75 to 1.</w:t>
      </w:r>
    </w:p>
    <w:p>
      <w:pPr>
        <w:spacing w:after="0" w:line="86"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As a result of the foregoing, as well as other covenants and restrictions contained in our Credit Facility, our availability under the Credit Facility may fluctuate from period to period. In addition, our failure to comply with the covenants contained in our Credit Facility and our Term Loans could result in an event of default. An event of default, if not cured or waived, would permit acceleration of any outstanding indebtedness under the Credit Facility and our Term Loans, trigger cross-defaults under certain other agreements to which we are a party and impair our ability to obtain working capital advances and issue letters of credit, which would have a material adverse effect on our business, financial condition, results of operations and cash flows.</w:t>
      </w:r>
    </w:p>
    <w:p>
      <w:pPr>
        <w:spacing w:after="0" w:line="86" w:lineRule="exact"/>
        <w:rPr>
          <w:sz w:val="20"/>
          <w:szCs w:val="20"/>
          <w:color w:val="auto"/>
        </w:rPr>
      </w:pPr>
    </w:p>
    <w:p>
      <w:pPr>
        <w:jc w:val="both"/>
        <w:spacing w:after="0" w:line="269" w:lineRule="auto"/>
        <w:rPr>
          <w:sz w:val="20"/>
          <w:szCs w:val="20"/>
          <w:color w:val="auto"/>
        </w:rPr>
      </w:pPr>
      <w:r>
        <w:rPr>
          <w:rFonts w:ascii="Arial" w:cs="Arial" w:eastAsia="Arial" w:hAnsi="Arial"/>
          <w:sz w:val="17"/>
          <w:szCs w:val="17"/>
          <w:i w:val="1"/>
          <w:iCs w:val="1"/>
          <w:color w:val="auto"/>
        </w:rPr>
        <w:t xml:space="preserve">Receivables Purchase Agreements. </w:t>
      </w:r>
      <w:r>
        <w:rPr>
          <w:rFonts w:ascii="Arial" w:cs="Arial" w:eastAsia="Arial" w:hAnsi="Arial"/>
          <w:sz w:val="17"/>
          <w:szCs w:val="17"/>
          <w:color w:val="auto"/>
        </w:rPr>
        <w:t>We also have accounts receivable programs under receivables purchase agreements ("RPAs") that allow</w:t>
      </w:r>
      <w:r>
        <w:rPr>
          <w:rFonts w:ascii="Arial" w:cs="Arial" w:eastAsia="Arial" w:hAnsi="Arial"/>
          <w:sz w:val="17"/>
          <w:szCs w:val="17"/>
          <w:i w:val="1"/>
          <w:iCs w:val="1"/>
          <w:color w:val="auto"/>
        </w:rPr>
        <w:t xml:space="preserve"> </w:t>
      </w:r>
      <w:r>
        <w:rPr>
          <w:rFonts w:ascii="Arial" w:cs="Arial" w:eastAsia="Arial" w:hAnsi="Arial"/>
          <w:sz w:val="17"/>
          <w:szCs w:val="17"/>
          <w:color w:val="auto"/>
        </w:rPr>
        <w:t>us to sell a specified amount of qualifying accounts receivable and receive cash consideration equal to the total balance, less a discount margin, which varies based on the outstanding accounts receivable at any given time. The RPA agreements provide the constituent banks with the ability to add or remove customers from these programs in their discretion based on, among other things, the level of risk exposure the bank is willing to accept with respect to any particular customer. The fees the banks charge us to purchase the receivables from these customers can also be impacted for these reasons. During the three months ended March 31, 2022 and 2021, we sold receivables under the RPAs with an aggregate face value of $2.6 billion and $2.0 billion, respectively. See Note 2. Accounts Receivable for additional information.</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Future Uses of Liquidity</w:t>
      </w:r>
    </w:p>
    <w:p>
      <w:pPr>
        <w:spacing w:after="0" w:line="6" w:lineRule="exact"/>
        <w:rPr>
          <w:sz w:val="20"/>
          <w:szCs w:val="20"/>
          <w:color w:val="auto"/>
        </w:rPr>
      </w:pPr>
    </w:p>
    <w:p>
      <w:pPr>
        <w:jc w:val="both"/>
        <w:spacing w:after="0" w:line="251" w:lineRule="auto"/>
        <w:rPr>
          <w:sz w:val="20"/>
          <w:szCs w:val="20"/>
          <w:color w:val="auto"/>
        </w:rPr>
      </w:pPr>
      <w:r>
        <w:rPr>
          <w:rFonts w:ascii="Arial" w:cs="Arial" w:eastAsia="Arial" w:hAnsi="Arial"/>
          <w:sz w:val="18"/>
          <w:szCs w:val="18"/>
          <w:color w:val="auto"/>
        </w:rPr>
        <w:t>Cash is primarily used to fund working capital to support our operations as well as for strategic acquisitions and investments. There were no material changes in our expected future uses of liquidity from December 31, 2021 to March 31, 2022. For a discussion of these matters, refer to Item 7 - Liquidity and Capital Resources of our 2021 10-K Report.</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Cash Flows</w:t>
      </w:r>
    </w:p>
    <w:p>
      <w:pPr>
        <w:spacing w:after="0" w:line="6"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following table reflects the major categories of cash flows for the three months ended March 31, 2022 and 2021 (in millions). For additional details, please see the unaudited Condensed Consolidated Statements of Cash Flows in this Quarterly Report on Form 10-Q.</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6700" w:type="dxa"/>
            <w:vAlign w:val="bottom"/>
          </w:tcPr>
          <w:p>
            <w:pPr>
              <w:spacing w:after="0"/>
              <w:rPr>
                <w:sz w:val="20"/>
                <w:szCs w:val="20"/>
                <w:color w:val="auto"/>
              </w:rPr>
            </w:pPr>
          </w:p>
        </w:tc>
        <w:tc>
          <w:tcPr>
            <w:tcW w:w="3960" w:type="dxa"/>
            <w:vAlign w:val="bottom"/>
            <w:tcBorders>
              <w:bottom w:val="single" w:sz="8" w:color="auto"/>
            </w:tcBorders>
            <w:gridSpan w:val="4"/>
          </w:tcPr>
          <w:p>
            <w:pPr>
              <w:jc w:val="right"/>
              <w:spacing w:after="0"/>
              <w:rPr>
                <w:sz w:val="20"/>
                <w:szCs w:val="20"/>
                <w:color w:val="auto"/>
              </w:rPr>
            </w:pPr>
            <w:r>
              <w:rPr>
                <w:rFonts w:ascii="Arial" w:cs="Arial" w:eastAsia="Arial" w:hAnsi="Arial"/>
                <w:sz w:val="18"/>
                <w:szCs w:val="18"/>
                <w:b w:val="1"/>
                <w:bCs w:val="1"/>
                <w:color w:val="auto"/>
              </w:rPr>
              <w:t>For the Three Months Ended March 31,</w:t>
            </w:r>
          </w:p>
        </w:tc>
        <w:tc>
          <w:tcPr>
            <w:tcW w:w="580" w:type="dxa"/>
            <w:vAlign w:val="bottom"/>
            <w:tcBorders>
              <w:bottom w:val="single" w:sz="8" w:color="auto"/>
            </w:tcBorders>
          </w:tcPr>
          <w:p>
            <w:pPr>
              <w:spacing w:after="0"/>
              <w:rPr>
                <w:sz w:val="20"/>
                <w:szCs w:val="20"/>
                <w:color w:val="auto"/>
              </w:rPr>
            </w:pPr>
          </w:p>
        </w:tc>
      </w:tr>
      <w:tr>
        <w:trPr>
          <w:trHeight w:val="221"/>
        </w:trPr>
        <w:tc>
          <w:tcPr>
            <w:tcW w:w="6700" w:type="dxa"/>
            <w:vAlign w:val="bottom"/>
            <w:tcBorders>
              <w:bottom w:val="single" w:sz="8" w:color="CCEEFF"/>
            </w:tcBorders>
          </w:tcPr>
          <w:p>
            <w:pPr>
              <w:spacing w:after="0"/>
              <w:rPr>
                <w:sz w:val="19"/>
                <w:szCs w:val="19"/>
                <w:color w:val="auto"/>
              </w:rPr>
            </w:pPr>
          </w:p>
        </w:tc>
        <w:tc>
          <w:tcPr>
            <w:tcW w:w="1460" w:type="dxa"/>
            <w:vAlign w:val="bottom"/>
            <w:tcBorders>
              <w:bottom w:val="single" w:sz="8" w:color="auto"/>
            </w:tcBorders>
          </w:tcPr>
          <w:p>
            <w:pPr>
              <w:jc w:val="right"/>
              <w:ind w:right="71"/>
              <w:spacing w:after="0"/>
              <w:rPr>
                <w:sz w:val="20"/>
                <w:szCs w:val="20"/>
                <w:color w:val="auto"/>
              </w:rPr>
            </w:pPr>
            <w:r>
              <w:rPr>
                <w:rFonts w:ascii="Arial" w:cs="Arial" w:eastAsia="Arial" w:hAnsi="Arial"/>
                <w:sz w:val="18"/>
                <w:szCs w:val="18"/>
                <w:b w:val="1"/>
                <w:bCs w:val="1"/>
                <w:color w:val="auto"/>
              </w:rPr>
              <w:t>2022</w:t>
            </w:r>
          </w:p>
        </w:tc>
        <w:tc>
          <w:tcPr>
            <w:tcW w:w="740" w:type="dxa"/>
            <w:vAlign w:val="bottom"/>
            <w:tcBorders>
              <w:bottom w:val="single" w:sz="8" w:color="auto"/>
            </w:tcBorders>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1620" w:type="dxa"/>
            <w:vAlign w:val="bottom"/>
            <w:tcBorders>
              <w:bottom w:val="single" w:sz="8" w:color="auto"/>
            </w:tcBorders>
          </w:tcPr>
          <w:p>
            <w:pPr>
              <w:jc w:val="right"/>
              <w:ind w:right="231"/>
              <w:spacing w:after="0"/>
              <w:rPr>
                <w:sz w:val="20"/>
                <w:szCs w:val="20"/>
                <w:color w:val="auto"/>
              </w:rPr>
            </w:pPr>
            <w:r>
              <w:rPr>
                <w:rFonts w:ascii="Arial" w:cs="Arial" w:eastAsia="Arial" w:hAnsi="Arial"/>
                <w:sz w:val="18"/>
                <w:szCs w:val="18"/>
                <w:b w:val="1"/>
                <w:bCs w:val="1"/>
                <w:color w:val="auto"/>
              </w:rPr>
              <w:t>2021</w:t>
            </w:r>
          </w:p>
        </w:tc>
        <w:tc>
          <w:tcPr>
            <w:tcW w:w="580" w:type="dxa"/>
            <w:vAlign w:val="bottom"/>
            <w:tcBorders>
              <w:bottom w:val="single" w:sz="8" w:color="auto"/>
            </w:tcBorders>
          </w:tcPr>
          <w:p>
            <w:pPr>
              <w:spacing w:after="0"/>
              <w:rPr>
                <w:sz w:val="19"/>
                <w:szCs w:val="19"/>
                <w:color w:val="auto"/>
              </w:rPr>
            </w:pPr>
          </w:p>
        </w:tc>
      </w:tr>
      <w:tr>
        <w:trPr>
          <w:trHeight w:val="220"/>
        </w:trPr>
        <w:tc>
          <w:tcPr>
            <w:tcW w:w="6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provided by (used in) operating activities</w:t>
            </w:r>
          </w:p>
        </w:tc>
        <w:tc>
          <w:tcPr>
            <w:tcW w:w="1460" w:type="dxa"/>
            <w:vAlign w:val="bottom"/>
            <w:shd w:val="clear" w:color="auto" w:fill="CCEEFF"/>
          </w:tcPr>
          <w:p>
            <w:pPr>
              <w:jc w:val="right"/>
              <w:ind w:right="1251"/>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(72.0)</w:t>
            </w:r>
          </w:p>
        </w:tc>
        <w:tc>
          <w:tcPr>
            <w:tcW w:w="140" w:type="dxa"/>
            <w:vAlign w:val="bottom"/>
            <w:shd w:val="clear" w:color="auto" w:fill="CCEEFF"/>
          </w:tcPr>
          <w:p>
            <w:pPr>
              <w:spacing w:after="0"/>
              <w:rPr>
                <w:sz w:val="19"/>
                <w:szCs w:val="19"/>
                <w:color w:val="auto"/>
              </w:rPr>
            </w:pPr>
          </w:p>
        </w:tc>
        <w:tc>
          <w:tcPr>
            <w:tcW w:w="1620" w:type="dxa"/>
            <w:vAlign w:val="bottom"/>
            <w:shd w:val="clear" w:color="auto" w:fill="CCEEFF"/>
          </w:tcPr>
          <w:p>
            <w:pPr>
              <w:jc w:val="right"/>
              <w:ind w:right="1411"/>
              <w:spacing w:after="0"/>
              <w:rPr>
                <w:sz w:val="20"/>
                <w:szCs w:val="20"/>
                <w:color w:val="auto"/>
              </w:rPr>
            </w:pPr>
            <w:r>
              <w:rPr>
                <w:rFonts w:ascii="Arial" w:cs="Arial" w:eastAsia="Arial" w:hAnsi="Arial"/>
                <w:sz w:val="18"/>
                <w:szCs w:val="18"/>
                <w:color w:val="auto"/>
                <w:w w:val="9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103.4</w:t>
            </w:r>
          </w:p>
        </w:tc>
      </w:tr>
      <w:tr>
        <w:trPr>
          <w:trHeight w:val="226"/>
        </w:trPr>
        <w:tc>
          <w:tcPr>
            <w:tcW w:w="6700" w:type="dxa"/>
            <w:vAlign w:val="bottom"/>
          </w:tcPr>
          <w:p>
            <w:pPr>
              <w:ind w:left="20"/>
              <w:spacing w:after="0"/>
              <w:rPr>
                <w:sz w:val="20"/>
                <w:szCs w:val="20"/>
                <w:color w:val="auto"/>
              </w:rPr>
            </w:pPr>
            <w:r>
              <w:rPr>
                <w:rFonts w:ascii="Arial" w:cs="Arial" w:eastAsia="Arial" w:hAnsi="Arial"/>
                <w:sz w:val="18"/>
                <w:szCs w:val="18"/>
                <w:color w:val="auto"/>
              </w:rPr>
              <w:t>Net cash provided by (used in) investing activities</w:t>
            </w:r>
          </w:p>
        </w:tc>
        <w:tc>
          <w:tcPr>
            <w:tcW w:w="14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(657.3)</w:t>
            </w:r>
          </w:p>
        </w:tc>
        <w:tc>
          <w:tcPr>
            <w:tcW w:w="14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(2.7)</w:t>
            </w:r>
          </w:p>
        </w:tc>
      </w:tr>
      <w:tr>
        <w:trPr>
          <w:trHeight w:val="228"/>
        </w:trPr>
        <w:tc>
          <w:tcPr>
            <w:tcW w:w="67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cash provided by (used in) financing activities</w:t>
            </w:r>
          </w:p>
        </w:tc>
        <w:tc>
          <w:tcPr>
            <w:tcW w:w="146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343.7</w:t>
            </w:r>
          </w:p>
        </w:tc>
        <w:tc>
          <w:tcPr>
            <w:tcW w:w="140" w:type="dxa"/>
            <w:vAlign w:val="bottom"/>
            <w:shd w:val="clear" w:color="auto" w:fill="CCEEFF"/>
          </w:tcPr>
          <w:p>
            <w:pPr>
              <w:spacing w:after="0"/>
              <w:rPr>
                <w:sz w:val="19"/>
                <w:szCs w:val="19"/>
                <w:color w:val="auto"/>
              </w:rPr>
            </w:pPr>
          </w:p>
        </w:tc>
        <w:tc>
          <w:tcPr>
            <w:tcW w:w="162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w:t>
            </w:r>
          </w:p>
        </w:tc>
      </w:tr>
    </w:tbl>
    <w:p>
      <w:pPr>
        <w:spacing w:after="0" w:line="181" w:lineRule="exact"/>
        <w:rPr>
          <w:sz w:val="20"/>
          <w:szCs w:val="20"/>
          <w:color w:val="auto"/>
        </w:rPr>
      </w:pPr>
    </w:p>
    <w:p>
      <w:pPr>
        <w:jc w:val="both"/>
        <w:spacing w:after="0" w:line="256" w:lineRule="auto"/>
        <w:rPr>
          <w:sz w:val="20"/>
          <w:szCs w:val="20"/>
          <w:color w:val="auto"/>
        </w:rPr>
      </w:pPr>
      <w:r>
        <w:rPr>
          <w:rFonts w:ascii="Arial" w:cs="Arial" w:eastAsia="Arial" w:hAnsi="Arial"/>
          <w:sz w:val="18"/>
          <w:szCs w:val="18"/>
          <w:i w:val="1"/>
          <w:iCs w:val="1"/>
          <w:color w:val="auto"/>
        </w:rPr>
        <w:t xml:space="preserve">Operating Activities. </w:t>
      </w:r>
      <w:r>
        <w:rPr>
          <w:rFonts w:ascii="Arial" w:cs="Arial" w:eastAsia="Arial" w:hAnsi="Arial"/>
          <w:sz w:val="18"/>
          <w:szCs w:val="18"/>
          <w:color w:val="auto"/>
        </w:rPr>
        <w:t>For the three months ended March 31, 2022, net cash used in operating activities was $72.0 million, compared to $103.4</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net cash provided during the three months ended March 31, 2021. The $175.4 million decrease in operating cash flows was principally attributable to a $161.6 million increase in working capital driven by higher fuel prices and increased volumes during the three months ended March 31, 2022.</w:t>
      </w:r>
    </w:p>
    <w:p>
      <w:pPr>
        <w:spacing w:after="0" w:line="7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i w:val="1"/>
          <w:iCs w:val="1"/>
          <w:color w:val="auto"/>
        </w:rPr>
        <w:t xml:space="preserve">Investing Activities. </w:t>
      </w:r>
      <w:r>
        <w:rPr>
          <w:rFonts w:ascii="Arial" w:cs="Arial" w:eastAsia="Arial" w:hAnsi="Arial"/>
          <w:sz w:val="18"/>
          <w:szCs w:val="18"/>
          <w:color w:val="auto"/>
        </w:rPr>
        <w:t>For the three months ended March 31, 2022, net cash used in investing activities was $657.3 million, compared to net</w:t>
      </w:r>
      <w:r>
        <w:rPr>
          <w:rFonts w:ascii="Arial" w:cs="Arial" w:eastAsia="Arial" w:hAnsi="Arial"/>
          <w:sz w:val="18"/>
          <w:szCs w:val="18"/>
          <w:i w:val="1"/>
          <w:iCs w:val="1"/>
          <w:color w:val="auto"/>
        </w:rPr>
        <w:t xml:space="preserve"> </w:t>
      </w:r>
      <w:r>
        <w:rPr>
          <w:rFonts w:ascii="Arial" w:cs="Arial" w:eastAsia="Arial" w:hAnsi="Arial"/>
          <w:sz w:val="18"/>
          <w:szCs w:val="18"/>
          <w:color w:val="auto"/>
        </w:rPr>
        <w:t>cash used of $2.7 million during the three months ended March 31, 2021. The net cash used in investing activities for the three months ended March 31, 2022 was primarily driven by $639.4 million net cash paid for the acquisition of Flyers, as discussed in Note 3. Acquisitions, and $14.6 million for capital expenditures. Net cash used in investing activities for the three months ended March 31, 2021 was principally due to capital expenditures of $2.0 million.</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5" w:right="339" w:bottom="1440" w:gutter="0" w:footer="0" w:header="0"/>
        </w:sectPr>
      </w:pPr>
    </w:p>
    <w:bookmarkStart w:id="30" w:name="page31"/>
    <w:bookmarkEnd w:id="30"/>
    <w:p>
      <w:pPr>
        <w:jc w:val="both"/>
        <w:spacing w:after="0" w:line="253" w:lineRule="auto"/>
        <w:rPr>
          <w:sz w:val="20"/>
          <w:szCs w:val="20"/>
          <w:color w:val="auto"/>
        </w:rPr>
      </w:pPr>
      <w:r>
        <w:rPr>
          <w:rFonts w:ascii="Arial" w:cs="Arial" w:eastAsia="Arial" w:hAnsi="Arial"/>
          <w:sz w:val="18"/>
          <w:szCs w:val="18"/>
          <w:i w:val="1"/>
          <w:iCs w:val="1"/>
          <w:color w:val="auto"/>
        </w:rPr>
        <w:t xml:space="preserve">Financing Activities. </w:t>
      </w:r>
      <w:r>
        <w:rPr>
          <w:rFonts w:ascii="Arial" w:cs="Arial" w:eastAsia="Arial" w:hAnsi="Arial"/>
          <w:sz w:val="18"/>
          <w:szCs w:val="18"/>
          <w:color w:val="auto"/>
        </w:rPr>
        <w:t>For the three months ended March 31, 2022, net cash provided by financing activities was $343.7 million compared to net</w:t>
      </w:r>
      <w:r>
        <w:rPr>
          <w:rFonts w:ascii="Arial" w:cs="Arial" w:eastAsia="Arial" w:hAnsi="Arial"/>
          <w:sz w:val="18"/>
          <w:szCs w:val="18"/>
          <w:i w:val="1"/>
          <w:iCs w:val="1"/>
          <w:color w:val="auto"/>
        </w:rPr>
        <w:t xml:space="preserve"> </w:t>
      </w:r>
      <w:r>
        <w:rPr>
          <w:rFonts w:ascii="Arial" w:cs="Arial" w:eastAsia="Arial" w:hAnsi="Arial"/>
          <w:sz w:val="18"/>
          <w:szCs w:val="18"/>
          <w:color w:val="auto"/>
        </w:rPr>
        <w:t>cash used of $20.8 million for the three months ended March 31, 2021. The net cash provided by financing activities for the three months ended March 31, 2022 was primarily attributable to a net increase in borrowings from our credit facility of $380.3 million, primarily driven by incremental borrowings related to the acquisition of Flyers, partially offset by $13.7 million in purchases of our common stock and dividend payments of $7.4 million. Net cash used in financing activities for the three months ended March 31, 2021 was primarily driven by dividend payments on our common stock of $6.1 million and repayments of debt under our Credit Facility of $4.5 million.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Estimates</w:t>
      </w:r>
    </w:p>
    <w:p>
      <w:pPr>
        <w:spacing w:after="0" w:line="2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The unaudited Condensed Consolidated Financial Statements are prepared in accordance with accounting principles generally accepted in the United States of America ("U.S. GAAP"). The significant accounting policies used are disclosed in Item 15 - Financial Statement Schedules, Note 1. Basis of Presentation, New Accounting Standards and Significant Accounting Policies to the Consolidated Financial Statements in our 2021 10-K report.</w:t>
      </w:r>
    </w:p>
    <w:p>
      <w:pPr>
        <w:spacing w:after="0" w:line="102" w:lineRule="exact"/>
        <w:rPr>
          <w:sz w:val="20"/>
          <w:szCs w:val="20"/>
          <w:color w:val="auto"/>
        </w:rPr>
      </w:pPr>
    </w:p>
    <w:p>
      <w:pPr>
        <w:jc w:val="both"/>
        <w:spacing w:after="0" w:line="250" w:lineRule="auto"/>
        <w:rPr>
          <w:sz w:val="20"/>
          <w:szCs w:val="20"/>
          <w:color w:val="auto"/>
        </w:rPr>
      </w:pPr>
      <w:r>
        <w:rPr>
          <w:rFonts w:ascii="Arial" w:cs="Arial" w:eastAsia="Arial" w:hAnsi="Arial"/>
          <w:sz w:val="18"/>
          <w:szCs w:val="18"/>
          <w:color w:val="auto"/>
        </w:rPr>
        <w:t>We make estimates and assumptions that affect the reported amounts on our unaudited Condensed Consolidated Financial Statements and accompanying Notes as of the date of the unaudited Condensed Consolidated Financial Statements. There have been no material changes to the Critical Accounting Estimates disclosed in our 2021 10-K report.</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Impairment Assessments of Goodwill, Long-Lived Assets, and Equity Investments</w:t>
      </w:r>
    </w:p>
    <w:p>
      <w:pPr>
        <w:spacing w:after="0" w:line="113"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We assess accounting estimates that require consideration of forecasted financial information. Significant judgment is involved in performing these estimates as they are developed based on forecasted assumptions. As of March 31, 2022, the assumptions used in these assessments, particularly the expected growth rates, the profitability embedded in the projected cash flows provided by our legacy and newly acquired businesses, the discount rate and the market-based multiples, were defined based on available information considering current market volatility and geopolitical risks.</w:t>
      </w:r>
    </w:p>
    <w:p>
      <w:pPr>
        <w:spacing w:after="0" w:line="100"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Based on the assessments performed, and supported by the available information as of March 31, 2022, we concluded that the carrying value of our long-lived assets and equity investments were recoverable and that the fair value of our land and aviation reporting units were not less than their respective carrying values. If our results differ significantly from our assumptions, such impact could potentially result in impairments.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color w:val="auto"/>
        </w:rPr>
        <w:t>There have been no material changes to our exposures to commodity price, interest rate, or foreign currency risk since December 31, 2021.</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Please refer to our 2021 10-K Report for a complete discussion of our exposure to these risks.</w:t>
      </w:r>
    </w:p>
    <w:p>
      <w:pPr>
        <w:spacing w:after="0" w:line="11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For information about our derivative instruments at their respective fair value positions as of March 31, 2022, see Note 5. Derivative Instruments.</w:t>
      </w:r>
    </w:p>
    <w:p>
      <w:pPr>
        <w:spacing w:after="0" w:line="180"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Controls and Procedures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Evaluation of Disclosure Controls and Procedures</w:t>
      </w:r>
    </w:p>
    <w:p>
      <w:pPr>
        <w:spacing w:after="0" w:line="28"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We maintain disclosure controls and procedures that are designed to ensure that information required to be disclosed in the reports that we file or submit under the Exchange Act is recorded, processed, summarized and reported within the time periods specified in the SEC's rules and forms, and that such information is accumulated and communicated to our management, including our Chief Executive Officer ("CEO") and our Chief Financial Officer ("CFO"), as appropriate, to allow timely decisions regarding required financial disclosure.</w:t>
      </w:r>
    </w:p>
    <w:p>
      <w:pPr>
        <w:spacing w:after="0" w:line="102" w:lineRule="exact"/>
        <w:rPr>
          <w:sz w:val="20"/>
          <w:szCs w:val="20"/>
          <w:color w:val="auto"/>
        </w:rPr>
      </w:pPr>
    </w:p>
    <w:p>
      <w:pPr>
        <w:jc w:val="both"/>
        <w:spacing w:after="0" w:line="249" w:lineRule="auto"/>
        <w:rPr>
          <w:sz w:val="20"/>
          <w:szCs w:val="20"/>
          <w:color w:val="auto"/>
        </w:rPr>
      </w:pPr>
      <w:r>
        <w:rPr>
          <w:rFonts w:ascii="Arial" w:cs="Arial" w:eastAsia="Arial" w:hAnsi="Arial"/>
          <w:sz w:val="18"/>
          <w:szCs w:val="18"/>
          <w:color w:val="auto"/>
        </w:rPr>
        <w:t>As of the end of the period covered by this 10-Q Report, we evaluated, under the supervision and with the participation of our CEO and CFO, the effectiveness of the design and operation of our disclosure controls and procedures pursuant to Exchange Act Rule 13a-15(e). Based upon this evaluation, the CEO and CFO concluded that our disclosure controls and procedures were effective at a reasonable assurance level as of March 31, 2022.</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8" w:lineRule="exact"/>
        <w:rPr>
          <w:sz w:val="20"/>
          <w:szCs w:val="20"/>
          <w:color w:val="auto"/>
        </w:rPr>
      </w:pPr>
    </w:p>
    <w:p>
      <w:pPr>
        <w:jc w:val="both"/>
        <w:ind w:right="20"/>
        <w:spacing w:after="0" w:line="254" w:lineRule="auto"/>
        <w:rPr>
          <w:sz w:val="20"/>
          <w:szCs w:val="20"/>
          <w:color w:val="auto"/>
        </w:rPr>
      </w:pPr>
      <w:r>
        <w:rPr>
          <w:rFonts w:ascii="Arial" w:cs="Arial" w:eastAsia="Arial" w:hAnsi="Arial"/>
          <w:sz w:val="18"/>
          <w:szCs w:val="18"/>
          <w:color w:val="auto"/>
        </w:rPr>
        <w:t>There were no changes in our internal control over financial reporting that materially affected, or are reasonably likely to materially affect, our internal control over financial reporting during the three months ended March 31, 2022.</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095" w:right="339" w:bottom="1440" w:gutter="0" w:footer="0" w:header="0"/>
        </w:sectPr>
      </w:pPr>
    </w:p>
    <w:bookmarkStart w:id="31" w:name="page32"/>
    <w:bookmarkEnd w:id="31"/>
    <w:p>
      <w:pPr>
        <w:jc w:val="both"/>
        <w:spacing w:after="0" w:line="249" w:lineRule="auto"/>
        <w:rPr>
          <w:sz w:val="20"/>
          <w:szCs w:val="20"/>
          <w:color w:val="auto"/>
        </w:rPr>
      </w:pPr>
      <w:r>
        <w:rPr>
          <w:rFonts w:ascii="Arial" w:cs="Arial" w:eastAsia="Arial" w:hAnsi="Arial"/>
          <w:sz w:val="18"/>
          <w:szCs w:val="18"/>
          <w:color w:val="auto"/>
        </w:rPr>
        <w:t>It should be noted that any system of controls, however well designed and operated, can provide only reasonable, and not absolute, assurance that the objectives of the system will be met. In addition, the design of any control system is based in part upon certain assumptions about the likelihood of future events. Because of these and other inherent limitations of control systems, there is only the reasonable assurance that our controls will succeed in achieving their goals under all potential future conditions.</w:t>
      </w: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113" w:right="339" w:bottom="1440" w:gutter="0" w:footer="0" w:header="0"/>
        </w:sectPr>
      </w:pPr>
    </w:p>
    <w:bookmarkStart w:id="32" w:name="page33"/>
    <w:bookmarkEnd w:id="32"/>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II — Other Information</w:t>
      </w:r>
    </w:p>
    <w:p>
      <w:pPr>
        <w:spacing w:after="0" w:line="22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Legal Proceedings</w:t>
      </w:r>
    </w:p>
    <w:p>
      <w:pPr>
        <w:spacing w:after="0" w:line="242"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From time to time, we are under review by the IRS and various other domestic and foreign tax authorities with regards to income tax and indirect tax matters and are involved in various inquiries, audits, challenges and litigation in a number of countries, including, in particular, Brazil, Denmark, South Korea and the U.S. where the amounts under controversy may be material. See Note 10. Income Taxes and Note 13. Commitments and Contingencies within this 10-Q Report as well as Note 9. Commitments and Contingencies and Note 11. Income Taxes within Part IV. Item 15 - Notes to the Consolidated Financial Statements in our 2021 10-K Report for additional details regarding certain tax matters.</w:t>
      </w:r>
    </w:p>
    <w:p>
      <w:pPr>
        <w:spacing w:after="0" w:line="104" w:lineRule="exact"/>
        <w:rPr>
          <w:sz w:val="20"/>
          <w:szCs w:val="20"/>
          <w:color w:val="auto"/>
        </w:rPr>
      </w:pPr>
    </w:p>
    <w:p>
      <w:pPr>
        <w:jc w:val="both"/>
        <w:spacing w:after="0" w:line="248" w:lineRule="auto"/>
        <w:rPr>
          <w:sz w:val="20"/>
          <w:szCs w:val="20"/>
          <w:color w:val="auto"/>
        </w:rPr>
      </w:pPr>
      <w:r>
        <w:rPr>
          <w:rFonts w:ascii="Arial" w:cs="Arial" w:eastAsia="Arial" w:hAnsi="Arial"/>
          <w:sz w:val="18"/>
          <w:szCs w:val="18"/>
          <w:color w:val="auto"/>
        </w:rPr>
        <w:t>We are also a party to various claims, complaints and proceedings arising in the ordinary course of our business including, but not limited to, environmental claims, commercial and governmental contract claims, such as property damage, demurrage, personal injury, billing and fuel quality claims, as well as bankruptcy preference claims and administrative claims. We are not currently a party to any such claim, complaint or proceeding that we expect to have a material adverse effect on our business or financial condition. However, any adverse resolution of one or more such claims, complaints or proceedings during a particular reporting period could have a material adverse effect on our Consolidated Financial Statements or disclosures for that period. See Note 13. Commitments and Contingencies for additional information.</w:t>
      </w:r>
    </w:p>
    <w:p>
      <w:pPr>
        <w:spacing w:after="0" w:line="189"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Unregistered Sales of Equity Securities and Use of Proceeds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28" w:lineRule="exact"/>
        <w:rPr>
          <w:sz w:val="20"/>
          <w:szCs w:val="20"/>
          <w:color w:val="auto"/>
        </w:rPr>
      </w:pPr>
    </w:p>
    <w:p>
      <w:pPr>
        <w:jc w:val="both"/>
        <w:ind w:right="20"/>
        <w:spacing w:after="0" w:line="254" w:lineRule="auto"/>
        <w:rPr>
          <w:sz w:val="20"/>
          <w:szCs w:val="20"/>
          <w:color w:val="auto"/>
        </w:rPr>
      </w:pPr>
      <w:r>
        <w:rPr>
          <w:rFonts w:ascii="Arial" w:cs="Arial" w:eastAsia="Arial" w:hAnsi="Arial"/>
          <w:sz w:val="18"/>
          <w:szCs w:val="18"/>
          <w:color w:val="auto"/>
        </w:rPr>
        <w:t>The following table presents information with respect to repurchases of common stock made by us during the periods presented (in thousands, except average price paid per share):</w:t>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5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6"/>
              </w:rPr>
              <w:t>Total Number</w:t>
            </w:r>
          </w:p>
        </w:tc>
        <w:tc>
          <w:tcPr>
            <w:tcW w:w="220" w:type="dxa"/>
            <w:vAlign w:val="bottom"/>
          </w:tcPr>
          <w:p>
            <w:pPr>
              <w:spacing w:after="0"/>
              <w:rPr>
                <w:sz w:val="17"/>
                <w:szCs w:val="17"/>
                <w:color w:val="auto"/>
              </w:rPr>
            </w:pPr>
          </w:p>
        </w:tc>
        <w:tc>
          <w:tcPr>
            <w:tcW w:w="2320" w:type="dxa"/>
            <w:vAlign w:val="bottom"/>
          </w:tcPr>
          <w:p>
            <w:pPr>
              <w:jc w:val="center"/>
              <w:ind w:right="151"/>
              <w:spacing w:after="0"/>
              <w:rPr>
                <w:sz w:val="20"/>
                <w:szCs w:val="20"/>
                <w:color w:val="auto"/>
              </w:rPr>
            </w:pPr>
            <w:r>
              <w:rPr>
                <w:rFonts w:ascii="Arial" w:cs="Arial" w:eastAsia="Arial" w:hAnsi="Arial"/>
                <w:sz w:val="18"/>
                <w:szCs w:val="18"/>
                <w:b w:val="1"/>
                <w:bCs w:val="1"/>
                <w:color w:val="auto"/>
                <w:w w:val="98"/>
              </w:rPr>
              <w:t>Approximate Dollar</w:t>
            </w:r>
          </w:p>
        </w:tc>
        <w:tc>
          <w:tcPr>
            <w:tcW w:w="0" w:type="dxa"/>
            <w:vAlign w:val="bottom"/>
          </w:tcPr>
          <w:p>
            <w:pPr>
              <w:spacing w:after="0"/>
              <w:rPr>
                <w:sz w:val="1"/>
                <w:szCs w:val="1"/>
                <w:color w:val="auto"/>
              </w:rPr>
            </w:pPr>
          </w:p>
        </w:tc>
      </w:tr>
      <w:tr>
        <w:trPr>
          <w:trHeight w:val="173"/>
        </w:trPr>
        <w:tc>
          <w:tcPr>
            <w:tcW w:w="2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20" w:type="dxa"/>
            <w:vAlign w:val="bottom"/>
            <w:gridSpan w:val="2"/>
            <w:vMerge w:val="restart"/>
          </w:tcPr>
          <w:p>
            <w:pPr>
              <w:jc w:val="center"/>
              <w:ind w:right="120"/>
              <w:spacing w:after="0"/>
              <w:rPr>
                <w:sz w:val="20"/>
                <w:szCs w:val="20"/>
                <w:color w:val="auto"/>
              </w:rPr>
            </w:pPr>
            <w:r>
              <w:rPr>
                <w:rFonts w:ascii="Arial" w:cs="Arial" w:eastAsia="Arial" w:hAnsi="Arial"/>
                <w:sz w:val="18"/>
                <w:szCs w:val="18"/>
                <w:b w:val="1"/>
                <w:bCs w:val="1"/>
                <w:color w:val="auto"/>
                <w:w w:val="98"/>
              </w:rPr>
              <w:t>Total Number</w:t>
            </w:r>
          </w:p>
        </w:tc>
        <w:tc>
          <w:tcPr>
            <w:tcW w:w="2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540" w:type="dxa"/>
            <w:vAlign w:val="bottom"/>
            <w:gridSpan w:val="2"/>
          </w:tcPr>
          <w:p>
            <w:pPr>
              <w:jc w:val="center"/>
              <w:ind w:right="140"/>
              <w:spacing w:after="0" w:line="174" w:lineRule="exact"/>
              <w:rPr>
                <w:sz w:val="20"/>
                <w:szCs w:val="20"/>
                <w:color w:val="auto"/>
              </w:rPr>
            </w:pPr>
            <w:r>
              <w:rPr>
                <w:rFonts w:ascii="Arial" w:cs="Arial" w:eastAsia="Arial" w:hAnsi="Arial"/>
                <w:sz w:val="18"/>
                <w:szCs w:val="18"/>
                <w:b w:val="1"/>
                <w:bCs w:val="1"/>
                <w:color w:val="auto"/>
                <w:w w:val="98"/>
              </w:rPr>
              <w:t>of Shares Purchased</w:t>
            </w:r>
          </w:p>
        </w:tc>
        <w:tc>
          <w:tcPr>
            <w:tcW w:w="220" w:type="dxa"/>
            <w:vAlign w:val="bottom"/>
          </w:tcPr>
          <w:p>
            <w:pPr>
              <w:spacing w:after="0"/>
              <w:rPr>
                <w:sz w:val="15"/>
                <w:szCs w:val="15"/>
                <w:color w:val="auto"/>
              </w:rPr>
            </w:pPr>
          </w:p>
        </w:tc>
        <w:tc>
          <w:tcPr>
            <w:tcW w:w="2320" w:type="dxa"/>
            <w:vAlign w:val="bottom"/>
          </w:tcPr>
          <w:p>
            <w:pPr>
              <w:jc w:val="center"/>
              <w:ind w:right="131"/>
              <w:spacing w:after="0" w:line="174" w:lineRule="exact"/>
              <w:rPr>
                <w:sz w:val="20"/>
                <w:szCs w:val="20"/>
                <w:color w:val="auto"/>
              </w:rPr>
            </w:pPr>
            <w:r>
              <w:rPr>
                <w:rFonts w:ascii="Arial" w:cs="Arial" w:eastAsia="Arial" w:hAnsi="Arial"/>
                <w:sz w:val="18"/>
                <w:szCs w:val="18"/>
                <w:b w:val="1"/>
                <w:bCs w:val="1"/>
                <w:color w:val="auto"/>
                <w:w w:val="98"/>
              </w:rPr>
              <w:t>Value of Shares that</w:t>
            </w:r>
          </w:p>
        </w:tc>
        <w:tc>
          <w:tcPr>
            <w:tcW w:w="0" w:type="dxa"/>
            <w:vAlign w:val="bottom"/>
          </w:tcPr>
          <w:p>
            <w:pPr>
              <w:spacing w:after="0"/>
              <w:rPr>
                <w:sz w:val="1"/>
                <w:szCs w:val="1"/>
                <w:color w:val="auto"/>
              </w:rPr>
            </w:pPr>
          </w:p>
        </w:tc>
      </w:tr>
      <w:tr>
        <w:trPr>
          <w:trHeight w:val="173"/>
        </w:trPr>
        <w:tc>
          <w:tcPr>
            <w:tcW w:w="22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2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1780" w:type="dxa"/>
            <w:vAlign w:val="bottom"/>
            <w:gridSpan w:val="2"/>
            <w:vMerge w:val="restart"/>
          </w:tcPr>
          <w:p>
            <w:pPr>
              <w:ind w:left="140"/>
              <w:spacing w:after="0"/>
              <w:rPr>
                <w:sz w:val="20"/>
                <w:szCs w:val="20"/>
                <w:color w:val="auto"/>
              </w:rPr>
            </w:pPr>
            <w:r>
              <w:rPr>
                <w:rFonts w:ascii="Arial" w:cs="Arial" w:eastAsia="Arial" w:hAnsi="Arial"/>
                <w:sz w:val="18"/>
                <w:szCs w:val="18"/>
                <w:b w:val="1"/>
                <w:bCs w:val="1"/>
                <w:color w:val="auto"/>
              </w:rPr>
              <w:t>Average Price</w:t>
            </w:r>
          </w:p>
        </w:tc>
        <w:tc>
          <w:tcPr>
            <w:tcW w:w="2540" w:type="dxa"/>
            <w:vAlign w:val="bottom"/>
            <w:gridSpan w:val="2"/>
          </w:tcPr>
          <w:p>
            <w:pPr>
              <w:jc w:val="center"/>
              <w:ind w:right="160"/>
              <w:spacing w:after="0" w:line="174" w:lineRule="exact"/>
              <w:rPr>
                <w:sz w:val="20"/>
                <w:szCs w:val="20"/>
                <w:color w:val="auto"/>
              </w:rPr>
            </w:pPr>
            <w:r>
              <w:rPr>
                <w:rFonts w:ascii="Arial" w:cs="Arial" w:eastAsia="Arial" w:hAnsi="Arial"/>
                <w:sz w:val="18"/>
                <w:szCs w:val="18"/>
                <w:b w:val="1"/>
                <w:bCs w:val="1"/>
                <w:color w:val="auto"/>
                <w:w w:val="98"/>
              </w:rPr>
              <w:t>as Part of Publicly</w:t>
            </w:r>
          </w:p>
        </w:tc>
        <w:tc>
          <w:tcPr>
            <w:tcW w:w="220" w:type="dxa"/>
            <w:vAlign w:val="bottom"/>
          </w:tcPr>
          <w:p>
            <w:pPr>
              <w:spacing w:after="0"/>
              <w:rPr>
                <w:sz w:val="15"/>
                <w:szCs w:val="15"/>
                <w:color w:val="auto"/>
              </w:rPr>
            </w:pPr>
          </w:p>
        </w:tc>
        <w:tc>
          <w:tcPr>
            <w:tcW w:w="2320" w:type="dxa"/>
            <w:vAlign w:val="bottom"/>
          </w:tcPr>
          <w:p>
            <w:pPr>
              <w:jc w:val="center"/>
              <w:ind w:right="131"/>
              <w:spacing w:after="0" w:line="174" w:lineRule="exact"/>
              <w:rPr>
                <w:sz w:val="20"/>
                <w:szCs w:val="20"/>
                <w:color w:val="auto"/>
              </w:rPr>
            </w:pPr>
            <w:r>
              <w:rPr>
                <w:rFonts w:ascii="Arial" w:cs="Arial" w:eastAsia="Arial" w:hAnsi="Arial"/>
                <w:sz w:val="18"/>
                <w:szCs w:val="18"/>
                <w:b w:val="1"/>
                <w:bCs w:val="1"/>
                <w:color w:val="auto"/>
                <w:w w:val="98"/>
              </w:rPr>
              <w:t>May Yet Be Purchased</w:t>
            </w:r>
          </w:p>
        </w:tc>
        <w:tc>
          <w:tcPr>
            <w:tcW w:w="0" w:type="dxa"/>
            <w:vAlign w:val="bottom"/>
          </w:tcPr>
          <w:p>
            <w:pPr>
              <w:spacing w:after="0"/>
              <w:rPr>
                <w:sz w:val="1"/>
                <w:szCs w:val="1"/>
                <w:color w:val="auto"/>
              </w:rPr>
            </w:pPr>
          </w:p>
        </w:tc>
      </w:tr>
      <w:tr>
        <w:trPr>
          <w:trHeight w:val="173"/>
        </w:trPr>
        <w:tc>
          <w:tcPr>
            <w:tcW w:w="224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Period</w:t>
            </w:r>
          </w:p>
        </w:tc>
        <w:tc>
          <w:tcPr>
            <w:tcW w:w="120" w:type="dxa"/>
            <w:vAlign w:val="bottom"/>
            <w:vMerge w:val="restart"/>
          </w:tcPr>
          <w:p>
            <w:pPr>
              <w:spacing w:after="0"/>
              <w:rPr>
                <w:sz w:val="15"/>
                <w:szCs w:val="15"/>
                <w:color w:val="auto"/>
              </w:rPr>
            </w:pPr>
          </w:p>
        </w:tc>
        <w:tc>
          <w:tcPr>
            <w:tcW w:w="1820" w:type="dxa"/>
            <w:vAlign w:val="bottom"/>
            <w:gridSpan w:val="2"/>
          </w:tcPr>
          <w:p>
            <w:pPr>
              <w:jc w:val="center"/>
              <w:ind w:right="120"/>
              <w:spacing w:after="0" w:line="174" w:lineRule="exact"/>
              <w:rPr>
                <w:sz w:val="20"/>
                <w:szCs w:val="20"/>
                <w:color w:val="auto"/>
              </w:rPr>
            </w:pPr>
            <w:r>
              <w:rPr>
                <w:rFonts w:ascii="Arial" w:cs="Arial" w:eastAsia="Arial" w:hAnsi="Arial"/>
                <w:sz w:val="18"/>
                <w:szCs w:val="18"/>
                <w:b w:val="1"/>
                <w:bCs w:val="1"/>
                <w:color w:val="auto"/>
                <w:w w:val="99"/>
              </w:rPr>
              <w:t>of Shares</w:t>
            </w:r>
          </w:p>
        </w:tc>
        <w:tc>
          <w:tcPr>
            <w:tcW w:w="200" w:type="dxa"/>
            <w:vAlign w:val="bottom"/>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540" w:type="dxa"/>
            <w:vAlign w:val="bottom"/>
            <w:gridSpan w:val="2"/>
          </w:tcPr>
          <w:p>
            <w:pPr>
              <w:jc w:val="center"/>
              <w:ind w:right="160"/>
              <w:spacing w:after="0" w:line="174" w:lineRule="exact"/>
              <w:rPr>
                <w:sz w:val="20"/>
                <w:szCs w:val="20"/>
                <w:color w:val="auto"/>
              </w:rPr>
            </w:pPr>
            <w:r>
              <w:rPr>
                <w:rFonts w:ascii="Arial" w:cs="Arial" w:eastAsia="Arial" w:hAnsi="Arial"/>
                <w:sz w:val="18"/>
                <w:szCs w:val="18"/>
                <w:b w:val="1"/>
                <w:bCs w:val="1"/>
                <w:color w:val="auto"/>
                <w:w w:val="98"/>
              </w:rPr>
              <w:t>Announced Plans</w:t>
            </w:r>
          </w:p>
        </w:tc>
        <w:tc>
          <w:tcPr>
            <w:tcW w:w="220" w:type="dxa"/>
            <w:vAlign w:val="bottom"/>
          </w:tcPr>
          <w:p>
            <w:pPr>
              <w:spacing w:after="0"/>
              <w:rPr>
                <w:sz w:val="15"/>
                <w:szCs w:val="15"/>
                <w:color w:val="auto"/>
              </w:rPr>
            </w:pPr>
          </w:p>
        </w:tc>
        <w:tc>
          <w:tcPr>
            <w:tcW w:w="2320" w:type="dxa"/>
            <w:vAlign w:val="bottom"/>
          </w:tcPr>
          <w:p>
            <w:pPr>
              <w:jc w:val="center"/>
              <w:ind w:right="131"/>
              <w:spacing w:after="0" w:line="174" w:lineRule="exact"/>
              <w:rPr>
                <w:sz w:val="20"/>
                <w:szCs w:val="20"/>
                <w:color w:val="auto"/>
              </w:rPr>
            </w:pPr>
            <w:r>
              <w:rPr>
                <w:rFonts w:ascii="Arial" w:cs="Arial" w:eastAsia="Arial" w:hAnsi="Arial"/>
                <w:sz w:val="18"/>
                <w:szCs w:val="18"/>
                <w:b w:val="1"/>
                <w:bCs w:val="1"/>
                <w:color w:val="auto"/>
                <w:w w:val="98"/>
              </w:rPr>
              <w:t>Under the Plans or</w:t>
            </w:r>
          </w:p>
        </w:tc>
        <w:tc>
          <w:tcPr>
            <w:tcW w:w="0" w:type="dxa"/>
            <w:vAlign w:val="bottom"/>
          </w:tcPr>
          <w:p>
            <w:pPr>
              <w:spacing w:after="0"/>
              <w:rPr>
                <w:sz w:val="1"/>
                <w:szCs w:val="1"/>
                <w:color w:val="auto"/>
              </w:rPr>
            </w:pPr>
          </w:p>
        </w:tc>
      </w:tr>
      <w:tr>
        <w:trPr>
          <w:trHeight w:val="227"/>
        </w:trPr>
        <w:tc>
          <w:tcPr>
            <w:tcW w:w="224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vMerge w:val="continue"/>
          </w:tcPr>
          <w:p>
            <w:pPr>
              <w:spacing w:after="0"/>
              <w:rPr>
                <w:sz w:val="19"/>
                <w:szCs w:val="19"/>
                <w:color w:val="auto"/>
              </w:rPr>
            </w:pPr>
          </w:p>
        </w:tc>
        <w:tc>
          <w:tcPr>
            <w:tcW w:w="1680" w:type="dxa"/>
            <w:vAlign w:val="bottom"/>
            <w:tcBorders>
              <w:bottom w:val="single" w:sz="8" w:color="auto"/>
            </w:tcBorders>
          </w:tcPr>
          <w:p>
            <w:pPr>
              <w:jc w:val="center"/>
              <w:spacing w:after="0" w:line="226" w:lineRule="exact"/>
              <w:rPr>
                <w:sz w:val="20"/>
                <w:szCs w:val="20"/>
                <w:color w:val="auto"/>
              </w:rPr>
            </w:pPr>
            <w:r>
              <w:rPr>
                <w:rFonts w:ascii="Arial" w:cs="Arial" w:eastAsia="Arial" w:hAnsi="Arial"/>
                <w:sz w:val="18"/>
                <w:szCs w:val="18"/>
                <w:b w:val="1"/>
                <w:bCs w:val="1"/>
                <w:color w:val="auto"/>
                <w:w w:val="94"/>
              </w:rPr>
              <w:t xml:space="preserve">Purchased </w:t>
            </w:r>
            <w:r>
              <w:rPr>
                <w:rFonts w:ascii="Arial" w:cs="Arial" w:eastAsia="Arial" w:hAnsi="Arial"/>
                <w:sz w:val="23"/>
                <w:szCs w:val="23"/>
                <w:b w:val="1"/>
                <w:bCs w:val="1"/>
                <w:color w:val="auto"/>
                <w:w w:val="94"/>
                <w:vertAlign w:val="superscript"/>
              </w:rPr>
              <w:t>(1)</w:t>
            </w:r>
          </w:p>
        </w:tc>
        <w:tc>
          <w:tcPr>
            <w:tcW w:w="1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ind w:right="191"/>
              <w:spacing w:after="0"/>
              <w:rPr>
                <w:sz w:val="20"/>
                <w:szCs w:val="20"/>
                <w:color w:val="auto"/>
              </w:rPr>
            </w:pPr>
            <w:r>
              <w:rPr>
                <w:rFonts w:ascii="Arial" w:cs="Arial" w:eastAsia="Arial" w:hAnsi="Arial"/>
                <w:sz w:val="18"/>
                <w:szCs w:val="18"/>
                <w:b w:val="1"/>
                <w:bCs w:val="1"/>
                <w:color w:val="auto"/>
              </w:rPr>
              <w:t>Paid Per Share</w:t>
            </w:r>
          </w:p>
        </w:tc>
        <w:tc>
          <w:tcPr>
            <w:tcW w:w="140" w:type="dxa"/>
            <w:vAlign w:val="bottom"/>
            <w:tcBorders>
              <w:bottom w:val="single" w:sz="8" w:color="CCEEFF"/>
            </w:tcBorders>
          </w:tcPr>
          <w:p>
            <w:pPr>
              <w:spacing w:after="0"/>
              <w:rPr>
                <w:sz w:val="19"/>
                <w:szCs w:val="19"/>
                <w:color w:val="auto"/>
              </w:rPr>
            </w:pPr>
          </w:p>
        </w:tc>
        <w:tc>
          <w:tcPr>
            <w:tcW w:w="24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8"/>
              </w:rPr>
              <w:t>or Programs</w:t>
            </w:r>
          </w:p>
        </w:tc>
        <w:tc>
          <w:tcPr>
            <w:tcW w:w="14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jc w:val="center"/>
              <w:ind w:right="131"/>
              <w:spacing w:after="0" w:line="226" w:lineRule="exact"/>
              <w:rPr>
                <w:sz w:val="20"/>
                <w:szCs w:val="20"/>
                <w:color w:val="auto"/>
              </w:rPr>
            </w:pPr>
            <w:r>
              <w:rPr>
                <w:rFonts w:ascii="Arial" w:cs="Arial" w:eastAsia="Arial" w:hAnsi="Arial"/>
                <w:sz w:val="18"/>
                <w:szCs w:val="18"/>
                <w:b w:val="1"/>
                <w:bCs w:val="1"/>
                <w:color w:val="auto"/>
                <w:w w:val="94"/>
              </w:rPr>
              <w:t xml:space="preserve">Programs </w:t>
            </w:r>
            <w:r>
              <w:rPr>
                <w:rFonts w:ascii="Arial" w:cs="Arial" w:eastAsia="Arial" w:hAnsi="Arial"/>
                <w:sz w:val="23"/>
                <w:szCs w:val="23"/>
                <w:b w:val="1"/>
                <w:bCs w:val="1"/>
                <w:color w:val="auto"/>
                <w:w w:val="94"/>
                <w:vertAlign w:val="superscript"/>
              </w:rPr>
              <w:t>(2)</w:t>
            </w:r>
          </w:p>
        </w:tc>
        <w:tc>
          <w:tcPr>
            <w:tcW w:w="0" w:type="dxa"/>
            <w:vAlign w:val="bottom"/>
          </w:tcPr>
          <w:p>
            <w:pPr>
              <w:spacing w:after="0"/>
              <w:rPr>
                <w:sz w:val="1"/>
                <w:szCs w:val="1"/>
                <w:color w:val="auto"/>
              </w:rPr>
            </w:pPr>
          </w:p>
        </w:tc>
      </w:tr>
      <w:tr>
        <w:trPr>
          <w:trHeight w:val="220"/>
        </w:trPr>
        <w:tc>
          <w:tcPr>
            <w:tcW w:w="2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1/1/2022 - 1/31/2022</w:t>
            </w:r>
          </w:p>
        </w:tc>
        <w:tc>
          <w:tcPr>
            <w:tcW w:w="120" w:type="dxa"/>
            <w:vAlign w:val="bottom"/>
            <w:shd w:val="clear" w:color="auto" w:fill="CCEEFF"/>
          </w:tcPr>
          <w:p>
            <w:pPr>
              <w:spacing w:after="0"/>
              <w:rPr>
                <w:sz w:val="19"/>
                <w:szCs w:val="19"/>
                <w:color w:val="auto"/>
              </w:rPr>
            </w:pPr>
          </w:p>
        </w:tc>
        <w:tc>
          <w:tcPr>
            <w:tcW w:w="1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5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w w:val="79"/>
              </w:rPr>
              <w:t>$</w:t>
            </w:r>
          </w:p>
        </w:tc>
        <w:tc>
          <w:tcPr>
            <w:tcW w:w="2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195,767</w:t>
            </w:r>
          </w:p>
        </w:tc>
        <w:tc>
          <w:tcPr>
            <w:tcW w:w="0" w:type="dxa"/>
            <w:vAlign w:val="bottom"/>
          </w:tcPr>
          <w:p>
            <w:pPr>
              <w:spacing w:after="0"/>
              <w:rPr>
                <w:sz w:val="1"/>
                <w:szCs w:val="1"/>
                <w:color w:val="auto"/>
              </w:rPr>
            </w:pPr>
          </w:p>
        </w:tc>
      </w:tr>
      <w:tr>
        <w:trPr>
          <w:trHeight w:val="226"/>
        </w:trPr>
        <w:tc>
          <w:tcPr>
            <w:tcW w:w="2240" w:type="dxa"/>
            <w:vAlign w:val="bottom"/>
          </w:tcPr>
          <w:p>
            <w:pPr>
              <w:ind w:left="20"/>
              <w:spacing w:after="0"/>
              <w:rPr>
                <w:sz w:val="20"/>
                <w:szCs w:val="20"/>
                <w:color w:val="auto"/>
              </w:rPr>
            </w:pPr>
            <w:r>
              <w:rPr>
                <w:rFonts w:ascii="Arial" w:cs="Arial" w:eastAsia="Arial" w:hAnsi="Arial"/>
                <w:sz w:val="18"/>
                <w:szCs w:val="18"/>
                <w:color w:val="auto"/>
              </w:rPr>
              <w:t>2/1/2022 - 2/28/2022</w:t>
            </w:r>
          </w:p>
        </w:tc>
        <w:tc>
          <w:tcPr>
            <w:tcW w:w="120" w:type="dxa"/>
            <w:vAlign w:val="bottom"/>
          </w:tcPr>
          <w:p>
            <w:pPr>
              <w:spacing w:after="0"/>
              <w:rPr>
                <w:sz w:val="19"/>
                <w:szCs w:val="19"/>
                <w:color w:val="auto"/>
              </w:rPr>
            </w:pPr>
          </w:p>
        </w:tc>
        <w:tc>
          <w:tcPr>
            <w:tcW w:w="1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9"/>
                <w:szCs w:val="19"/>
                <w:color w:val="auto"/>
              </w:rPr>
            </w:pPr>
          </w:p>
        </w:tc>
        <w:tc>
          <w:tcPr>
            <w:tcW w:w="17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2320" w:type="dxa"/>
            <w:vAlign w:val="bottom"/>
          </w:tcPr>
          <w:p>
            <w:pPr>
              <w:jc w:val="right"/>
              <w:spacing w:after="0"/>
              <w:rPr>
                <w:sz w:val="20"/>
                <w:szCs w:val="20"/>
                <w:color w:val="auto"/>
              </w:rPr>
            </w:pPr>
            <w:r>
              <w:rPr>
                <w:rFonts w:ascii="Arial" w:cs="Arial" w:eastAsia="Arial" w:hAnsi="Arial"/>
                <w:sz w:val="18"/>
                <w:szCs w:val="18"/>
                <w:color w:val="auto"/>
              </w:rPr>
              <w:t>195,767</w:t>
            </w:r>
          </w:p>
        </w:tc>
        <w:tc>
          <w:tcPr>
            <w:tcW w:w="0" w:type="dxa"/>
            <w:vAlign w:val="bottom"/>
          </w:tcPr>
          <w:p>
            <w:pPr>
              <w:spacing w:after="0"/>
              <w:rPr>
                <w:sz w:val="1"/>
                <w:szCs w:val="1"/>
                <w:color w:val="auto"/>
              </w:rPr>
            </w:pPr>
          </w:p>
        </w:tc>
      </w:tr>
      <w:tr>
        <w:trPr>
          <w:trHeight w:val="227"/>
        </w:trPr>
        <w:tc>
          <w:tcPr>
            <w:tcW w:w="2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3/1/2022 - 3/31/2022</w:t>
            </w:r>
          </w:p>
        </w:tc>
        <w:tc>
          <w:tcPr>
            <w:tcW w:w="120" w:type="dxa"/>
            <w:vAlign w:val="bottom"/>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4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27.41</w:t>
            </w:r>
          </w:p>
        </w:tc>
        <w:tc>
          <w:tcPr>
            <w:tcW w:w="140" w:type="dxa"/>
            <w:vAlign w:val="bottom"/>
            <w:shd w:val="clear" w:color="auto" w:fill="CCEEFF"/>
          </w:tcPr>
          <w:p>
            <w:pPr>
              <w:spacing w:after="0"/>
              <w:rPr>
                <w:sz w:val="19"/>
                <w:szCs w:val="19"/>
                <w:color w:val="auto"/>
              </w:rPr>
            </w:pPr>
          </w:p>
        </w:tc>
        <w:tc>
          <w:tcPr>
            <w:tcW w:w="24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14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2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182,053</w:t>
            </w:r>
          </w:p>
        </w:tc>
        <w:tc>
          <w:tcPr>
            <w:tcW w:w="0" w:type="dxa"/>
            <w:vAlign w:val="bottom"/>
          </w:tcPr>
          <w:p>
            <w:pPr>
              <w:spacing w:after="0"/>
              <w:rPr>
                <w:sz w:val="1"/>
                <w:szCs w:val="1"/>
                <w:color w:val="auto"/>
              </w:rPr>
            </w:pPr>
          </w:p>
        </w:tc>
      </w:tr>
      <w:tr>
        <w:trPr>
          <w:trHeight w:val="221"/>
        </w:trPr>
        <w:tc>
          <w:tcPr>
            <w:tcW w:w="2360" w:type="dxa"/>
            <w:vAlign w:val="bottom"/>
            <w:gridSpan w:val="2"/>
          </w:tcPr>
          <w:p>
            <w:pPr>
              <w:ind w:left="20"/>
              <w:spacing w:after="0"/>
              <w:rPr>
                <w:sz w:val="20"/>
                <w:szCs w:val="20"/>
                <w:color w:val="auto"/>
              </w:rPr>
            </w:pPr>
            <w:r>
              <w:rPr>
                <w:rFonts w:ascii="Arial" w:cs="Arial" w:eastAsia="Arial" w:hAnsi="Arial"/>
                <w:sz w:val="18"/>
                <w:szCs w:val="18"/>
                <w:color w:val="auto"/>
              </w:rPr>
              <w:t>Total</w:t>
            </w: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500</w:t>
            </w:r>
          </w:p>
        </w:tc>
        <w:tc>
          <w:tcPr>
            <w:tcW w:w="140" w:type="dxa"/>
            <w:vAlign w:val="bottom"/>
          </w:tcPr>
          <w:p>
            <w:pPr>
              <w:spacing w:after="0"/>
              <w:rPr>
                <w:sz w:val="19"/>
                <w:szCs w:val="19"/>
                <w:color w:val="auto"/>
              </w:rPr>
            </w:pP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27.41</w:t>
            </w:r>
          </w:p>
        </w:tc>
        <w:tc>
          <w:tcPr>
            <w:tcW w:w="140" w:type="dxa"/>
            <w:vAlign w:val="bottom"/>
          </w:tcPr>
          <w:p>
            <w:pPr>
              <w:spacing w:after="0"/>
              <w:rPr>
                <w:sz w:val="19"/>
                <w:szCs w:val="19"/>
                <w:color w:val="auto"/>
              </w:rPr>
            </w:pPr>
          </w:p>
        </w:tc>
        <w:tc>
          <w:tcPr>
            <w:tcW w:w="24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500</w:t>
            </w:r>
          </w:p>
        </w:tc>
        <w:tc>
          <w:tcPr>
            <w:tcW w:w="140" w:type="dxa"/>
            <w:vAlign w:val="bottom"/>
          </w:tcPr>
          <w:p>
            <w:pPr>
              <w:spacing w:after="0"/>
              <w:rPr>
                <w:sz w:val="19"/>
                <w:szCs w:val="19"/>
                <w:color w:val="auto"/>
              </w:rPr>
            </w:pPr>
          </w:p>
        </w:tc>
        <w:tc>
          <w:tcPr>
            <w:tcW w:w="220" w:type="dxa"/>
            <w:vAlign w:val="bottom"/>
            <w:tcBorders>
              <w:bottom w:val="single" w:sz="8" w:color="auto"/>
            </w:tcBorders>
          </w:tcPr>
          <w:p>
            <w:pPr>
              <w:jc w:val="right"/>
              <w:ind w:right="31"/>
              <w:spacing w:after="0"/>
              <w:rPr>
                <w:sz w:val="20"/>
                <w:szCs w:val="20"/>
                <w:color w:val="auto"/>
              </w:rPr>
            </w:pPr>
            <w:r>
              <w:rPr>
                <w:rFonts w:ascii="Arial" w:cs="Arial" w:eastAsia="Arial" w:hAnsi="Arial"/>
                <w:sz w:val="18"/>
                <w:szCs w:val="18"/>
                <w:color w:val="auto"/>
                <w:w w:val="79"/>
              </w:rPr>
              <w:t>$</w:t>
            </w:r>
          </w:p>
        </w:tc>
        <w:tc>
          <w:tcPr>
            <w:tcW w:w="2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182,053</w:t>
            </w:r>
          </w:p>
        </w:tc>
        <w:tc>
          <w:tcPr>
            <w:tcW w:w="0" w:type="dxa"/>
            <w:vAlign w:val="bottom"/>
          </w:tcPr>
          <w:p>
            <w:pPr>
              <w:spacing w:after="0"/>
              <w:rPr>
                <w:sz w:val="1"/>
                <w:szCs w:val="1"/>
                <w:color w:val="auto"/>
              </w:rPr>
            </w:pPr>
          </w:p>
        </w:tc>
      </w:tr>
      <w:tr>
        <w:trPr>
          <w:trHeight w:val="20"/>
        </w:trPr>
        <w:tc>
          <w:tcPr>
            <w:tcW w:w="2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9" w:lineRule="exact"/>
        <w:rPr>
          <w:sz w:val="20"/>
          <w:szCs w:val="20"/>
          <w:color w:val="auto"/>
        </w:rPr>
      </w:pPr>
    </w:p>
    <w:p>
      <w:pPr>
        <w:jc w:val="both"/>
        <w:ind w:left="320" w:hanging="313"/>
        <w:spacing w:after="0" w:line="226" w:lineRule="auto"/>
        <w:tabs>
          <w:tab w:leader="none" w:pos="365" w:val="left"/>
        </w:tabs>
        <w:numPr>
          <w:ilvl w:val="0"/>
          <w:numId w:val="10"/>
        </w:numPr>
        <w:rPr>
          <w:rFonts w:ascii="Arial" w:cs="Arial" w:eastAsia="Arial" w:hAnsi="Arial"/>
          <w:sz w:val="23"/>
          <w:szCs w:val="23"/>
          <w:color w:val="auto"/>
          <w:vertAlign w:val="superscript"/>
        </w:rPr>
      </w:pPr>
      <w:r>
        <w:rPr>
          <w:rFonts w:ascii="Arial" w:cs="Arial" w:eastAsia="Arial" w:hAnsi="Arial"/>
          <w:sz w:val="18"/>
          <w:szCs w:val="18"/>
          <w:color w:val="auto"/>
        </w:rPr>
        <w:t>These amounts include shares purchased as part of our publicly announced programs and shares owned and tendered by employees to satisfy the required withholding taxes related to share-based payment awards, which are not deducted from shares available to be purchased under publicly announced programs.</w:t>
      </w:r>
    </w:p>
    <w:p>
      <w:pPr>
        <w:spacing w:after="0" w:line="108" w:lineRule="exact"/>
        <w:rPr>
          <w:rFonts w:ascii="Arial" w:cs="Arial" w:eastAsia="Arial" w:hAnsi="Arial"/>
          <w:sz w:val="23"/>
          <w:szCs w:val="23"/>
          <w:color w:val="auto"/>
          <w:vertAlign w:val="superscript"/>
        </w:rPr>
      </w:pPr>
    </w:p>
    <w:p>
      <w:pPr>
        <w:jc w:val="both"/>
        <w:ind w:left="320" w:hanging="313"/>
        <w:spacing w:after="0" w:line="249" w:lineRule="auto"/>
        <w:tabs>
          <w:tab w:leader="none" w:pos="426" w:val="left"/>
        </w:tabs>
        <w:numPr>
          <w:ilvl w:val="0"/>
          <w:numId w:val="10"/>
        </w:numPr>
        <w:rPr>
          <w:rFonts w:ascii="Arial" w:cs="Arial" w:eastAsia="Arial" w:hAnsi="Arial"/>
          <w:sz w:val="22"/>
          <w:szCs w:val="22"/>
          <w:color w:val="auto"/>
          <w:vertAlign w:val="superscript"/>
        </w:rPr>
      </w:pPr>
      <w:r>
        <w:rPr>
          <w:rFonts w:ascii="Arial" w:cs="Arial" w:eastAsia="Arial" w:hAnsi="Arial"/>
          <w:sz w:val="17"/>
          <w:szCs w:val="17"/>
          <w:color w:val="auto"/>
        </w:rPr>
        <w:t>In March 2020, the Board approved a stock repurchase program authorizing $200.0 million in common stock repurchases (the "2020 Repurchase Program"). Our repurchase programs do not require a minimum number of shares of common stock to be purchased, have no expiration date and may be suspended or discontinued at any time. As of March 31, 2022, approximately $182.1 million remains available for purchase under the 2020 Repurchase Program. The timing and amount of shares of common stock to be repurchased under the 2020 Repurchase Program will depend on market conditions, share price, securities law and other legal requirements and factors.</w:t>
      </w: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33" w:name="page34"/>
    <w:bookmarkEnd w:id="33"/>
    <w:p>
      <w:pPr>
        <w:spacing w:after="0"/>
        <w:tabs>
          <w:tab w:leader="none" w:pos="8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7"/>
          <w:szCs w:val="17"/>
          <w:b w:val="1"/>
          <w:bCs w:val="1"/>
          <w:color w:val="auto"/>
        </w:rPr>
        <w:t>Exhibits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color w:val="auto"/>
        </w:rPr>
        <w:t>The exhibits set forth in the following index of exhibits are filed as part of this 10-Q Report:</w:t>
      </w:r>
    </w:p>
    <w:p>
      <w:pPr>
        <w:spacing w:after="0" w:line="131" w:lineRule="exact"/>
        <w:rPr>
          <w:sz w:val="20"/>
          <w:szCs w:val="20"/>
          <w:color w:val="auto"/>
        </w:rPr>
      </w:pPr>
    </w:p>
    <w:p>
      <w:pPr>
        <w:ind w:left="180"/>
        <w:spacing w:after="0"/>
        <w:tabs>
          <w:tab w:leader="none" w:pos="142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7"/>
          <w:szCs w:val="17"/>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18415</wp:posOffset>
            </wp:positionV>
            <wp:extent cx="713422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4225" cy="8255"/>
                    </a:xfrm>
                    <a:prstGeom prst="rect">
                      <a:avLst/>
                    </a:prstGeom>
                    <a:noFill/>
                  </pic:spPr>
                </pic:pic>
              </a:graphicData>
            </a:graphic>
          </wp:anchor>
        </w:drawing>
      </w:r>
    </w:p>
    <w:p>
      <w:pPr>
        <w:spacing w:after="0" w:line="35" w:lineRule="exact"/>
        <w:rPr>
          <w:sz w:val="20"/>
          <w:szCs w:val="20"/>
          <w:color w:val="auto"/>
        </w:rPr>
      </w:pPr>
    </w:p>
    <w:p>
      <w:pPr>
        <w:ind w:left="480"/>
        <w:spacing w:after="0"/>
        <w:tabs>
          <w:tab w:leader="none" w:pos="1420" w:val="left"/>
        </w:tabs>
        <w:rPr>
          <w:rFonts w:ascii="Arial" w:cs="Arial" w:eastAsia="Arial" w:hAnsi="Arial"/>
          <w:sz w:val="18"/>
          <w:szCs w:val="18"/>
          <w:color w:val="0000FF"/>
        </w:rPr>
      </w:pPr>
      <w:hyperlink w:anchor="page36">
        <w:r>
          <w:rPr>
            <w:rFonts w:ascii="Arial" w:cs="Arial" w:eastAsia="Arial" w:hAnsi="Arial"/>
            <w:sz w:val="18"/>
            <w:szCs w:val="18"/>
            <w:u w:val="single" w:color="auto"/>
            <w:color w:val="0000FF"/>
          </w:rPr>
          <w:t>31.1</w:t>
        </w:r>
      </w:hyperlink>
      <w:r>
        <w:rPr>
          <w:rFonts w:ascii="Arial" w:cs="Arial" w:eastAsia="Arial" w:hAnsi="Arial"/>
          <w:sz w:val="18"/>
          <w:szCs w:val="18"/>
          <w:color w:val="0000FF"/>
        </w:rPr>
        <w:tab/>
      </w:r>
      <w:r>
        <w:rPr>
          <w:rFonts w:ascii="Arial" w:cs="Arial" w:eastAsia="Arial" w:hAnsi="Arial"/>
          <w:sz w:val="17"/>
          <w:szCs w:val="17"/>
          <w:color w:val="0000FF"/>
        </w:rPr>
        <w:t>Certification of the Chief Executive Officer pursuant to Rule 13a-14(a) or Rule 15d — 14(a).</w:t>
      </w:r>
    </w:p>
    <w:p>
      <w:pPr>
        <w:spacing w:after="0" w:line="113" w:lineRule="exact"/>
        <w:rPr>
          <w:sz w:val="20"/>
          <w:szCs w:val="20"/>
          <w:color w:val="auto"/>
        </w:rPr>
      </w:pPr>
    </w:p>
    <w:p>
      <w:pPr>
        <w:ind w:left="480"/>
        <w:spacing w:after="0"/>
        <w:tabs>
          <w:tab w:leader="none" w:pos="1420" w:val="left"/>
        </w:tabs>
        <w:rPr>
          <w:rFonts w:ascii="Arial" w:cs="Arial" w:eastAsia="Arial" w:hAnsi="Arial"/>
          <w:sz w:val="18"/>
          <w:szCs w:val="18"/>
          <w:color w:val="0000FF"/>
        </w:rPr>
      </w:pPr>
      <w:hyperlink w:anchor="page37">
        <w:r>
          <w:rPr>
            <w:rFonts w:ascii="Arial" w:cs="Arial" w:eastAsia="Arial" w:hAnsi="Arial"/>
            <w:sz w:val="18"/>
            <w:szCs w:val="18"/>
            <w:u w:val="single" w:color="auto"/>
            <w:color w:val="0000FF"/>
          </w:rPr>
          <w:t>31.2</w:t>
        </w:r>
      </w:hyperlink>
      <w:r>
        <w:rPr>
          <w:rFonts w:ascii="Arial" w:cs="Arial" w:eastAsia="Arial" w:hAnsi="Arial"/>
          <w:sz w:val="18"/>
          <w:szCs w:val="18"/>
          <w:color w:val="0000FF"/>
        </w:rPr>
        <w:tab/>
      </w:r>
      <w:r>
        <w:rPr>
          <w:rFonts w:ascii="Arial" w:cs="Arial" w:eastAsia="Arial" w:hAnsi="Arial"/>
          <w:sz w:val="17"/>
          <w:szCs w:val="17"/>
          <w:color w:val="0000FF"/>
        </w:rPr>
        <w:t>Certification of the Chief Financial Officer pursuant to Rule 13a-14(a) or Rule 15d — 14(a).</w:t>
      </w:r>
    </w:p>
    <w:p>
      <w:pPr>
        <w:spacing w:after="0" w:line="113" w:lineRule="exact"/>
        <w:rPr>
          <w:sz w:val="20"/>
          <w:szCs w:val="20"/>
          <w:color w:val="auto"/>
        </w:rPr>
      </w:pPr>
    </w:p>
    <w:p>
      <w:pPr>
        <w:ind w:left="480"/>
        <w:spacing w:after="0"/>
        <w:tabs>
          <w:tab w:leader="none" w:pos="1420" w:val="left"/>
        </w:tabs>
        <w:rPr>
          <w:rFonts w:ascii="Arial" w:cs="Arial" w:eastAsia="Arial" w:hAnsi="Arial"/>
          <w:sz w:val="18"/>
          <w:szCs w:val="18"/>
          <w:color w:val="0000FF"/>
        </w:rPr>
      </w:pPr>
      <w:hyperlink w:anchor="page38">
        <w:r>
          <w:rPr>
            <w:rFonts w:ascii="Arial" w:cs="Arial" w:eastAsia="Arial" w:hAnsi="Arial"/>
            <w:sz w:val="18"/>
            <w:szCs w:val="18"/>
            <w:u w:val="single" w:color="auto"/>
            <w:color w:val="0000FF"/>
          </w:rPr>
          <w:t>32.1</w:t>
        </w:r>
      </w:hyperlink>
      <w:r>
        <w:rPr>
          <w:rFonts w:ascii="Arial" w:cs="Arial" w:eastAsia="Arial" w:hAnsi="Arial"/>
          <w:sz w:val="18"/>
          <w:szCs w:val="18"/>
          <w:color w:val="0000FF"/>
        </w:rPr>
        <w:tab/>
      </w:r>
      <w:r>
        <w:rPr>
          <w:rFonts w:ascii="Arial" w:cs="Arial" w:eastAsia="Arial" w:hAnsi="Arial"/>
          <w:sz w:val="17"/>
          <w:szCs w:val="17"/>
          <w:color w:val="0000FF"/>
        </w:rPr>
        <w:t>Certification of Chief Executive Officer and Chief Financial Officer under Section 906 of the Sarbanes-Oxley Act of 2002.</w:t>
      </w:r>
    </w:p>
    <w:p>
      <w:pPr>
        <w:spacing w:after="0" w:line="113" w:lineRule="exact"/>
        <w:rPr>
          <w:sz w:val="20"/>
          <w:szCs w:val="20"/>
          <w:color w:val="auto"/>
        </w:rPr>
      </w:pPr>
    </w:p>
    <w:p>
      <w:pPr>
        <w:jc w:val="both"/>
        <w:ind w:left="1440" w:hanging="941"/>
        <w:spacing w:after="0" w:line="210" w:lineRule="auto"/>
        <w:tabs>
          <w:tab w:leader="none" w:pos="14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following materials from World Fuel Services Corporation’s Quarterly Report on Form 10-Q for the quarter ended March 31, 2022, formatted in XBRL (Extensible Business Reporting Language); (i) Condensed Consolidated Balance Sheets, (ii) Condensed Consolidated Statements of Income and Comprehensive Income, (iii) Condensed Consolidated Statements of Shareholders’ Equity, (iv) Condensed Consolidated Statements of Cash Flows, and (v) Notes to the Condensed Consolidated Financial Statements.</w:t>
      </w:r>
    </w:p>
    <w:p>
      <w:pPr>
        <w:spacing w:after="0" w:line="108" w:lineRule="exact"/>
        <w:rPr>
          <w:sz w:val="20"/>
          <w:szCs w:val="20"/>
          <w:color w:val="auto"/>
        </w:rPr>
      </w:pPr>
    </w:p>
    <w:p>
      <w:pPr>
        <w:ind w:left="1440" w:hanging="941"/>
        <w:spacing w:after="0"/>
        <w:tabs>
          <w:tab w:leader="none" w:pos="14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Cover page interactive file (formatted in Inline XBRL and contained in Exhibit 101).</w:t>
      </w:r>
    </w:p>
    <w:p>
      <w:pPr>
        <w:spacing w:after="0" w:line="200" w:lineRule="exact"/>
        <w:rPr>
          <w:rFonts w:ascii="Arial" w:cs="Arial" w:eastAsia="Arial" w:hAnsi="Arial"/>
          <w:sz w:val="18"/>
          <w:szCs w:val="18"/>
          <w:color w:val="auto"/>
        </w:rPr>
      </w:pPr>
    </w:p>
    <w:p>
      <w:pPr>
        <w:spacing w:after="0" w:line="353" w:lineRule="exact"/>
        <w:rPr>
          <w:rFonts w:ascii="Arial" w:cs="Arial" w:eastAsia="Arial" w:hAnsi="Arial"/>
          <w:sz w:val="18"/>
          <w:szCs w:val="18"/>
          <w:color w:val="auto"/>
        </w:rPr>
      </w:pPr>
    </w:p>
    <w:p>
      <w:pPr>
        <w:ind w:left="5520"/>
        <w:spacing w:after="0"/>
        <w:rPr>
          <w:rFonts w:ascii="Arial" w:cs="Arial" w:eastAsia="Arial" w:hAnsi="Arial"/>
          <w:sz w:val="18"/>
          <w:szCs w:val="18"/>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127635</wp:posOffset>
            </wp:positionV>
            <wp:extent cx="715962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9625" cy="42545"/>
                    </a:xfrm>
                    <a:prstGeom prst="rect">
                      <a:avLst/>
                    </a:prstGeom>
                    <a:noFill/>
                  </pic:spPr>
                </pic:pic>
              </a:graphicData>
            </a:graphic>
          </wp:anchor>
        </w:drawing>
      </w:r>
    </w:p>
    <w:p>
      <w:pPr>
        <w:sectPr>
          <w:pgSz w:w="11900" w:h="16838" w:orient="portrait"/>
          <w:cols w:equalWidth="0" w:num="1">
            <w:col w:w="11220"/>
          </w:cols>
          <w:pgMar w:left="320" w:top="1091" w:right="359" w:bottom="1440" w:gutter="0" w:footer="0" w:header="0"/>
        </w:sectPr>
      </w:pPr>
    </w:p>
    <w:bookmarkStart w:id="34" w:name="page35"/>
    <w:bookmarkEnd w:id="34"/>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00" w:lineRule="exact"/>
        <w:rPr>
          <w:sz w:val="20"/>
          <w:szCs w:val="20"/>
          <w:color w:val="auto"/>
        </w:rPr>
      </w:pPr>
    </w:p>
    <w:p>
      <w:pPr>
        <w:spacing w:after="0" w:line="255"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20"/>
        <w:spacing w:after="0"/>
        <w:tabs>
          <w:tab w:leader="none" w:pos="5600" w:val="left"/>
        </w:tabs>
        <w:rPr>
          <w:sz w:val="20"/>
          <w:szCs w:val="20"/>
          <w:color w:val="auto"/>
        </w:rPr>
      </w:pPr>
      <w:r>
        <w:rPr>
          <w:rFonts w:ascii="Arial" w:cs="Arial" w:eastAsia="Arial" w:hAnsi="Arial"/>
          <w:sz w:val="18"/>
          <w:szCs w:val="18"/>
          <w:color w:val="auto"/>
        </w:rPr>
        <w:t>Date: April 29, 2022</w:t>
      </w:r>
      <w:r>
        <w:rPr>
          <w:sz w:val="20"/>
          <w:szCs w:val="20"/>
          <w:color w:val="auto"/>
        </w:rPr>
        <w:tab/>
      </w:r>
      <w:r>
        <w:rPr>
          <w:rFonts w:ascii="Arial" w:cs="Arial" w:eastAsia="Arial" w:hAnsi="Arial"/>
          <w:sz w:val="17"/>
          <w:szCs w:val="17"/>
          <w:color w:val="auto"/>
        </w:rPr>
        <w:t>World Fuel Services Corporation</w:t>
      </w:r>
    </w:p>
    <w:p>
      <w:pPr>
        <w:spacing w:after="0" w:line="200" w:lineRule="exact"/>
        <w:rPr>
          <w:sz w:val="20"/>
          <w:szCs w:val="20"/>
          <w:color w:val="auto"/>
        </w:rPr>
      </w:pPr>
    </w:p>
    <w:p>
      <w:pPr>
        <w:spacing w:after="0" w:line="32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4445</wp:posOffset>
            </wp:positionV>
            <wp:extent cx="355854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558540" cy="8255"/>
                    </a:xfrm>
                    <a:prstGeom prst="rect">
                      <a:avLst/>
                    </a:prstGeom>
                    <a:noFill/>
                  </pic:spPr>
                </pic:pic>
              </a:graphicData>
            </a:graphic>
          </wp:anchor>
        </w:drawing>
      </w:r>
    </w:p>
    <w:p>
      <w:pPr>
        <w:spacing w:after="0" w:line="1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Michael J. Kasbar</w:t>
      </w:r>
    </w:p>
    <w:p>
      <w:pPr>
        <w:spacing w:after="0" w:line="2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Chairman, President and Chief Executive Officer</w:t>
      </w:r>
    </w:p>
    <w:p>
      <w:pPr>
        <w:spacing w:after="0" w:line="200" w:lineRule="exact"/>
        <w:rPr>
          <w:sz w:val="20"/>
          <w:szCs w:val="20"/>
          <w:color w:val="auto"/>
        </w:rPr>
      </w:pPr>
    </w:p>
    <w:p>
      <w:pPr>
        <w:spacing w:after="0" w:line="32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4445</wp:posOffset>
            </wp:positionV>
            <wp:extent cx="355854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558540" cy="8255"/>
                    </a:xfrm>
                    <a:prstGeom prst="rect">
                      <a:avLst/>
                    </a:prstGeom>
                    <a:noFill/>
                  </pic:spPr>
                </pic:pic>
              </a:graphicData>
            </a:graphic>
          </wp:anchor>
        </w:drawing>
      </w:r>
    </w:p>
    <w:p>
      <w:pPr>
        <w:spacing w:after="0" w:line="1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Ira M. Birns</w:t>
      </w:r>
    </w:p>
    <w:p>
      <w:pPr>
        <w:spacing w:after="0" w:line="2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Executive Vice President and Chief Financial Officer</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220"/>
          </w:cols>
          <w:pgMar w:left="320" w:top="1091" w:right="359" w:bottom="1440" w:gutter="0" w:footer="0" w:header="0"/>
        </w:sectPr>
      </w:pPr>
    </w:p>
    <w:bookmarkStart w:id="35" w:name="page36"/>
    <w:bookmarkEnd w:id="35"/>
    <w:p>
      <w:pPr>
        <w:jc w:val="right"/>
        <w:spacing w:after="0"/>
        <w:rPr>
          <w:sz w:val="20"/>
          <w:szCs w:val="20"/>
          <w:color w:val="auto"/>
        </w:rPr>
      </w:pPr>
      <w:r>
        <w:rPr>
          <w:rFonts w:ascii="Arial" w:cs="Arial" w:eastAsia="Arial" w:hAnsi="Arial"/>
          <w:sz w:val="18"/>
          <w:szCs w:val="18"/>
          <w:b w:val="1"/>
          <w:bCs w:val="1"/>
          <w:color w:val="auto"/>
        </w:rPr>
        <w:t>Exhibit 31.1</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Executive Officer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 13a-14(a) or 15d — 14(a)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I, Michael J. Kasbar, certify that:</w:t>
      </w:r>
    </w:p>
    <w:p>
      <w:pPr>
        <w:spacing w:after="0" w:line="180" w:lineRule="exact"/>
        <w:rPr>
          <w:sz w:val="20"/>
          <w:szCs w:val="20"/>
          <w:color w:val="auto"/>
        </w:rPr>
      </w:pPr>
    </w:p>
    <w:p>
      <w:pPr>
        <w:ind w:left="640" w:hanging="313"/>
        <w:spacing w:after="0"/>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World Fuel Services Corporation for the period ended March 31, 2022;</w:t>
      </w:r>
    </w:p>
    <w:p>
      <w:pPr>
        <w:spacing w:after="0" w:line="193" w:lineRule="exact"/>
        <w:rPr>
          <w:rFonts w:ascii="Arial" w:cs="Arial" w:eastAsia="Arial" w:hAnsi="Arial"/>
          <w:sz w:val="18"/>
          <w:szCs w:val="18"/>
          <w:color w:val="auto"/>
        </w:rPr>
      </w:pPr>
    </w:p>
    <w:p>
      <w:pPr>
        <w:jc w:val="both"/>
        <w:ind w:left="640" w:right="240" w:hanging="313"/>
        <w:spacing w:after="0" w:line="258" w:lineRule="auto"/>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6" w:lineRule="exact"/>
        <w:rPr>
          <w:rFonts w:ascii="Arial" w:cs="Arial" w:eastAsia="Arial" w:hAnsi="Arial"/>
          <w:sz w:val="18"/>
          <w:szCs w:val="18"/>
          <w:color w:val="auto"/>
        </w:rPr>
      </w:pPr>
    </w:p>
    <w:p>
      <w:pPr>
        <w:ind w:left="640" w:right="220" w:hanging="313"/>
        <w:spacing w:after="0" w:line="300" w:lineRule="auto"/>
        <w:tabs>
          <w:tab w:leader="none" w:pos="6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1" w:lineRule="exact"/>
        <w:rPr>
          <w:rFonts w:ascii="Arial" w:cs="Arial" w:eastAsia="Arial" w:hAnsi="Arial"/>
          <w:sz w:val="17"/>
          <w:szCs w:val="17"/>
          <w:color w:val="auto"/>
        </w:rPr>
      </w:pPr>
    </w:p>
    <w:p>
      <w:pPr>
        <w:ind w:left="640" w:right="200" w:hanging="313"/>
        <w:spacing w:after="0" w:line="258" w:lineRule="auto"/>
        <w:tabs>
          <w:tab w:leader="none" w:pos="6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15d-15(f)) for the registrant and have:</w:t>
      </w:r>
    </w:p>
    <w:p>
      <w:pPr>
        <w:spacing w:after="0" w:line="159" w:lineRule="exact"/>
        <w:rPr>
          <w:rFonts w:ascii="Arial" w:cs="Arial" w:eastAsia="Arial" w:hAnsi="Arial"/>
          <w:sz w:val="18"/>
          <w:szCs w:val="18"/>
          <w:color w:val="auto"/>
        </w:rPr>
      </w:pPr>
    </w:p>
    <w:p>
      <w:pPr>
        <w:ind w:left="1280" w:right="60" w:hanging="313"/>
        <w:spacing w:after="0" w:line="258" w:lineRule="auto"/>
        <w:tabs>
          <w:tab w:leader="none" w:pos="127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6" w:lineRule="exact"/>
        <w:rPr>
          <w:rFonts w:ascii="Arial" w:cs="Arial" w:eastAsia="Arial" w:hAnsi="Arial"/>
          <w:sz w:val="18"/>
          <w:szCs w:val="18"/>
          <w:color w:val="auto"/>
        </w:rPr>
      </w:pPr>
    </w:p>
    <w:p>
      <w:pPr>
        <w:ind w:left="1280" w:right="180" w:hanging="313"/>
        <w:spacing w:after="0" w:line="258" w:lineRule="auto"/>
        <w:tabs>
          <w:tab w:leader="none" w:pos="12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6" w:lineRule="exact"/>
        <w:rPr>
          <w:rFonts w:ascii="Arial" w:cs="Arial" w:eastAsia="Arial" w:hAnsi="Arial"/>
          <w:sz w:val="18"/>
          <w:szCs w:val="18"/>
          <w:color w:val="auto"/>
        </w:rPr>
      </w:pPr>
    </w:p>
    <w:p>
      <w:pPr>
        <w:jc w:val="both"/>
        <w:ind w:left="1280" w:right="340" w:hanging="313"/>
        <w:spacing w:after="0" w:line="415" w:lineRule="auto"/>
        <w:tabs>
          <w:tab w:leader="none" w:pos="1270" w:val="left"/>
        </w:tabs>
        <w:numPr>
          <w:ilvl w:val="1"/>
          <w:numId w:val="13"/>
        </w:numPr>
        <w:rPr>
          <w:rFonts w:ascii="Arial" w:cs="Arial" w:eastAsia="Arial" w:hAnsi="Arial"/>
          <w:sz w:val="14"/>
          <w:szCs w:val="14"/>
          <w:color w:val="auto"/>
        </w:rPr>
      </w:pPr>
      <w:r>
        <w:rPr>
          <w:rFonts w:ascii="Arial" w:cs="Arial" w:eastAsia="Arial" w:hAnsi="Arial"/>
          <w:sz w:val="14"/>
          <w:szCs w:val="14"/>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4"/>
          <w:szCs w:val="14"/>
          <w:color w:val="auto"/>
        </w:rPr>
      </w:pPr>
    </w:p>
    <w:p>
      <w:pPr>
        <w:ind w:left="1280" w:right="40" w:hanging="313"/>
        <w:spacing w:after="0" w:line="258" w:lineRule="auto"/>
        <w:tabs>
          <w:tab w:leader="none" w:pos="12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46" w:lineRule="exact"/>
        <w:rPr>
          <w:rFonts w:ascii="Arial" w:cs="Arial" w:eastAsia="Arial" w:hAnsi="Arial"/>
          <w:sz w:val="18"/>
          <w:szCs w:val="18"/>
          <w:color w:val="auto"/>
        </w:rPr>
      </w:pPr>
    </w:p>
    <w:p>
      <w:pPr>
        <w:ind w:left="640" w:right="140" w:hanging="313"/>
        <w:spacing w:after="0" w:line="300" w:lineRule="auto"/>
        <w:tabs>
          <w:tab w:leader="none" w:pos="640" w:val="left"/>
        </w:tabs>
        <w:numPr>
          <w:ilvl w:val="0"/>
          <w:numId w:val="13"/>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1" w:lineRule="exact"/>
        <w:rPr>
          <w:rFonts w:ascii="Arial" w:cs="Arial" w:eastAsia="Arial" w:hAnsi="Arial"/>
          <w:sz w:val="17"/>
          <w:szCs w:val="17"/>
          <w:color w:val="auto"/>
        </w:rPr>
      </w:pPr>
    </w:p>
    <w:p>
      <w:pPr>
        <w:ind w:left="1280" w:right="600" w:hanging="313"/>
        <w:spacing w:after="0" w:line="333" w:lineRule="auto"/>
        <w:tabs>
          <w:tab w:leader="none" w:pos="1270" w:val="left"/>
        </w:tabs>
        <w:numPr>
          <w:ilvl w:val="1"/>
          <w:numId w:val="13"/>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3" w:lineRule="exact"/>
        <w:rPr>
          <w:rFonts w:ascii="Arial" w:cs="Arial" w:eastAsia="Arial" w:hAnsi="Arial"/>
          <w:sz w:val="16"/>
          <w:szCs w:val="16"/>
          <w:color w:val="auto"/>
        </w:rPr>
      </w:pPr>
    </w:p>
    <w:p>
      <w:pPr>
        <w:ind w:left="1280" w:right="280" w:hanging="313"/>
        <w:spacing w:after="0" w:line="270" w:lineRule="auto"/>
        <w:tabs>
          <w:tab w:leader="none" w:pos="1280" w:val="left"/>
        </w:tabs>
        <w:numPr>
          <w:ilvl w:val="1"/>
          <w:numId w:val="13"/>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8"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April 29, 2022</w:t>
      </w:r>
    </w:p>
    <w:p>
      <w:pPr>
        <w:spacing w:after="0" w:line="327"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4079875</wp:posOffset>
            </wp:positionH>
            <wp:positionV relativeFrom="paragraph">
              <wp:posOffset>13335</wp:posOffset>
            </wp:positionV>
            <wp:extent cx="304165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041650" cy="8255"/>
                    </a:xfrm>
                    <a:prstGeom prst="rect">
                      <a:avLst/>
                    </a:prstGeom>
                    <a:noFill/>
                  </pic:spPr>
                </pic:pic>
              </a:graphicData>
            </a:graphic>
          </wp:anchor>
        </w:drawing>
      </w:r>
    </w:p>
    <w:p>
      <w:pPr>
        <w:spacing w:after="0" w:line="13"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Michael J. Kasbar</w:t>
      </w:r>
    </w:p>
    <w:p>
      <w:pPr>
        <w:spacing w:after="0" w:line="20" w:lineRule="exact"/>
        <w:rPr>
          <w:sz w:val="20"/>
          <w:szCs w:val="20"/>
          <w:color w:val="auto"/>
        </w:rPr>
      </w:pPr>
    </w:p>
    <w:p>
      <w:pPr>
        <w:ind w:left="6440"/>
        <w:spacing w:after="0"/>
        <w:rPr>
          <w:sz w:val="20"/>
          <w:szCs w:val="20"/>
          <w:color w:val="auto"/>
        </w:rPr>
      </w:pPr>
      <w:r>
        <w:rPr>
          <w:rFonts w:ascii="Arial" w:cs="Arial" w:eastAsia="Arial" w:hAnsi="Arial"/>
          <w:sz w:val="18"/>
          <w:szCs w:val="18"/>
          <w:color w:val="auto"/>
        </w:rPr>
        <w:t>Chairman, President and Chief Executive Officer</w:t>
      </w:r>
    </w:p>
    <w:p>
      <w:pPr>
        <w:sectPr>
          <w:pgSz w:w="11900" w:h="16838" w:orient="portrait"/>
          <w:cols w:equalWidth="0" w:num="1">
            <w:col w:w="11240"/>
          </w:cols>
          <w:pgMar w:left="320" w:top="121" w:right="339" w:bottom="1440" w:gutter="0" w:footer="0" w:header="0"/>
        </w:sectPr>
      </w:pPr>
    </w:p>
    <w:bookmarkStart w:id="36" w:name="page37"/>
    <w:bookmarkEnd w:id="36"/>
    <w:p>
      <w:pPr>
        <w:jc w:val="right"/>
        <w:spacing w:after="0"/>
        <w:rPr>
          <w:sz w:val="20"/>
          <w:szCs w:val="20"/>
          <w:color w:val="auto"/>
        </w:rPr>
      </w:pPr>
      <w:r>
        <w:rPr>
          <w:rFonts w:ascii="Arial" w:cs="Arial" w:eastAsia="Arial" w:hAnsi="Arial"/>
          <w:sz w:val="18"/>
          <w:szCs w:val="18"/>
          <w:b w:val="1"/>
          <w:bCs w:val="1"/>
          <w:color w:val="auto"/>
        </w:rPr>
        <w:t>Exhibit 31.2</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the Chief Financial Officer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Rule 13a-14(a) or 15d — 14(a)</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color w:val="auto"/>
        </w:rPr>
        <w:t>I, Ira M. Birns, certify that:</w:t>
      </w:r>
    </w:p>
    <w:p>
      <w:pPr>
        <w:spacing w:after="0" w:line="180" w:lineRule="exact"/>
        <w:rPr>
          <w:sz w:val="20"/>
          <w:szCs w:val="20"/>
          <w:color w:val="auto"/>
        </w:rPr>
      </w:pPr>
    </w:p>
    <w:p>
      <w:pPr>
        <w:ind w:left="640" w:hanging="313"/>
        <w:spacing w:after="0"/>
        <w:tabs>
          <w:tab w:leader="none" w:pos="6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World Fuel Services Corporation for the period ended March 31, 2022;</w:t>
      </w:r>
    </w:p>
    <w:p>
      <w:pPr>
        <w:spacing w:after="0" w:line="193" w:lineRule="exact"/>
        <w:rPr>
          <w:rFonts w:ascii="Arial" w:cs="Arial" w:eastAsia="Arial" w:hAnsi="Arial"/>
          <w:sz w:val="18"/>
          <w:szCs w:val="18"/>
          <w:color w:val="auto"/>
        </w:rPr>
      </w:pPr>
    </w:p>
    <w:p>
      <w:pPr>
        <w:jc w:val="both"/>
        <w:ind w:left="640" w:right="240" w:hanging="313"/>
        <w:spacing w:after="0" w:line="258" w:lineRule="auto"/>
        <w:tabs>
          <w:tab w:leader="none" w:pos="6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6" w:lineRule="exact"/>
        <w:rPr>
          <w:rFonts w:ascii="Arial" w:cs="Arial" w:eastAsia="Arial" w:hAnsi="Arial"/>
          <w:sz w:val="18"/>
          <w:szCs w:val="18"/>
          <w:color w:val="auto"/>
        </w:rPr>
      </w:pPr>
    </w:p>
    <w:p>
      <w:pPr>
        <w:ind w:left="640" w:right="220" w:hanging="313"/>
        <w:spacing w:after="0" w:line="300" w:lineRule="auto"/>
        <w:tabs>
          <w:tab w:leader="none" w:pos="640" w:val="left"/>
        </w:tabs>
        <w:numPr>
          <w:ilvl w:val="0"/>
          <w:numId w:val="1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1" w:lineRule="exact"/>
        <w:rPr>
          <w:rFonts w:ascii="Arial" w:cs="Arial" w:eastAsia="Arial" w:hAnsi="Arial"/>
          <w:sz w:val="17"/>
          <w:szCs w:val="17"/>
          <w:color w:val="auto"/>
        </w:rPr>
      </w:pPr>
    </w:p>
    <w:p>
      <w:pPr>
        <w:ind w:left="640" w:right="200" w:hanging="313"/>
        <w:spacing w:after="0" w:line="258" w:lineRule="auto"/>
        <w:tabs>
          <w:tab w:leader="none" w:pos="6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 -15(f) and 15d-15(f)) for the registrant and have:</w:t>
      </w:r>
    </w:p>
    <w:p>
      <w:pPr>
        <w:spacing w:after="0" w:line="159" w:lineRule="exact"/>
        <w:rPr>
          <w:rFonts w:ascii="Arial" w:cs="Arial" w:eastAsia="Arial" w:hAnsi="Arial"/>
          <w:sz w:val="18"/>
          <w:szCs w:val="18"/>
          <w:color w:val="auto"/>
        </w:rPr>
      </w:pPr>
    </w:p>
    <w:p>
      <w:pPr>
        <w:ind w:left="1280" w:right="60" w:hanging="313"/>
        <w:spacing w:after="0" w:line="258" w:lineRule="auto"/>
        <w:tabs>
          <w:tab w:leader="none" w:pos="127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6" w:lineRule="exact"/>
        <w:rPr>
          <w:rFonts w:ascii="Arial" w:cs="Arial" w:eastAsia="Arial" w:hAnsi="Arial"/>
          <w:sz w:val="18"/>
          <w:szCs w:val="18"/>
          <w:color w:val="auto"/>
        </w:rPr>
      </w:pPr>
    </w:p>
    <w:p>
      <w:pPr>
        <w:ind w:left="1280" w:right="180" w:hanging="313"/>
        <w:spacing w:after="0" w:line="258" w:lineRule="auto"/>
        <w:tabs>
          <w:tab w:leader="none" w:pos="12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6" w:lineRule="exact"/>
        <w:rPr>
          <w:rFonts w:ascii="Arial" w:cs="Arial" w:eastAsia="Arial" w:hAnsi="Arial"/>
          <w:sz w:val="18"/>
          <w:szCs w:val="18"/>
          <w:color w:val="auto"/>
        </w:rPr>
      </w:pPr>
    </w:p>
    <w:p>
      <w:pPr>
        <w:jc w:val="both"/>
        <w:ind w:left="1280" w:right="340" w:hanging="313"/>
        <w:spacing w:after="0" w:line="415" w:lineRule="auto"/>
        <w:tabs>
          <w:tab w:leader="none" w:pos="1270" w:val="left"/>
        </w:tabs>
        <w:numPr>
          <w:ilvl w:val="1"/>
          <w:numId w:val="14"/>
        </w:numPr>
        <w:rPr>
          <w:rFonts w:ascii="Arial" w:cs="Arial" w:eastAsia="Arial" w:hAnsi="Arial"/>
          <w:sz w:val="14"/>
          <w:szCs w:val="14"/>
          <w:color w:val="auto"/>
        </w:rPr>
      </w:pPr>
      <w:r>
        <w:rPr>
          <w:rFonts w:ascii="Arial" w:cs="Arial" w:eastAsia="Arial" w:hAnsi="Arial"/>
          <w:sz w:val="14"/>
          <w:szCs w:val="14"/>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56" w:lineRule="exact"/>
        <w:rPr>
          <w:rFonts w:ascii="Arial" w:cs="Arial" w:eastAsia="Arial" w:hAnsi="Arial"/>
          <w:sz w:val="14"/>
          <w:szCs w:val="14"/>
          <w:color w:val="auto"/>
        </w:rPr>
      </w:pPr>
    </w:p>
    <w:p>
      <w:pPr>
        <w:ind w:left="1280" w:right="40" w:hanging="313"/>
        <w:spacing w:after="0" w:line="258" w:lineRule="auto"/>
        <w:tabs>
          <w:tab w:leader="none" w:pos="12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46" w:lineRule="exact"/>
        <w:rPr>
          <w:rFonts w:ascii="Arial" w:cs="Arial" w:eastAsia="Arial" w:hAnsi="Arial"/>
          <w:sz w:val="18"/>
          <w:szCs w:val="18"/>
          <w:color w:val="auto"/>
        </w:rPr>
      </w:pPr>
    </w:p>
    <w:p>
      <w:pPr>
        <w:ind w:left="640" w:right="140" w:hanging="313"/>
        <w:spacing w:after="0" w:line="300" w:lineRule="auto"/>
        <w:tabs>
          <w:tab w:leader="none" w:pos="640" w:val="left"/>
        </w:tabs>
        <w:numPr>
          <w:ilvl w:val="0"/>
          <w:numId w:val="14"/>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1" w:lineRule="exact"/>
        <w:rPr>
          <w:rFonts w:ascii="Arial" w:cs="Arial" w:eastAsia="Arial" w:hAnsi="Arial"/>
          <w:sz w:val="17"/>
          <w:szCs w:val="17"/>
          <w:color w:val="auto"/>
        </w:rPr>
      </w:pPr>
    </w:p>
    <w:p>
      <w:pPr>
        <w:ind w:left="1280" w:right="600" w:hanging="313"/>
        <w:spacing w:after="0" w:line="333" w:lineRule="auto"/>
        <w:tabs>
          <w:tab w:leader="none" w:pos="1270" w:val="left"/>
        </w:tabs>
        <w:numPr>
          <w:ilvl w:val="1"/>
          <w:numId w:val="1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3" w:lineRule="exact"/>
        <w:rPr>
          <w:rFonts w:ascii="Arial" w:cs="Arial" w:eastAsia="Arial" w:hAnsi="Arial"/>
          <w:sz w:val="16"/>
          <w:szCs w:val="16"/>
          <w:color w:val="auto"/>
        </w:rPr>
      </w:pPr>
    </w:p>
    <w:p>
      <w:pPr>
        <w:ind w:left="1280" w:right="280" w:hanging="313"/>
        <w:spacing w:after="0" w:line="270" w:lineRule="auto"/>
        <w:tabs>
          <w:tab w:leader="none" w:pos="12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388" w:lineRule="exact"/>
        <w:rPr>
          <w:sz w:val="20"/>
          <w:szCs w:val="20"/>
          <w:color w:val="auto"/>
        </w:rPr>
      </w:pPr>
    </w:p>
    <w:p>
      <w:pPr>
        <w:ind w:left="380"/>
        <w:spacing w:after="0"/>
        <w:rPr>
          <w:sz w:val="20"/>
          <w:szCs w:val="20"/>
          <w:color w:val="auto"/>
        </w:rPr>
      </w:pPr>
      <w:r>
        <w:rPr>
          <w:rFonts w:ascii="Arial" w:cs="Arial" w:eastAsia="Arial" w:hAnsi="Arial"/>
          <w:sz w:val="18"/>
          <w:szCs w:val="18"/>
          <w:color w:val="auto"/>
        </w:rPr>
        <w:t>Date: April 29, 2022</w:t>
      </w:r>
    </w:p>
    <w:p>
      <w:pPr>
        <w:spacing w:after="0" w:line="327"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3579495</wp:posOffset>
            </wp:positionH>
            <wp:positionV relativeFrom="paragraph">
              <wp:posOffset>13335</wp:posOffset>
            </wp:positionV>
            <wp:extent cx="333819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338195" cy="8255"/>
                    </a:xfrm>
                    <a:prstGeom prst="rect">
                      <a:avLst/>
                    </a:prstGeom>
                    <a:noFill/>
                  </pic:spPr>
                </pic:pic>
              </a:graphicData>
            </a:graphic>
          </wp:anchor>
        </w:drawing>
      </w:r>
    </w:p>
    <w:p>
      <w:pPr>
        <w:spacing w:after="0" w:line="13"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Ira M. Birns</w:t>
      </w:r>
    </w:p>
    <w:p>
      <w:pPr>
        <w:spacing w:after="0" w:line="20"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240"/>
          </w:cols>
          <w:pgMar w:left="320" w:top="121" w:right="339" w:bottom="1440" w:gutter="0" w:footer="0" w:header="0"/>
        </w:sectPr>
      </w:pPr>
    </w:p>
    <w:bookmarkStart w:id="37" w:name="page38"/>
    <w:bookmarkEnd w:id="37"/>
    <w:p>
      <w:pPr>
        <w:jc w:val="right"/>
        <w:spacing w:after="0"/>
        <w:rPr>
          <w:sz w:val="20"/>
          <w:szCs w:val="20"/>
          <w:color w:val="auto"/>
        </w:rPr>
      </w:pPr>
      <w:r>
        <w:rPr>
          <w:rFonts w:ascii="Arial" w:cs="Arial" w:eastAsia="Arial" w:hAnsi="Arial"/>
          <w:sz w:val="18"/>
          <w:szCs w:val="18"/>
          <w:b w:val="1"/>
          <w:bCs w:val="1"/>
          <w:color w:val="auto"/>
        </w:rPr>
        <w:t>Exhibit 32.1</w:t>
      </w: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 and Chief Financial Officer</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 Section 906 of the Sarbanes-Oxley Act of 2002</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 1350)</w:t>
      </w:r>
    </w:p>
    <w:p>
      <w:pPr>
        <w:spacing w:after="0" w:line="207" w:lineRule="exact"/>
        <w:rPr>
          <w:sz w:val="20"/>
          <w:szCs w:val="20"/>
          <w:color w:val="auto"/>
        </w:rPr>
      </w:pPr>
    </w:p>
    <w:p>
      <w:pPr>
        <w:jc w:val="both"/>
        <w:ind w:right="80" w:firstLine="175"/>
        <w:spacing w:after="0" w:line="258" w:lineRule="auto"/>
        <w:rPr>
          <w:sz w:val="20"/>
          <w:szCs w:val="20"/>
          <w:color w:val="auto"/>
        </w:rPr>
      </w:pPr>
      <w:r>
        <w:rPr>
          <w:rFonts w:ascii="Arial" w:cs="Arial" w:eastAsia="Arial" w:hAnsi="Arial"/>
          <w:sz w:val="18"/>
          <w:szCs w:val="18"/>
          <w:color w:val="auto"/>
        </w:rPr>
        <w:t>We, Michael J. Kasbar, the Chairman, President and Chief Executive Officer of World Fuel Services Corporation (the “Company”), and Ira M. Birns, the Executive Vice President and Chief Financial Officer of the Company, certify for the purposes of Section 1350 of Chapter 63 of Title 18 of the United States Code that, to the best of our knowledge,</w:t>
      </w:r>
    </w:p>
    <w:p>
      <w:pPr>
        <w:spacing w:after="0" w:line="146" w:lineRule="exact"/>
        <w:rPr>
          <w:sz w:val="20"/>
          <w:szCs w:val="20"/>
          <w:color w:val="auto"/>
        </w:rPr>
      </w:pPr>
    </w:p>
    <w:p>
      <w:pPr>
        <w:ind w:left="640" w:right="300" w:hanging="313"/>
        <w:spacing w:after="0" w:line="270" w:lineRule="auto"/>
        <w:tabs>
          <w:tab w:leader="none" w:pos="627"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Quarterly Report on Form 10-Q of the Company for the period ended March 31, 2022 (the “Report”) fully complies with the requirements of Section 13(a) or 15(d), as applicable, of the Securities Exchange Act of 1934; and</w:t>
      </w:r>
    </w:p>
    <w:p>
      <w:pPr>
        <w:spacing w:after="0" w:line="148" w:lineRule="exact"/>
        <w:rPr>
          <w:rFonts w:ascii="Arial" w:cs="Arial" w:eastAsia="Arial" w:hAnsi="Arial"/>
          <w:sz w:val="18"/>
          <w:szCs w:val="18"/>
          <w:color w:val="auto"/>
        </w:rPr>
      </w:pPr>
    </w:p>
    <w:p>
      <w:pPr>
        <w:ind w:left="640" w:hanging="313"/>
        <w:spacing w:after="0"/>
        <w:tabs>
          <w:tab w:leader="none" w:pos="6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96"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April 29, 2022</w:t>
      </w:r>
    </w:p>
    <w:p>
      <w:pPr>
        <w:spacing w:after="0" w:line="327"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Michael J. Kasbar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13335</wp:posOffset>
            </wp:positionV>
            <wp:extent cx="355854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558540" cy="8255"/>
                    </a:xfrm>
                    <a:prstGeom prst="rect">
                      <a:avLst/>
                    </a:prstGeom>
                    <a:noFill/>
                  </pic:spPr>
                </pic:pic>
              </a:graphicData>
            </a:graphic>
          </wp:anchor>
        </w:drawing>
      </w:r>
    </w:p>
    <w:p>
      <w:pPr>
        <w:spacing w:after="0" w:line="1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Michael J. Kasbar</w:t>
      </w:r>
    </w:p>
    <w:p>
      <w:pPr>
        <w:spacing w:after="0" w:line="2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Chairman, President and Chief Executive Officer</w:t>
      </w:r>
    </w:p>
    <w:p>
      <w:pPr>
        <w:spacing w:after="0" w:line="200" w:lineRule="exact"/>
        <w:rPr>
          <w:sz w:val="20"/>
          <w:szCs w:val="20"/>
          <w:color w:val="auto"/>
        </w:rPr>
      </w:pPr>
    </w:p>
    <w:p>
      <w:pPr>
        <w:spacing w:after="0" w:line="354"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13335</wp:posOffset>
            </wp:positionV>
            <wp:extent cx="355854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558540" cy="8255"/>
                    </a:xfrm>
                    <a:prstGeom prst="rect">
                      <a:avLst/>
                    </a:prstGeom>
                    <a:noFill/>
                  </pic:spPr>
                </pic:pic>
              </a:graphicData>
            </a:graphic>
          </wp:anchor>
        </w:drawing>
      </w:r>
    </w:p>
    <w:p>
      <w:pPr>
        <w:spacing w:after="0" w:line="1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Ira M. Birns</w:t>
      </w:r>
    </w:p>
    <w:p>
      <w:pPr>
        <w:spacing w:after="0" w:line="2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Executive Vice President and Chief Financial Officer</w:t>
      </w:r>
    </w:p>
    <w:p>
      <w:pPr>
        <w:spacing w:after="0" w:line="200" w:lineRule="exact"/>
        <w:rPr>
          <w:sz w:val="20"/>
          <w:szCs w:val="20"/>
          <w:color w:val="auto"/>
        </w:rPr>
      </w:pPr>
    </w:p>
    <w:p>
      <w:pPr>
        <w:spacing w:after="0" w:line="340" w:lineRule="exact"/>
        <w:rPr>
          <w:sz w:val="20"/>
          <w:szCs w:val="20"/>
          <w:color w:val="auto"/>
        </w:rPr>
      </w:pPr>
    </w:p>
    <w:p>
      <w:pPr>
        <w:jc w:val="both"/>
        <w:ind w:right="180"/>
        <w:spacing w:after="0" w:line="255" w:lineRule="auto"/>
        <w:rPr>
          <w:sz w:val="20"/>
          <w:szCs w:val="20"/>
          <w:color w:val="auto"/>
        </w:rPr>
      </w:pPr>
      <w:r>
        <w:rPr>
          <w:rFonts w:ascii="Arial" w:cs="Arial" w:eastAsia="Arial" w:hAnsi="Arial"/>
          <w:sz w:val="18"/>
          <w:szCs w:val="18"/>
          <w:color w:val="auto"/>
        </w:rPr>
        <w:t>The foregoing certification is being furnished as an exhibit to the Report pursuant to Item 601(b)(32) of Regulation S-K and Section 906 of the Sarbanes-Oxley Act of 2002 and, accordingly, is not being filed with the Securities and Exchange Commission as part of the Report and is not to be incorporated by reference into any filing of the Company under the Securities Act of 1933 or the Securities Exchange Act of 1934 (whether made before or after the date of the Report,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106045</wp:posOffset>
            </wp:positionH>
            <wp:positionV relativeFrom="paragraph">
              <wp:posOffset>187325</wp:posOffset>
            </wp:positionV>
            <wp:extent cx="693039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930390" cy="17145"/>
                    </a:xfrm>
                    <a:prstGeom prst="rect">
                      <a:avLst/>
                    </a:prstGeom>
                    <a:noFill/>
                  </pic:spPr>
                </pic:pic>
              </a:graphicData>
            </a:graphic>
          </wp:anchor>
        </w:drawing>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545E146"/>
    <w:multiLevelType w:val="hybridMultilevel"/>
    <w:lvl w:ilvl="0">
      <w:lvlJc w:val="left"/>
      <w:lvlText w:val="☒"/>
      <w:numFmt w:val="bullet"/>
      <w:start w:val="1"/>
    </w:lvl>
  </w:abstractNum>
  <w:abstractNum w:abstractNumId="1">
    <w:nsid w:val="515F007C"/>
    <w:multiLevelType w:val="hybridMultilevel"/>
    <w:lvl w:ilvl="0">
      <w:lvlJc w:val="left"/>
      <w:lvlText w:val="☐"/>
      <w:numFmt w:val="bullet"/>
      <w:start w:val="1"/>
    </w:lvl>
  </w:abstractNum>
  <w:abstractNum w:abstractNumId="2">
    <w:nsid w:val="5BD062C2"/>
    <w:multiLevelType w:val="hybridMultilevel"/>
    <w:lvl w:ilvl="0">
      <w:lvlJc w:val="left"/>
      <w:lvlText w:val="☑"/>
      <w:numFmt w:val="bullet"/>
      <w:start w:val="1"/>
    </w:lvl>
  </w:abstractNum>
  <w:abstractNum w:abstractNumId="3">
    <w:nsid w:val="12200854"/>
    <w:multiLevelType w:val="hybridMultilevel"/>
    <w:lvl w:ilvl="0">
      <w:lvlJc w:val="left"/>
      <w:lvlText w:val="(%1)"/>
      <w:numFmt w:val="decimal"/>
      <w:start w:val="1"/>
    </w:lvl>
  </w:abstractNum>
  <w:abstractNum w:abstractNumId="4">
    <w:nsid w:val="4DB127F8"/>
    <w:multiLevelType w:val="hybridMultilevel"/>
    <w:lvl w:ilvl="0">
      <w:lvlJc w:val="left"/>
      <w:lvlText w:val="(%1)"/>
      <w:numFmt w:val="lowerRoman"/>
      <w:start w:val="2"/>
    </w:lvl>
  </w:abstractNum>
  <w:abstractNum w:abstractNumId="5">
    <w:nsid w:val="216231B"/>
    <w:multiLevelType w:val="hybridMultilevel"/>
    <w:lvl w:ilvl="0">
      <w:lvlJc w:val="left"/>
      <w:lvlText w:val="(%1)"/>
      <w:numFmt w:val="decimal"/>
      <w:start w:val="1"/>
    </w:lvl>
  </w:abstractNum>
  <w:abstractNum w:abstractNumId="6">
    <w:nsid w:val="1F16E9E8"/>
    <w:multiLevelType w:val="hybridMultilevel"/>
    <w:lvl w:ilvl="0">
      <w:lvlJc w:val="left"/>
      <w:lvlText w:val="(%1)"/>
      <w:numFmt w:val="decimal"/>
      <w:start w:val="1"/>
    </w:lvl>
  </w:abstractNum>
  <w:abstractNum w:abstractNumId="7">
    <w:nsid w:val="1190CDE7"/>
    <w:multiLevelType w:val="hybridMultilevel"/>
    <w:lvl w:ilvl="0">
      <w:lvlJc w:val="left"/>
      <w:lvlText w:val="•"/>
      <w:numFmt w:val="bullet"/>
      <w:start w:val="1"/>
    </w:lvl>
  </w:abstractNum>
  <w:abstractNum w:abstractNumId="8">
    <w:nsid w:val="66EF438D"/>
    <w:multiLevelType w:val="hybridMultilevel"/>
    <w:lvl w:ilvl="0">
      <w:lvlJc w:val="left"/>
      <w:lvlText w:val="•"/>
      <w:numFmt w:val="bullet"/>
      <w:start w:val="1"/>
    </w:lvl>
  </w:abstractNum>
  <w:abstractNum w:abstractNumId="9">
    <w:nsid w:val="140E0F76"/>
    <w:multiLevelType w:val="hybridMultilevel"/>
    <w:lvl w:ilvl="0">
      <w:lvlJc w:val="left"/>
      <w:lvlText w:val="(%1)"/>
      <w:numFmt w:val="decimal"/>
      <w:start w:val="1"/>
    </w:lvl>
  </w:abstractNum>
  <w:abstractNum w:abstractNumId="10">
    <w:nsid w:val="3352255A"/>
    <w:multiLevelType w:val="hybridMultilevel"/>
    <w:lvl w:ilvl="0">
      <w:lvlJc w:val="left"/>
      <w:lvlText w:val="%1"/>
      <w:numFmt w:val="decimal"/>
      <w:start w:val="101"/>
    </w:lvl>
  </w:abstractNum>
  <w:abstractNum w:abstractNumId="11">
    <w:nsid w:val="109CF92E"/>
    <w:multiLevelType w:val="hybridMultilevel"/>
    <w:lvl w:ilvl="0">
      <w:lvlJc w:val="left"/>
      <w:lvlText w:val="%1"/>
      <w:numFmt w:val="decimal"/>
      <w:start w:val="104"/>
    </w:lvl>
  </w:abstractNum>
  <w:abstractNum w:abstractNumId="12">
    <w:nsid w:val="DED7263"/>
    <w:multiLevelType w:val="hybridMultilevel"/>
    <w:lvl w:ilvl="0">
      <w:lvlJc w:val="left"/>
      <w:lvlText w:val="%1."/>
      <w:numFmt w:val="decimal"/>
      <w:start w:val="1"/>
    </w:lvl>
    <w:lvl w:ilvl="1">
      <w:lvlJc w:val="left"/>
      <w:lvlText w:val="%2."/>
      <w:numFmt w:val="lowerLetter"/>
      <w:start w:val="1"/>
    </w:lvl>
  </w:abstractNum>
  <w:abstractNum w:abstractNumId="13">
    <w:nsid w:val="7FDCC233"/>
    <w:multiLevelType w:val="hybridMultilevel"/>
    <w:lvl w:ilvl="0">
      <w:lvlJc w:val="left"/>
      <w:lvlText w:val="%1."/>
      <w:numFmt w:val="decimal"/>
      <w:start w:val="1"/>
    </w:lvl>
    <w:lvl w:ilvl="1">
      <w:lvlJc w:val="left"/>
      <w:lvlText w:val="%2."/>
      <w:numFmt w:val="lowerLetter"/>
      <w:start w:val="1"/>
    </w:lvl>
  </w:abstractNum>
  <w:abstractNum w:abstractNumId="14">
    <w:nsid w:val="1BEFD79F"/>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2022-04-29T21:55:42Z</dcterms:created>
  <dcterms:modified xsi:type="dcterms:W3CDTF">2022-04-29T21:55:42Z</dcterms:modified>
</cp:coreProperties>
</file>