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2</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International Recovery Corporation</w:t>
      </w:r>
    </w:p>
    <w:p>
      <w:pPr>
        <w:spacing w:after="0" w:line="2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Cusip # 460242100</w:t>
      </w:r>
    </w:p>
    <w:p>
      <w:pPr>
        <w:spacing w:after="0"/>
        <w:rPr>
          <w:sz w:val="20"/>
          <w:szCs w:val="20"/>
          <w:color w:val="auto"/>
        </w:rPr>
      </w:pPr>
      <w:r>
        <w:rPr>
          <w:rFonts w:ascii="Courier New" w:cs="Courier New" w:eastAsia="Courier New" w:hAnsi="Courier New"/>
          <w:sz w:val="18"/>
          <w:szCs w:val="18"/>
          <w:color w:val="auto"/>
        </w:rPr>
        <w:t>Filing Fee: No</w:t>
      </w:r>
    </w:p>
    <w:p>
      <w:pPr>
        <w:spacing w:after="0" w:line="3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 460242100</w:t>
      </w:r>
    </w:p>
    <w:p>
      <w:pPr>
        <w:sectPr>
          <w:pgSz w:w="11900" w:h="16838" w:orient="portrait"/>
          <w:cols w:equalWidth="0" w:num="1">
            <w:col w:w="10219"/>
          </w:cols>
          <w:pgMar w:left="240" w:top="623" w:right="1440" w:bottom="0" w:gutter="0" w:footer="0" w:header="0"/>
        </w:sectPr>
      </w:pPr>
    </w:p>
    <w:p>
      <w:pPr>
        <w:spacing w:after="0" w:line="29" w:lineRule="exact"/>
        <w:rPr>
          <w:sz w:val="24"/>
          <w:szCs w:val="24"/>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1:</w:t>
      </w:r>
      <w:r>
        <w:rPr>
          <w:sz w:val="20"/>
          <w:szCs w:val="20"/>
          <w:color w:val="auto"/>
        </w:rPr>
        <w:tab/>
      </w:r>
      <w:r>
        <w:rPr>
          <w:rFonts w:ascii="Courier New" w:cs="Courier New" w:eastAsia="Courier New" w:hAnsi="Courier New"/>
          <w:sz w:val="16"/>
          <w:szCs w:val="16"/>
          <w:color w:val="auto"/>
        </w:rPr>
        <w:t>Reporting Person - FMR Corp. - (Tax ID:</w:t>
      </w:r>
    </w:p>
    <w:p>
      <w:pPr>
        <w:spacing w:after="0"/>
        <w:tabs>
          <w:tab w:leader="none" w:pos="10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Commonwealth of Massachusetts</w:t>
      </w:r>
    </w:p>
    <w:p>
      <w:pPr>
        <w:spacing w:after="0"/>
        <w:tabs>
          <w:tab w:leader="none" w:pos="10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48,200</w:t>
      </w:r>
    </w:p>
    <w:p>
      <w:pPr>
        <w:spacing w:after="0"/>
        <w:tabs>
          <w:tab w:leader="none" w:pos="10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None</w:t>
      </w:r>
    </w:p>
    <w:p>
      <w:pPr>
        <w:spacing w:after="0"/>
        <w:tabs>
          <w:tab w:leader="none" w:pos="104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6"/>
          <w:szCs w:val="16"/>
          <w:color w:val="auto"/>
        </w:rPr>
        <w:t>448,200</w:t>
      </w:r>
    </w:p>
    <w:p>
      <w:pPr>
        <w:spacing w:after="0"/>
        <w:tabs>
          <w:tab w:leader="none" w:pos="10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None</w:t>
      </w:r>
    </w:p>
    <w:p>
      <w:pPr>
        <w:spacing w:after="0"/>
        <w:tabs>
          <w:tab w:leader="none" w:pos="10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448,200</w:t>
      </w:r>
    </w:p>
    <w:p>
      <w:pPr>
        <w:spacing w:after="0"/>
        <w:tabs>
          <w:tab w:leader="none" w:pos="1040" w:val="left"/>
        </w:tabs>
        <w:rPr>
          <w:sz w:val="20"/>
          <w:szCs w:val="20"/>
          <w:color w:val="auto"/>
        </w:rPr>
      </w:pPr>
      <w:r>
        <w:rPr>
          <w:rFonts w:ascii="Courier New" w:cs="Courier New" w:eastAsia="Courier New" w:hAnsi="Courier New"/>
          <w:sz w:val="18"/>
          <w:szCs w:val="18"/>
          <w:color w:val="auto"/>
        </w:rPr>
        <w:t>Item 11:</w:t>
      </w:r>
      <w:r>
        <w:rPr>
          <w:sz w:val="20"/>
          <w:szCs w:val="20"/>
          <w:color w:val="auto"/>
        </w:rPr>
        <w:tab/>
      </w:r>
      <w:r>
        <w:rPr>
          <w:rFonts w:ascii="Courier New" w:cs="Courier New" w:eastAsia="Courier New" w:hAnsi="Courier New"/>
          <w:sz w:val="16"/>
          <w:szCs w:val="16"/>
          <w:color w:val="auto"/>
        </w:rPr>
        <w:t>9.54%</w:t>
      </w:r>
    </w:p>
    <w:p>
      <w:pPr>
        <w:spacing w:after="0"/>
        <w:tabs>
          <w:tab w:leader="none" w:pos="1040" w:val="left"/>
        </w:tabs>
        <w:rPr>
          <w:sz w:val="20"/>
          <w:szCs w:val="20"/>
          <w:color w:val="auto"/>
        </w:rPr>
      </w:pPr>
      <w:r>
        <w:rPr>
          <w:rFonts w:ascii="Courier New" w:cs="Courier New" w:eastAsia="Courier New" w:hAnsi="Courier New"/>
          <w:sz w:val="18"/>
          <w:szCs w:val="18"/>
          <w:color w:val="auto"/>
        </w:rPr>
        <w:t>Item 12:</w:t>
        <w:tab/>
        <w:t>HC</w:t>
      </w:r>
    </w:p>
    <w:p>
      <w:pPr>
        <w:spacing w:after="0" w:line="20" w:lineRule="exact"/>
        <w:rPr>
          <w:sz w:val="24"/>
          <w:szCs w:val="24"/>
          <w:color w:val="auto"/>
        </w:rPr>
      </w:pPr>
      <w:r>
        <w:rPr>
          <w:sz w:val="24"/>
          <w:szCs w:val="24"/>
          <w:color w:val="auto"/>
        </w:rPr>
        <w:br w:type="column"/>
      </w:r>
    </w:p>
    <w:p>
      <w:pPr>
        <w:spacing w:after="0" w:line="72"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04-2507163)</w:t>
      </w:r>
    </w:p>
    <w:p>
      <w:pPr>
        <w:spacing w:after="0" w:line="1781" w:lineRule="exact"/>
        <w:rPr>
          <w:sz w:val="24"/>
          <w:szCs w:val="24"/>
          <w:color w:val="auto"/>
        </w:rPr>
      </w:pPr>
    </w:p>
    <w:p>
      <w:pPr>
        <w:sectPr>
          <w:pgSz w:w="11900" w:h="16838" w:orient="portrait"/>
          <w:cols w:equalWidth="0" w:num="2">
            <w:col w:w="5160" w:space="220"/>
            <w:col w:w="4839"/>
          </w:cols>
          <w:pgMar w:left="240" w:top="623" w:right="1440" w:bottom="0" w:gutter="0" w:footer="0" w:header="0"/>
          <w:type w:val="continuous"/>
        </w:sectPr>
      </w:pPr>
    </w:p>
    <w:p>
      <w:pPr>
        <w:spacing w:after="0" w:line="200" w:lineRule="exact"/>
        <w:rPr>
          <w:sz w:val="24"/>
          <w:szCs w:val="24"/>
          <w:color w:val="auto"/>
        </w:rPr>
      </w:pPr>
    </w:p>
    <w:p>
      <w:pPr>
        <w:spacing w:after="0" w:line="37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Cusip # 460242100</w:t>
      </w:r>
    </w:p>
    <w:p>
      <w:pPr>
        <w:sectPr>
          <w:pgSz w:w="11900" w:h="16838" w:orient="portrait"/>
          <w:cols w:equalWidth="0" w:num="1">
            <w:col w:w="10219"/>
          </w:cols>
          <w:pgMar w:left="240" w:top="623" w:right="1440" w:bottom="0" w:gutter="0" w:footer="0" w:header="0"/>
          <w:type w:val="continuous"/>
        </w:sectPr>
      </w:pPr>
    </w:p>
    <w:p>
      <w:pPr>
        <w:spacing w:after="0" w:line="52" w:lineRule="exact"/>
        <w:rPr>
          <w:sz w:val="24"/>
          <w:szCs w:val="24"/>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1:</w:t>
      </w:r>
      <w:r>
        <w:rPr>
          <w:sz w:val="20"/>
          <w:szCs w:val="20"/>
          <w:color w:val="auto"/>
        </w:rPr>
        <w:tab/>
      </w:r>
      <w:r>
        <w:rPr>
          <w:rFonts w:ascii="Courier New" w:cs="Courier New" w:eastAsia="Courier New" w:hAnsi="Courier New"/>
          <w:sz w:val="16"/>
          <w:szCs w:val="16"/>
          <w:color w:val="auto"/>
        </w:rPr>
        <w:t>Reporting Person - Edward C. Johnson 3d - (Tax ID:</w:t>
      </w:r>
    </w:p>
    <w:p>
      <w:pPr>
        <w:spacing w:after="0"/>
        <w:tabs>
          <w:tab w:leader="none" w:pos="10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United States of America</w:t>
      </w:r>
    </w:p>
    <w:p>
      <w:pPr>
        <w:spacing w:after="0"/>
        <w:tabs>
          <w:tab w:leader="none" w:pos="10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None</w:t>
      </w:r>
    </w:p>
    <w:p>
      <w:pPr>
        <w:spacing w:after="0"/>
        <w:tabs>
          <w:tab w:leader="none" w:pos="10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None</w:t>
      </w:r>
    </w:p>
    <w:p>
      <w:pPr>
        <w:spacing w:after="0"/>
        <w:tabs>
          <w:tab w:leader="none" w:pos="104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6"/>
          <w:szCs w:val="16"/>
          <w:color w:val="auto"/>
        </w:rPr>
        <w:t>448,200</w:t>
      </w:r>
    </w:p>
    <w:p>
      <w:pPr>
        <w:spacing w:after="0"/>
        <w:tabs>
          <w:tab w:leader="none" w:pos="10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None</w:t>
      </w:r>
    </w:p>
    <w:p>
      <w:pPr>
        <w:spacing w:after="0"/>
        <w:tabs>
          <w:tab w:leader="none" w:pos="10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448,200</w:t>
      </w:r>
    </w:p>
    <w:p>
      <w:pPr>
        <w:spacing w:after="0"/>
        <w:tabs>
          <w:tab w:leader="none" w:pos="1040" w:val="left"/>
        </w:tabs>
        <w:rPr>
          <w:sz w:val="20"/>
          <w:szCs w:val="20"/>
          <w:color w:val="auto"/>
        </w:rPr>
      </w:pPr>
      <w:r>
        <w:rPr>
          <w:rFonts w:ascii="Courier New" w:cs="Courier New" w:eastAsia="Courier New" w:hAnsi="Courier New"/>
          <w:sz w:val="18"/>
          <w:szCs w:val="18"/>
          <w:color w:val="auto"/>
        </w:rPr>
        <w:t>Item 11:</w:t>
      </w:r>
      <w:r>
        <w:rPr>
          <w:sz w:val="20"/>
          <w:szCs w:val="20"/>
          <w:color w:val="auto"/>
        </w:rPr>
        <w:tab/>
      </w:r>
      <w:r>
        <w:rPr>
          <w:rFonts w:ascii="Courier New" w:cs="Courier New" w:eastAsia="Courier New" w:hAnsi="Courier New"/>
          <w:sz w:val="16"/>
          <w:szCs w:val="16"/>
          <w:color w:val="auto"/>
        </w:rPr>
        <w:t>9.54%</w:t>
      </w:r>
    </w:p>
    <w:p>
      <w:pPr>
        <w:spacing w:after="0"/>
        <w:tabs>
          <w:tab w:leader="none" w:pos="1040" w:val="left"/>
        </w:tabs>
        <w:rPr>
          <w:sz w:val="20"/>
          <w:szCs w:val="20"/>
          <w:color w:val="auto"/>
        </w:rPr>
      </w:pPr>
      <w:r>
        <w:rPr>
          <w:rFonts w:ascii="Courier New" w:cs="Courier New" w:eastAsia="Courier New" w:hAnsi="Courier New"/>
          <w:sz w:val="18"/>
          <w:szCs w:val="18"/>
          <w:color w:val="auto"/>
        </w:rPr>
        <w:t>Item 12:</w:t>
        <w:tab/>
        <w:t>IN</w:t>
      </w:r>
    </w:p>
    <w:p>
      <w:pPr>
        <w:spacing w:after="0" w:line="20" w:lineRule="exact"/>
        <w:rPr>
          <w:sz w:val="24"/>
          <w:szCs w:val="24"/>
          <w:color w:val="auto"/>
        </w:rPr>
      </w:pPr>
      <w:r>
        <w:rPr>
          <w:sz w:val="24"/>
          <w:szCs w:val="24"/>
          <w:color w:val="auto"/>
        </w:rPr>
        <w:br w:type="column"/>
      </w:r>
    </w:p>
    <w:p>
      <w:pPr>
        <w:spacing w:after="0" w:line="9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781" w:lineRule="exact"/>
        <w:rPr>
          <w:sz w:val="24"/>
          <w:szCs w:val="24"/>
          <w:color w:val="auto"/>
        </w:rPr>
      </w:pPr>
    </w:p>
    <w:p>
      <w:pPr>
        <w:sectPr>
          <w:pgSz w:w="11900" w:h="16838" w:orient="portrait"/>
          <w:cols w:equalWidth="0" w:num="2">
            <w:col w:w="6320" w:space="220"/>
            <w:col w:w="3679"/>
          </w:cols>
          <w:pgMar w:left="240" w:top="623" w:right="1440" w:bottom="0" w:gutter="0" w:footer="0" w:header="0"/>
          <w:type w:val="continuous"/>
        </w:sectPr>
      </w:pPr>
    </w:p>
    <w:p>
      <w:pPr>
        <w:spacing w:after="0" w:line="200" w:lineRule="exact"/>
        <w:rPr>
          <w:sz w:val="24"/>
          <w:szCs w:val="24"/>
          <w:color w:val="auto"/>
        </w:rPr>
      </w:pPr>
    </w:p>
    <w:p>
      <w:pPr>
        <w:spacing w:after="0" w:line="37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 - TO BE INCLUDED IN STATEMENTS</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FILED PURSUANT TO RULE 13d-1(b) or 13d-2(b)</w:t>
      </w:r>
    </w:p>
    <w:p>
      <w:pPr>
        <w:spacing w:after="0" w:line="372"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International Recovery Corporation</w:t>
      </w:r>
    </w:p>
    <w:p>
      <w:pPr>
        <w:spacing w:after="0" w:line="201"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Name of Issuer's Principal Executive Offices:</w:t>
      </w:r>
    </w:p>
    <w:p>
      <w:pPr>
        <w:spacing w:after="0" w:line="20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700 S. Royal Poinciana Blvd., Suite 800</w:t>
      </w:r>
    </w:p>
    <w:p>
      <w:pPr>
        <w:spacing w:after="0" w:line="3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Miami Springs, FL</w:t>
      </w:r>
    </w:p>
    <w:p>
      <w:pPr>
        <w:spacing w:after="0" w:line="169"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2(a).</w:t>
      </w:r>
      <w:r>
        <w:rPr>
          <w:sz w:val="20"/>
          <w:szCs w:val="20"/>
          <w:color w:val="auto"/>
        </w:rPr>
        <w:tab/>
      </w:r>
      <w:r>
        <w:rPr>
          <w:rFonts w:ascii="Courier New" w:cs="Courier New" w:eastAsia="Courier New" w:hAnsi="Courier New"/>
          <w:sz w:val="16"/>
          <w:szCs w:val="16"/>
          <w:color w:val="auto"/>
        </w:rPr>
        <w:t>Name of Person Filing:</w:t>
      </w:r>
    </w:p>
    <w:p>
      <w:pPr>
        <w:spacing w:after="0" w:line="20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FMR Corp.</w:t>
      </w:r>
    </w:p>
    <w:p>
      <w:pPr>
        <w:spacing w:after="0" w:line="201"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2(b).</w:t>
      </w:r>
      <w:r>
        <w:rPr>
          <w:sz w:val="20"/>
          <w:szCs w:val="20"/>
          <w:color w:val="auto"/>
        </w:rPr>
        <w:tab/>
      </w:r>
      <w:r>
        <w:rPr>
          <w:rFonts w:ascii="Courier New" w:cs="Courier New" w:eastAsia="Courier New" w:hAnsi="Courier New"/>
          <w:sz w:val="16"/>
          <w:szCs w:val="16"/>
          <w:color w:val="auto"/>
        </w:rPr>
        <w:t>Address or Principal Business Office or, if None, Residence:</w:t>
      </w:r>
    </w:p>
    <w:p>
      <w:pPr>
        <w:spacing w:after="0" w:line="201" w:lineRule="exact"/>
        <w:rPr>
          <w:sz w:val="24"/>
          <w:szCs w:val="24"/>
          <w:color w:val="auto"/>
        </w:rPr>
      </w:pPr>
    </w:p>
    <w:p>
      <w:pPr>
        <w:ind w:left="960"/>
        <w:spacing w:after="0"/>
        <w:tabs>
          <w:tab w:leader="none" w:pos="5680" w:val="left"/>
        </w:tabs>
        <w:rPr>
          <w:sz w:val="20"/>
          <w:szCs w:val="20"/>
          <w:color w:val="auto"/>
        </w:rPr>
      </w:pPr>
      <w:r>
        <w:rPr>
          <w:rFonts w:ascii="Courier New" w:cs="Courier New" w:eastAsia="Courier New" w:hAnsi="Courier New"/>
          <w:sz w:val="18"/>
          <w:szCs w:val="18"/>
          <w:color w:val="auto"/>
        </w:rPr>
        <w:t>82 Devonshire Street, Boston, Massachusetts</w:t>
      </w:r>
      <w:r>
        <w:rPr>
          <w:sz w:val="20"/>
          <w:szCs w:val="20"/>
          <w:color w:val="auto"/>
        </w:rPr>
        <w:tab/>
      </w:r>
      <w:r>
        <w:rPr>
          <w:rFonts w:ascii="Courier New" w:cs="Courier New" w:eastAsia="Courier New" w:hAnsi="Courier New"/>
          <w:sz w:val="16"/>
          <w:szCs w:val="16"/>
          <w:color w:val="auto"/>
        </w:rPr>
        <w:t>02109</w:t>
      </w:r>
    </w:p>
    <w:p>
      <w:pPr>
        <w:spacing w:after="0" w:line="201"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2(c).</w:t>
      </w:r>
      <w:r>
        <w:rPr>
          <w:sz w:val="20"/>
          <w:szCs w:val="20"/>
          <w:color w:val="auto"/>
        </w:rPr>
        <w:tab/>
      </w:r>
      <w:r>
        <w:rPr>
          <w:rFonts w:ascii="Courier New" w:cs="Courier New" w:eastAsia="Courier New" w:hAnsi="Courier New"/>
          <w:sz w:val="16"/>
          <w:szCs w:val="16"/>
          <w:color w:val="auto"/>
        </w:rPr>
        <w:t>Citizenship:</w:t>
      </w:r>
    </w:p>
    <w:p>
      <w:pPr>
        <w:spacing w:after="0" w:line="20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2(d).</w:t>
      </w:r>
      <w:r>
        <w:rPr>
          <w:sz w:val="20"/>
          <w:szCs w:val="20"/>
          <w:color w:val="auto"/>
        </w:rPr>
        <w:tab/>
      </w:r>
      <w:r>
        <w:rPr>
          <w:rFonts w:ascii="Courier New" w:cs="Courier New" w:eastAsia="Courier New" w:hAnsi="Courier New"/>
          <w:sz w:val="16"/>
          <w:szCs w:val="16"/>
          <w:color w:val="auto"/>
        </w:rPr>
        <w:t>Title of Class of Securities:</w:t>
      </w:r>
    </w:p>
    <w:p>
      <w:pPr>
        <w:spacing w:after="0" w:line="20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spacing w:after="0" w:line="20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460242100</w:t>
      </w:r>
    </w:p>
    <w:p>
      <w:pPr>
        <w:spacing w:after="0" w:line="201" w:lineRule="exact"/>
        <w:rPr>
          <w:sz w:val="24"/>
          <w:szCs w:val="24"/>
          <w:color w:val="auto"/>
        </w:rPr>
      </w:pPr>
    </w:p>
    <w:p>
      <w:pPr>
        <w:ind w:right="1999"/>
        <w:spacing w:after="0" w:line="292" w:lineRule="auto"/>
        <w:rPr>
          <w:sz w:val="20"/>
          <w:szCs w:val="20"/>
          <w:color w:val="auto"/>
        </w:rPr>
      </w:pPr>
      <w:r>
        <w:rPr>
          <w:rFonts w:ascii="Courier New" w:cs="Courier New" w:eastAsia="Courier New" w:hAnsi="Courier New"/>
          <w:sz w:val="18"/>
          <w:szCs w:val="18"/>
          <w:color w:val="auto"/>
        </w:rPr>
        <w:t>Item 3. This statement is filed pursuant to Rule 13d-1(b) or 13d-2(b) and the person filing, FMR Corp., is a parent holding company in accordance with Section 240.13d-1(b)(ii)(G). (Note: See Item 7).</w:t>
      </w:r>
    </w:p>
    <w:p>
      <w:pPr>
        <w:spacing w:after="0" w:line="66" w:lineRule="exact"/>
        <w:rPr>
          <w:sz w:val="24"/>
          <w:szCs w:val="24"/>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201" w:lineRule="exact"/>
        <w:rPr>
          <w:sz w:val="24"/>
          <w:szCs w:val="24"/>
          <w:color w:val="auto"/>
        </w:rPr>
      </w:pPr>
    </w:p>
    <w:p>
      <w:pPr>
        <w:ind w:left="1480" w:hanging="524"/>
        <w:spacing w:after="0"/>
        <w:tabs>
          <w:tab w:leader="none" w:pos="148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w:t>
      </w:r>
      <w:r>
        <w:rPr>
          <w:rFonts w:ascii="Courier New" w:cs="Courier New" w:eastAsia="Courier New" w:hAnsi="Courier New"/>
          <w:sz w:val="16"/>
          <w:szCs w:val="16"/>
          <w:color w:val="auto"/>
        </w:rPr>
        <w:t>448,200</w:t>
      </w:r>
    </w:p>
    <w:p>
      <w:pPr>
        <w:spacing w:after="0" w:line="201" w:lineRule="exact"/>
        <w:rPr>
          <w:rFonts w:ascii="Courier New" w:cs="Courier New" w:eastAsia="Courier New" w:hAnsi="Courier New"/>
          <w:sz w:val="18"/>
          <w:szCs w:val="18"/>
          <w:color w:val="auto"/>
        </w:rPr>
      </w:pPr>
    </w:p>
    <w:p>
      <w:pPr>
        <w:ind w:left="1480" w:hanging="524"/>
        <w:spacing w:after="0"/>
        <w:tabs>
          <w:tab w:leader="none" w:pos="148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9.54%</w:t>
      </w:r>
    </w:p>
    <w:p>
      <w:pPr>
        <w:sectPr>
          <w:pgSz w:w="11900" w:h="16838" w:orient="portrait"/>
          <w:cols w:equalWidth="0" w:num="1">
            <w:col w:w="10219"/>
          </w:cols>
          <w:pgMar w:left="240" w:top="623" w:right="1440" w:bottom="0" w:gutter="0" w:footer="0" w:header="0"/>
          <w:type w:val="continuous"/>
        </w:sectPr>
      </w:pPr>
    </w:p>
    <w:bookmarkStart w:id="1" w:name="page2"/>
    <w:bookmarkEnd w:id="1"/>
    <w:p>
      <w:pPr>
        <w:ind w:left="1480" w:hanging="524"/>
        <w:spacing w:after="0"/>
        <w:tabs>
          <w:tab w:leader="none" w:pos="148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1" w:lineRule="exact"/>
        <w:rPr>
          <w:rFonts w:ascii="Courier New" w:cs="Courier New" w:eastAsia="Courier New" w:hAnsi="Courier New"/>
          <w:sz w:val="18"/>
          <w:szCs w:val="18"/>
          <w:color w:val="auto"/>
        </w:rPr>
      </w:pPr>
    </w:p>
    <w:p>
      <w:pPr>
        <w:ind w:left="2120" w:hanging="637"/>
        <w:spacing w:after="0"/>
        <w:tabs>
          <w:tab w:leader="none" w:pos="212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48,200</w:t>
      </w:r>
    </w:p>
    <w:p>
      <w:pPr>
        <w:spacing w:after="0" w:line="201" w:lineRule="exact"/>
        <w:rPr>
          <w:rFonts w:ascii="Courier New" w:cs="Courier New" w:eastAsia="Courier New" w:hAnsi="Courier New"/>
          <w:sz w:val="18"/>
          <w:szCs w:val="18"/>
          <w:color w:val="auto"/>
        </w:rPr>
      </w:pPr>
    </w:p>
    <w:p>
      <w:pPr>
        <w:ind w:left="2120" w:hanging="637"/>
        <w:spacing w:after="0"/>
        <w:tabs>
          <w:tab w:leader="none" w:pos="212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None</w:t>
      </w:r>
    </w:p>
    <w:p>
      <w:pPr>
        <w:spacing w:after="0" w:line="201" w:lineRule="exact"/>
        <w:rPr>
          <w:rFonts w:ascii="Courier New" w:cs="Courier New" w:eastAsia="Courier New" w:hAnsi="Courier New"/>
          <w:sz w:val="18"/>
          <w:szCs w:val="18"/>
          <w:color w:val="auto"/>
        </w:rPr>
      </w:pPr>
    </w:p>
    <w:p>
      <w:pPr>
        <w:ind w:left="2120" w:hanging="637"/>
        <w:spacing w:after="0"/>
        <w:tabs>
          <w:tab w:leader="none" w:pos="2120" w:val="left"/>
        </w:tabs>
        <w:numPr>
          <w:ilvl w:val="1"/>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sole power to dispose or to direct the disposition of:</w:t>
      </w:r>
    </w:p>
    <w:p>
      <w:pPr>
        <w:spacing w:after="0" w:line="53" w:lineRule="exact"/>
        <w:rPr>
          <w:rFonts w:ascii="Courier New" w:cs="Courier New" w:eastAsia="Courier New" w:hAnsi="Courier New"/>
          <w:sz w:val="16"/>
          <w:szCs w:val="16"/>
          <w:color w:val="auto"/>
        </w:rPr>
      </w:pPr>
    </w:p>
    <w:p>
      <w:pPr>
        <w:ind w:left="420"/>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448,200</w:t>
      </w:r>
    </w:p>
    <w:p>
      <w:pPr>
        <w:spacing w:after="0" w:line="169" w:lineRule="exact"/>
        <w:rPr>
          <w:rFonts w:ascii="Courier New" w:cs="Courier New" w:eastAsia="Courier New" w:hAnsi="Courier New"/>
          <w:sz w:val="16"/>
          <w:szCs w:val="16"/>
          <w:color w:val="auto"/>
        </w:rPr>
      </w:pPr>
    </w:p>
    <w:p>
      <w:pPr>
        <w:ind w:left="2120" w:hanging="637"/>
        <w:spacing w:after="0"/>
        <w:tabs>
          <w:tab w:leader="none" w:pos="212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w:t>
      </w:r>
    </w:p>
    <w:p>
      <w:pPr>
        <w:spacing w:after="0" w:line="30"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of: None</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1" w:lineRule="exact"/>
        <w:rPr>
          <w:sz w:val="20"/>
          <w:szCs w:val="20"/>
          <w:color w:val="auto"/>
        </w:rPr>
      </w:pPr>
    </w:p>
    <w:p>
      <w:pPr>
        <w:ind w:right="3259" w:firstLine="948"/>
        <w:spacing w:after="0" w:line="257"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w:t>
      </w:r>
    </w:p>
    <w:p>
      <w:pPr>
        <w:ind w:right="4099"/>
        <w:spacing w:after="0" w:line="250" w:lineRule="auto"/>
        <w:rPr>
          <w:sz w:val="20"/>
          <w:szCs w:val="20"/>
          <w:color w:val="auto"/>
        </w:rPr>
      </w:pPr>
      <w:r>
        <w:rPr>
          <w:rFonts w:ascii="Courier New" w:cs="Courier New" w:eastAsia="Courier New" w:hAnsi="Courier New"/>
          <w:sz w:val="18"/>
          <w:szCs w:val="18"/>
          <w:color w:val="auto"/>
        </w:rPr>
        <w:t>the sale of, the common stock of International Recovery Corporation. The interest of one person, Fidelity Low-Priced Stock Fund, an investment company registered under the Investment Company Act of 1940, in the common stock of International Recovery Corporation, amounted to 345,000 shares or 7.34% of the total outstanding common stock at December 31, 1993.</w:t>
      </w:r>
    </w:p>
    <w:p>
      <w:pPr>
        <w:spacing w:after="0" w:line="102" w:lineRule="exact"/>
        <w:rPr>
          <w:sz w:val="20"/>
          <w:szCs w:val="20"/>
          <w:color w:val="auto"/>
        </w:rPr>
      </w:pPr>
    </w:p>
    <w:p>
      <w:pPr>
        <w:ind w:right="2319"/>
        <w:spacing w:after="0" w:line="347"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18"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See attached Exhibit(s) A and B.</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Not applicable, see attached Exhibit A.</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Not applicable.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201" w:lineRule="exact"/>
        <w:rPr>
          <w:sz w:val="20"/>
          <w:szCs w:val="20"/>
          <w:color w:val="auto"/>
        </w:rPr>
      </w:pPr>
    </w:p>
    <w:p>
      <w:pPr>
        <w:ind w:right="2519" w:firstLine="948"/>
        <w:spacing w:after="0" w:line="25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w:t>
      </w:r>
    </w:p>
    <w:p>
      <w:pPr>
        <w:ind w:right="3259"/>
        <w:spacing w:after="0" w:line="256" w:lineRule="auto"/>
        <w:rPr>
          <w:sz w:val="20"/>
          <w:szCs w:val="20"/>
          <w:color w:val="auto"/>
        </w:rPr>
      </w:pPr>
      <w:r>
        <w:rPr>
          <w:rFonts w:ascii="Courier New" w:cs="Courier New" w:eastAsia="Courier New" w:hAnsi="Courier New"/>
          <w:sz w:val="18"/>
          <w:szCs w:val="18"/>
          <w:color w:val="auto"/>
        </w:rPr>
        <w:t>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29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2939" w:firstLine="948"/>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7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February 11, 1994</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0" w:lineRule="exact"/>
        <w:rPr>
          <w:sz w:val="20"/>
          <w:szCs w:val="20"/>
          <w:color w:val="auto"/>
        </w:rPr>
      </w:pPr>
    </w:p>
    <w:p>
      <w:pPr>
        <w:spacing w:after="0" w:line="374"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/S/Arthur S. Loring</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374"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Arthur S. Loring, Vice President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w:t>
      </w:r>
    </w:p>
    <w:p>
      <w:pPr>
        <w:sectPr>
          <w:pgSz w:w="11900" w:h="16838" w:orient="portrait"/>
          <w:cols w:equalWidth="0" w:num="1">
            <w:col w:w="10219"/>
          </w:cols>
          <w:pgMar w:left="240" w:top="312" w:right="1440" w:bottom="361" w:gutter="0" w:footer="0" w:header="0"/>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SCHEDULE 13G - TO BE INCLUDED IN STATEMENTS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FILED PURSUANT TO RULE 13d-1(b) or 13d-2(b)</w:t>
      </w:r>
    </w:p>
    <w:p>
      <w:pPr>
        <w:spacing w:after="0" w:line="169" w:lineRule="exact"/>
        <w:rPr>
          <w:sz w:val="20"/>
          <w:szCs w:val="20"/>
          <w:color w:val="auto"/>
        </w:rPr>
      </w:pPr>
    </w:p>
    <w:p>
      <w:pPr>
        <w:ind w:right="2319" w:firstLine="421"/>
        <w:spacing w:after="0" w:line="289" w:lineRule="auto"/>
        <w:rPr>
          <w:sz w:val="20"/>
          <w:szCs w:val="20"/>
          <w:color w:val="auto"/>
        </w:rPr>
      </w:pPr>
      <w:r>
        <w:rPr>
          <w:rFonts w:ascii="Courier New" w:cs="Courier New" w:eastAsia="Courier New" w:hAnsi="Courier New"/>
          <w:sz w:val="16"/>
          <w:szCs w:val="16"/>
          <w:color w:val="auto"/>
        </w:rPr>
        <w:t>Pursuant to the instructions in Item 7 of Schedule 13G, Fidelity Management &amp; Research Company ("Fidelity"), 82 Devonshire Street, Boston, Massachusetts 02109, a wholly-owned subsidiary of FMR Corp. and an investment adviser registered under Section 203 of the Investment Advisers Act of 1940, is the beneficial owner of 400,000 shares or 8.51% of the common stock outstanding of International Recovery Corporation ("the Company") as a result of acting as investment adviser to several investment companies registered under Section 8 of the Investment Company Act of 1940.</w:t>
      </w:r>
    </w:p>
    <w:p>
      <w:pPr>
        <w:spacing w:after="0" w:line="77" w:lineRule="exact"/>
        <w:rPr>
          <w:sz w:val="20"/>
          <w:szCs w:val="20"/>
          <w:color w:val="auto"/>
        </w:rPr>
      </w:pPr>
    </w:p>
    <w:p>
      <w:pPr>
        <w:ind w:right="2419" w:firstLine="421"/>
        <w:spacing w:after="0" w:line="274" w:lineRule="auto"/>
        <w:rPr>
          <w:sz w:val="20"/>
          <w:szCs w:val="20"/>
          <w:color w:val="auto"/>
        </w:rPr>
      </w:pPr>
      <w:r>
        <w:rPr>
          <w:rFonts w:ascii="Courier New" w:cs="Courier New" w:eastAsia="Courier New" w:hAnsi="Courier New"/>
          <w:sz w:val="18"/>
          <w:szCs w:val="18"/>
          <w:color w:val="auto"/>
        </w:rPr>
        <w:t>The ownership of one investment company, Fidelity Low-Priced Stock Fund, amounted to 345,000 shares or 7.34% of the common stock outstanding. Fidelity Low-Priced Stock Fund has its principal business office at 82 Devonshire Street, Boston, Massachusetts 02109.</w:t>
      </w:r>
    </w:p>
    <w:p>
      <w:pPr>
        <w:spacing w:after="0" w:line="82" w:lineRule="exact"/>
        <w:rPr>
          <w:sz w:val="20"/>
          <w:szCs w:val="20"/>
          <w:color w:val="auto"/>
        </w:rPr>
      </w:pPr>
    </w:p>
    <w:p>
      <w:pPr>
        <w:ind w:right="2319" w:firstLine="421"/>
        <w:spacing w:after="0" w:line="292" w:lineRule="auto"/>
        <w:rPr>
          <w:sz w:val="20"/>
          <w:szCs w:val="20"/>
          <w:color w:val="auto"/>
        </w:rPr>
      </w:pPr>
      <w:r>
        <w:rPr>
          <w:rFonts w:ascii="Courier New" w:cs="Courier New" w:eastAsia="Courier New" w:hAnsi="Courier New"/>
          <w:sz w:val="18"/>
          <w:szCs w:val="18"/>
          <w:color w:val="auto"/>
        </w:rPr>
        <w:t>Edward C. Johnson 3d, FMR Corp., through its control of Fidelity, and the Funds each has sole power to dispose of the 400,000 shares owned by the Funds.</w:t>
      </w:r>
    </w:p>
    <w:p>
      <w:pPr>
        <w:spacing w:after="0" w:line="66" w:lineRule="exact"/>
        <w:rPr>
          <w:sz w:val="20"/>
          <w:szCs w:val="20"/>
          <w:color w:val="auto"/>
        </w:rPr>
      </w:pPr>
    </w:p>
    <w:p>
      <w:pPr>
        <w:ind w:right="2419" w:firstLine="421"/>
        <w:spacing w:after="0" w:line="265" w:lineRule="auto"/>
        <w:rPr>
          <w:sz w:val="20"/>
          <w:szCs w:val="20"/>
          <w:color w:val="auto"/>
        </w:rPr>
      </w:pPr>
      <w:r>
        <w:rPr>
          <w:rFonts w:ascii="Courier New" w:cs="Courier New" w:eastAsia="Courier New" w:hAnsi="Courier New"/>
          <w:sz w:val="18"/>
          <w:szCs w:val="18"/>
          <w:color w:val="auto"/>
        </w:rPr>
        <w:t>Neither FMR Corp. nor Edward C. Johnson 3d, Chairman of FMR Corp., has the sole power to vote or direct the voting of the Shares owned directly by the Fidelity Funds, which power resides with the Funds' Boards of Trustees. Fidelity carries out the voting of the Shares under written guidelines established by the Funds' Boards of Trustees.</w:t>
      </w:r>
    </w:p>
    <w:p>
      <w:pPr>
        <w:spacing w:after="0" w:line="90" w:lineRule="exact"/>
        <w:rPr>
          <w:sz w:val="20"/>
          <w:szCs w:val="20"/>
          <w:color w:val="auto"/>
        </w:rPr>
      </w:pPr>
    </w:p>
    <w:p>
      <w:pPr>
        <w:ind w:right="2419" w:firstLine="421"/>
        <w:spacing w:after="0" w:line="260" w:lineRule="auto"/>
        <w:rPr>
          <w:sz w:val="20"/>
          <w:szCs w:val="20"/>
          <w:color w:val="auto"/>
        </w:rPr>
      </w:pPr>
      <w:r>
        <w:rPr>
          <w:rFonts w:ascii="Courier New" w:cs="Courier New" w:eastAsia="Courier New" w:hAnsi="Courier New"/>
          <w:sz w:val="18"/>
          <w:szCs w:val="18"/>
          <w:color w:val="auto"/>
        </w:rPr>
        <w:t>Fidelity Management Trust Company, 82 Devonshire Street, Boston, Massachusetts 02109, a wholly-owned subsidiary of FMR Corp. and a bank as defined in Section 3(a)(6) of the Securities Exchange Act of 1934, is the beneficial owner of 48,200 shares or 1.03% of the common stock outstanding of the company as a result of its serving as investment manager of the institutional account(s).</w:t>
      </w:r>
    </w:p>
    <w:p>
      <w:pPr>
        <w:spacing w:after="0" w:line="93" w:lineRule="exact"/>
        <w:rPr>
          <w:sz w:val="20"/>
          <w:szCs w:val="20"/>
          <w:color w:val="auto"/>
        </w:rPr>
      </w:pPr>
    </w:p>
    <w:p>
      <w:pPr>
        <w:jc w:val="both"/>
        <w:ind w:right="2619" w:firstLine="421"/>
        <w:spacing w:after="0" w:line="292" w:lineRule="auto"/>
        <w:rPr>
          <w:sz w:val="20"/>
          <w:szCs w:val="20"/>
          <w:color w:val="auto"/>
        </w:rPr>
      </w:pPr>
      <w:r>
        <w:rPr>
          <w:rFonts w:ascii="Courier New" w:cs="Courier New" w:eastAsia="Courier New" w:hAnsi="Courier New"/>
          <w:sz w:val="18"/>
          <w:szCs w:val="18"/>
          <w:color w:val="auto"/>
        </w:rPr>
        <w:t>FMR Corp., through its control of Fidelity Management Trust Company, has sole voting and dispositive power over 48,200 Shares of common stock owned by the institutional account(s) as reported above.</w:t>
      </w:r>
    </w:p>
    <w:p>
      <w:pPr>
        <w:spacing w:after="0" w:line="66" w:lineRule="exact"/>
        <w:rPr>
          <w:sz w:val="20"/>
          <w:szCs w:val="20"/>
          <w:color w:val="auto"/>
        </w:rPr>
      </w:pPr>
    </w:p>
    <w:p>
      <w:pPr>
        <w:ind w:right="2319" w:firstLine="421"/>
        <w:spacing w:after="0" w:line="260" w:lineRule="auto"/>
        <w:rPr>
          <w:sz w:val="20"/>
          <w:szCs w:val="20"/>
          <w:color w:val="auto"/>
        </w:rPr>
      </w:pPr>
      <w:r>
        <w:rPr>
          <w:rFonts w:ascii="Courier New" w:cs="Courier New" w:eastAsia="Courier New" w:hAnsi="Courier New"/>
          <w:sz w:val="18"/>
          <w:szCs w:val="18"/>
          <w:color w:val="auto"/>
        </w:rPr>
        <w:t>Edward C. Johnson 3d owns 34.0% of the outstanding voting common stock of FMR Corp. Mr. Johnson 3d is Chairman of FMR Corp. Various Johnson family members and trusts for the benefit of Johnson family members own FMR Corp. voting common stock. These Johnson family members, through their ownership of voting common stock, form a controlling group with respect to FMR Corp.</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SCHEDULE 13G - TO BE INCLUDED IN STATEMENTS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FILED PURSUANT TO RULE 13d-1(b) or 13d-2(b)</w:t>
      </w:r>
    </w:p>
    <w:p>
      <w:pPr>
        <w:spacing w:after="0" w:line="169" w:lineRule="exact"/>
        <w:rPr>
          <w:sz w:val="20"/>
          <w:szCs w:val="20"/>
          <w:color w:val="auto"/>
        </w:rPr>
      </w:pPr>
    </w:p>
    <w:p>
      <w:pPr>
        <w:spacing w:after="0"/>
        <w:tabs>
          <w:tab w:leader="none" w:pos="1560" w:val="left"/>
        </w:tabs>
        <w:rPr>
          <w:sz w:val="20"/>
          <w:szCs w:val="20"/>
          <w:color w:val="auto"/>
        </w:rPr>
      </w:pPr>
      <w:r>
        <w:rPr>
          <w:rFonts w:ascii="Courier New" w:cs="Courier New" w:eastAsia="Courier New" w:hAnsi="Courier New"/>
          <w:sz w:val="18"/>
          <w:szCs w:val="18"/>
          <w:color w:val="auto"/>
        </w:rPr>
        <w:t>RULE 13d-1(e)</w:t>
      </w:r>
      <w:r>
        <w:rPr>
          <w:sz w:val="20"/>
          <w:szCs w:val="20"/>
          <w:color w:val="auto"/>
        </w:rPr>
        <w:tab/>
      </w:r>
      <w:r>
        <w:rPr>
          <w:rFonts w:ascii="Courier New" w:cs="Courier New" w:eastAsia="Courier New" w:hAnsi="Courier New"/>
          <w:sz w:val="16"/>
          <w:szCs w:val="16"/>
          <w:color w:val="auto"/>
        </w:rPr>
        <w:t>AGREEMENT</w:t>
      </w:r>
    </w:p>
    <w:p>
      <w:pPr>
        <w:spacing w:after="0" w:line="201" w:lineRule="exact"/>
        <w:rPr>
          <w:sz w:val="20"/>
          <w:szCs w:val="20"/>
          <w:color w:val="auto"/>
        </w:rPr>
      </w:pPr>
    </w:p>
    <w:p>
      <w:pPr>
        <w:ind w:right="2619" w:firstLine="421"/>
        <w:spacing w:after="0" w:line="274" w:lineRule="auto"/>
        <w:rPr>
          <w:sz w:val="20"/>
          <w:szCs w:val="20"/>
          <w:color w:val="auto"/>
        </w:rPr>
      </w:pPr>
      <w:r>
        <w:rPr>
          <w:rFonts w:ascii="Courier New" w:cs="Courier New" w:eastAsia="Courier New" w:hAnsi="Courier New"/>
          <w:sz w:val="18"/>
          <w:szCs w:val="18"/>
          <w:color w:val="auto"/>
        </w:rPr>
        <w:t>The undersigned persons, on February 11, 1994, agree and consent to the joint filing on their behalf of this Schedule 13G in connection with their beneficial ownership of the common stock of International Recovery Corporation at December 31, 1993.</w:t>
      </w:r>
    </w:p>
    <w:p>
      <w:pPr>
        <w:spacing w:after="0" w:line="82"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FMR Corp.</w:t>
      </w:r>
    </w:p>
    <w:tbl>
      <w:tblPr>
        <w:tblLayout w:type="fixed"/>
        <w:tblInd w:w="0" w:type="dxa"/>
        <w:tblCellMar>
          <w:top w:w="0" w:type="dxa"/>
          <w:left w:w="0" w:type="dxa"/>
          <w:bottom w:w="0" w:type="dxa"/>
          <w:right w:w="0" w:type="dxa"/>
        </w:tblCellMar>
      </w:tblPr>
      <w:tr>
        <w:trPr>
          <w:trHeight w:val="201"/>
        </w:trPr>
        <w:tc>
          <w:tcPr>
            <w:tcW w:w="800" w:type="dxa"/>
            <w:vAlign w:val="bottom"/>
          </w:tcPr>
          <w:p>
            <w:pPr>
              <w:ind w:left="420"/>
              <w:spacing w:after="0" w:line="201" w:lineRule="exact"/>
              <w:rPr>
                <w:sz w:val="20"/>
                <w:szCs w:val="20"/>
                <w:color w:val="auto"/>
              </w:rPr>
            </w:pPr>
            <w:r>
              <w:rPr>
                <w:rFonts w:ascii="Courier New" w:cs="Courier New" w:eastAsia="Courier New" w:hAnsi="Courier New"/>
                <w:sz w:val="18"/>
                <w:szCs w:val="18"/>
                <w:color w:val="auto"/>
              </w:rPr>
              <w:t>By</w:t>
            </w:r>
          </w:p>
        </w:tc>
        <w:tc>
          <w:tcPr>
            <w:tcW w:w="2260" w:type="dxa"/>
            <w:vAlign w:val="bottom"/>
          </w:tcPr>
          <w:p>
            <w:pPr>
              <w:ind w:left="160"/>
              <w:spacing w:after="0" w:line="201" w:lineRule="exact"/>
              <w:rPr>
                <w:sz w:val="20"/>
                <w:szCs w:val="20"/>
                <w:color w:val="auto"/>
              </w:rPr>
            </w:pPr>
            <w:r>
              <w:rPr>
                <w:rFonts w:ascii="Courier New" w:cs="Courier New" w:eastAsia="Courier New" w:hAnsi="Courier New"/>
                <w:sz w:val="18"/>
                <w:szCs w:val="18"/>
                <w:color w:val="auto"/>
              </w:rPr>
              <w:t>/S/Arthur S. Loring</w:t>
            </w:r>
          </w:p>
        </w:tc>
        <w:tc>
          <w:tcPr>
            <w:tcW w:w="0" w:type="dxa"/>
            <w:vAlign w:val="bottom"/>
          </w:tcPr>
          <w:p>
            <w:pPr>
              <w:spacing w:after="0"/>
              <w:rPr>
                <w:sz w:val="1"/>
                <w:szCs w:val="1"/>
                <w:color w:val="auto"/>
              </w:rPr>
            </w:pPr>
          </w:p>
        </w:tc>
      </w:tr>
      <w:tr>
        <w:trPr>
          <w:trHeight w:val="203"/>
        </w:trPr>
        <w:tc>
          <w:tcPr>
            <w:tcW w:w="3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Arthur S. Loring</w:t>
            </w:r>
          </w:p>
        </w:tc>
        <w:tc>
          <w:tcPr>
            <w:tcW w:w="0" w:type="dxa"/>
            <w:vAlign w:val="bottom"/>
          </w:tcPr>
          <w:p>
            <w:pPr>
              <w:spacing w:after="0"/>
              <w:rPr>
                <w:sz w:val="1"/>
                <w:szCs w:val="1"/>
                <w:color w:val="auto"/>
              </w:rPr>
            </w:pPr>
          </w:p>
        </w:tc>
      </w:tr>
      <w:tr>
        <w:trPr>
          <w:trHeight w:val="203"/>
        </w:trPr>
        <w:tc>
          <w:tcPr>
            <w:tcW w:w="3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Vice President - Legal</w:t>
            </w:r>
          </w:p>
        </w:tc>
        <w:tc>
          <w:tcPr>
            <w:tcW w:w="0" w:type="dxa"/>
            <w:vAlign w:val="bottom"/>
          </w:tcPr>
          <w:p>
            <w:pPr>
              <w:spacing w:after="0"/>
              <w:rPr>
                <w:sz w:val="1"/>
                <w:szCs w:val="1"/>
                <w:color w:val="auto"/>
              </w:rPr>
            </w:pPr>
          </w:p>
        </w:tc>
      </w:tr>
      <w:tr>
        <w:trPr>
          <w:trHeight w:val="203"/>
        </w:trPr>
        <w:tc>
          <w:tcPr>
            <w:tcW w:w="800" w:type="dxa"/>
            <w:vAlign w:val="bottom"/>
            <w:vMerge w:val="restart"/>
          </w:tcPr>
          <w:p>
            <w:pPr>
              <w:ind w:left="420"/>
              <w:spacing w:after="0"/>
              <w:rPr>
                <w:sz w:val="20"/>
                <w:szCs w:val="20"/>
                <w:color w:val="auto"/>
              </w:rPr>
            </w:pPr>
            <w:r>
              <w:rPr>
                <w:rFonts w:ascii="Courier New" w:cs="Courier New" w:eastAsia="Courier New" w:hAnsi="Courier New"/>
                <w:sz w:val="18"/>
                <w:szCs w:val="18"/>
                <w:color w:val="auto"/>
              </w:rPr>
              <w:t>By</w:t>
            </w:r>
          </w:p>
        </w:tc>
        <w:tc>
          <w:tcPr>
            <w:tcW w:w="226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w w:val="96"/>
              </w:rPr>
              <w:t>Edward C. Johnson 3d</w:t>
            </w:r>
          </w:p>
        </w:tc>
        <w:tc>
          <w:tcPr>
            <w:tcW w:w="0" w:type="dxa"/>
            <w:vAlign w:val="bottom"/>
          </w:tcPr>
          <w:p>
            <w:pPr>
              <w:spacing w:after="0"/>
              <w:rPr>
                <w:sz w:val="1"/>
                <w:szCs w:val="1"/>
                <w:color w:val="auto"/>
              </w:rPr>
            </w:pPr>
          </w:p>
        </w:tc>
      </w:tr>
      <w:tr>
        <w:trPr>
          <w:trHeight w:val="235"/>
        </w:trPr>
        <w:tc>
          <w:tcPr>
            <w:tcW w:w="800" w:type="dxa"/>
            <w:vAlign w:val="bottom"/>
            <w:vMerge w:val="continue"/>
          </w:tcPr>
          <w:p>
            <w:pPr>
              <w:spacing w:after="0"/>
              <w:rPr>
                <w:sz w:val="20"/>
                <w:szCs w:val="20"/>
                <w:color w:val="auto"/>
              </w:rPr>
            </w:pPr>
          </w:p>
        </w:tc>
        <w:tc>
          <w:tcPr>
            <w:tcW w:w="2260" w:type="dxa"/>
            <w:vAlign w:val="bottom"/>
          </w:tcPr>
          <w:p>
            <w:pPr>
              <w:ind w:left="160"/>
              <w:spacing w:after="0"/>
              <w:rPr>
                <w:sz w:val="20"/>
                <w:szCs w:val="20"/>
                <w:color w:val="auto"/>
              </w:rPr>
            </w:pPr>
            <w:r>
              <w:rPr>
                <w:rFonts w:ascii="Courier New" w:cs="Courier New" w:eastAsia="Courier New" w:hAnsi="Courier New"/>
                <w:sz w:val="18"/>
                <w:szCs w:val="18"/>
                <w:color w:val="auto"/>
              </w:rPr>
              <w:t>/S/Arthur S. Loring</w:t>
            </w:r>
          </w:p>
        </w:tc>
        <w:tc>
          <w:tcPr>
            <w:tcW w:w="0" w:type="dxa"/>
            <w:vAlign w:val="bottom"/>
          </w:tcPr>
          <w:p>
            <w:pPr>
              <w:spacing w:after="0"/>
              <w:rPr>
                <w:sz w:val="1"/>
                <w:szCs w:val="1"/>
                <w:color w:val="auto"/>
              </w:rPr>
            </w:pPr>
          </w:p>
        </w:tc>
      </w:tr>
    </w:tbl>
    <w:p>
      <w:pPr>
        <w:spacing w:after="0" w:line="238" w:lineRule="auto"/>
        <w:rPr>
          <w:sz w:val="20"/>
          <w:szCs w:val="20"/>
          <w:color w:val="auto"/>
        </w:rPr>
      </w:pPr>
      <w:r>
        <w:rPr>
          <w:rFonts w:ascii="Courier New" w:cs="Courier New" w:eastAsia="Courier New" w:hAnsi="Courier New"/>
          <w:sz w:val="18"/>
          <w:szCs w:val="18"/>
          <w:color w:val="auto"/>
        </w:rPr>
        <w:t>Arthur S. Loring</w:t>
      </w:r>
    </w:p>
    <w:p>
      <w:pPr>
        <w:spacing w:after="0"/>
        <w:rPr>
          <w:sz w:val="20"/>
          <w:szCs w:val="20"/>
          <w:color w:val="auto"/>
        </w:rPr>
      </w:pPr>
      <w:r>
        <w:rPr>
          <w:rFonts w:ascii="Courier New" w:cs="Courier New" w:eastAsia="Courier New" w:hAnsi="Courier New"/>
          <w:sz w:val="18"/>
          <w:szCs w:val="18"/>
          <w:color w:val="auto"/>
        </w:rPr>
        <w:t>Under Power of Attorney</w:t>
      </w:r>
    </w:p>
    <w:p>
      <w:pPr>
        <w:spacing w:after="0" w:line="238" w:lineRule="auto"/>
        <w:rPr>
          <w:sz w:val="20"/>
          <w:szCs w:val="20"/>
          <w:color w:val="auto"/>
        </w:rPr>
      </w:pPr>
      <w:r>
        <w:rPr>
          <w:rFonts w:ascii="Courier New" w:cs="Courier New" w:eastAsia="Courier New" w:hAnsi="Courier New"/>
          <w:sz w:val="18"/>
          <w:szCs w:val="18"/>
          <w:color w:val="auto"/>
        </w:rPr>
        <w:t>dated 5/17/89</w:t>
      </w:r>
    </w:p>
    <w:p>
      <w:pPr>
        <w:spacing w:after="0"/>
        <w:rPr>
          <w:sz w:val="20"/>
          <w:szCs w:val="20"/>
          <w:color w:val="auto"/>
        </w:rPr>
      </w:pPr>
      <w:r>
        <w:rPr>
          <w:rFonts w:ascii="Courier New" w:cs="Courier New" w:eastAsia="Courier New" w:hAnsi="Courier New"/>
          <w:sz w:val="18"/>
          <w:szCs w:val="18"/>
          <w:color w:val="auto"/>
        </w:rPr>
        <w:t>On File with Schedule 13G</w:t>
      </w:r>
    </w:p>
    <w:p>
      <w:pPr>
        <w:spacing w:after="0" w:line="238" w:lineRule="auto"/>
        <w:rPr>
          <w:sz w:val="20"/>
          <w:szCs w:val="20"/>
          <w:color w:val="auto"/>
        </w:rPr>
      </w:pPr>
      <w:r>
        <w:rPr>
          <w:rFonts w:ascii="Courier New" w:cs="Courier New" w:eastAsia="Courier New" w:hAnsi="Courier New"/>
          <w:sz w:val="18"/>
          <w:szCs w:val="18"/>
          <w:color w:val="auto"/>
        </w:rPr>
        <w:t>for</w:t>
      </w:r>
    </w:p>
    <w:p>
      <w:pPr>
        <w:spacing w:after="0"/>
        <w:rPr>
          <w:sz w:val="20"/>
          <w:szCs w:val="20"/>
          <w:color w:val="auto"/>
        </w:rPr>
      </w:pPr>
      <w:r>
        <w:rPr>
          <w:rFonts w:ascii="Courier New" w:cs="Courier New" w:eastAsia="Courier New" w:hAnsi="Courier New"/>
          <w:sz w:val="18"/>
          <w:szCs w:val="18"/>
          <w:color w:val="auto"/>
        </w:rPr>
        <w:t>Airborne Freight Corp.</w:t>
      </w:r>
    </w:p>
    <w:p>
      <w:pPr>
        <w:spacing w:after="0" w:line="238" w:lineRule="auto"/>
        <w:rPr>
          <w:sz w:val="20"/>
          <w:szCs w:val="20"/>
          <w:color w:val="auto"/>
        </w:rPr>
      </w:pPr>
      <w:r>
        <w:rPr>
          <w:rFonts w:ascii="Courier New" w:cs="Courier New" w:eastAsia="Courier New" w:hAnsi="Courier New"/>
          <w:sz w:val="18"/>
          <w:szCs w:val="18"/>
          <w:color w:val="auto"/>
        </w:rPr>
        <w:t>9/10/91</w:t>
      </w:r>
    </w:p>
    <w:p>
      <w:pPr>
        <w:ind w:left="420"/>
        <w:spacing w:after="0"/>
        <w:rPr>
          <w:sz w:val="20"/>
          <w:szCs w:val="20"/>
          <w:color w:val="auto"/>
        </w:rPr>
      </w:pPr>
      <w:r>
        <w:rPr>
          <w:rFonts w:ascii="Courier New" w:cs="Courier New" w:eastAsia="Courier New" w:hAnsi="Courier New"/>
          <w:sz w:val="18"/>
          <w:szCs w:val="18"/>
          <w:color w:val="auto"/>
        </w:rPr>
        <w:t>Fidelity Management &amp; Research Company</w:t>
      </w:r>
    </w:p>
    <w:p>
      <w:pPr>
        <w:ind w:left="420"/>
        <w:spacing w:after="0" w:line="238" w:lineRule="auto"/>
        <w:tabs>
          <w:tab w:leader="none" w:pos="94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rPr>
          <w:sz w:val="20"/>
          <w:szCs w:val="20"/>
          <w:color w:val="auto"/>
        </w:rPr>
      </w:pPr>
      <w:r>
        <w:rPr>
          <w:rFonts w:ascii="Courier New" w:cs="Courier New" w:eastAsia="Courier New" w:hAnsi="Courier New"/>
          <w:sz w:val="18"/>
          <w:szCs w:val="18"/>
          <w:color w:val="auto"/>
        </w:rPr>
        <w:t>Arthur S. Loring</w:t>
      </w:r>
    </w:p>
    <w:p>
      <w:pPr>
        <w:spacing w:after="0" w:line="238" w:lineRule="auto"/>
        <w:rPr>
          <w:sz w:val="20"/>
          <w:szCs w:val="20"/>
          <w:color w:val="auto"/>
        </w:rPr>
      </w:pPr>
      <w:r>
        <w:rPr>
          <w:rFonts w:ascii="Courier New" w:cs="Courier New" w:eastAsia="Courier New" w:hAnsi="Courier New"/>
          <w:sz w:val="18"/>
          <w:szCs w:val="18"/>
          <w:color w:val="auto"/>
        </w:rPr>
        <w:t>Sr. V.P. and General</w:t>
      </w:r>
    </w:p>
    <w:p>
      <w:pPr>
        <w:spacing w:after="0"/>
        <w:rPr>
          <w:sz w:val="20"/>
          <w:szCs w:val="20"/>
          <w:color w:val="auto"/>
        </w:rPr>
      </w:pPr>
      <w:r>
        <w:rPr>
          <w:rFonts w:ascii="Courier New" w:cs="Courier New" w:eastAsia="Courier New" w:hAnsi="Courier New"/>
          <w:sz w:val="18"/>
          <w:szCs w:val="18"/>
          <w:color w:val="auto"/>
        </w:rPr>
        <w:t>Counsel</w:t>
      </w:r>
    </w:p>
    <w:p>
      <w:pPr>
        <w:ind w:left="420"/>
        <w:spacing w:after="0" w:line="238" w:lineRule="auto"/>
        <w:rPr>
          <w:sz w:val="20"/>
          <w:szCs w:val="20"/>
          <w:color w:val="auto"/>
        </w:rPr>
      </w:pPr>
      <w:r>
        <w:rPr>
          <w:rFonts w:ascii="Courier New" w:cs="Courier New" w:eastAsia="Courier New" w:hAnsi="Courier New"/>
          <w:sz w:val="18"/>
          <w:szCs w:val="18"/>
          <w:color w:val="auto"/>
        </w:rPr>
        <w:t>Fidelity Low-Priced Stock Fund</w:t>
      </w:r>
    </w:p>
    <w:p>
      <w:pPr>
        <w:ind w:left="420"/>
        <w:spacing w:after="0"/>
        <w:tabs>
          <w:tab w:leader="none" w:pos="94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line="238" w:lineRule="auto"/>
        <w:rPr>
          <w:sz w:val="20"/>
          <w:szCs w:val="20"/>
          <w:color w:val="auto"/>
        </w:rPr>
      </w:pPr>
      <w:r>
        <w:rPr>
          <w:rFonts w:ascii="Courier New" w:cs="Courier New" w:eastAsia="Courier New" w:hAnsi="Courier New"/>
          <w:sz w:val="18"/>
          <w:szCs w:val="18"/>
          <w:color w:val="auto"/>
        </w:rPr>
        <w:t>Arthur S. Loring</w:t>
      </w:r>
    </w:p>
    <w:p>
      <w:pPr>
        <w:spacing w:after="0"/>
        <w:rPr>
          <w:sz w:val="20"/>
          <w:szCs w:val="20"/>
          <w:color w:val="auto"/>
        </w:rPr>
      </w:pPr>
      <w:r>
        <w:rPr>
          <w:rFonts w:ascii="Courier New" w:cs="Courier New" w:eastAsia="Courier New" w:hAnsi="Courier New"/>
          <w:sz w:val="18"/>
          <w:szCs w:val="18"/>
          <w:color w:val="auto"/>
        </w:rPr>
        <w:t>Secretary</w:t>
      </w:r>
    </w:p>
    <w:p>
      <w:pPr>
        <w:sectPr>
          <w:pgSz w:w="11900" w:h="16838" w:orient="portrait"/>
          <w:cols w:equalWidth="0" w:num="1">
            <w:col w:w="10219"/>
          </w:cols>
          <w:pgMar w:left="240" w:top="312" w:right="1440" w:bottom="0" w:gutter="0" w:footer="0" w:header="0"/>
        </w:sectPr>
      </w:pPr>
    </w:p>
    <w:bookmarkStart w:id="3" w:name="page4"/>
    <w:bookmarkEnd w:id="3"/>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lowerLetter"/>
      <w:start w:val="1"/>
    </w:lvl>
  </w:abstractNum>
  <w:abstractNum w:abstractNumId="1">
    <w:nsid w:val="66334873"/>
    <w:multiLevelType w:val="hybridMultilevel"/>
    <w:lvl w:ilvl="0">
      <w:lvlJc w:val="left"/>
      <w:lvlText w:val="(%1)"/>
      <w:numFmt w:val="lowerLetter"/>
      <w:start w:val="3"/>
    </w:lvl>
    <w:lvl w:ilvl="1">
      <w:lvlJc w:val="left"/>
      <w:lvlText w:val="(%2)"/>
      <w:numFmt w:val="lowerRoman"/>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2019-12-12T06:21:43Z</dcterms:created>
  <dcterms:modified xsi:type="dcterms:W3CDTF">2019-12-12T06:21:43Z</dcterms:modified>
</cp:coreProperties>
</file>