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4451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44512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KASSAR RICHARD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200"/>
        <w:spacing w:after="0" w:line="331" w:lineRule="auto"/>
        <w:rPr>
          <w:sz w:val="20"/>
          <w:szCs w:val="20"/>
          <w:color w:val="auto"/>
        </w:rPr>
      </w:pPr>
      <w:r>
        <w:rPr>
          <w:rFonts w:ascii="Arial" w:cs="Arial" w:eastAsia="Arial" w:hAnsi="Arial"/>
          <w:sz w:val="18"/>
          <w:szCs w:val="18"/>
          <w:color w:val="0000FF"/>
        </w:rPr>
        <w:t>C/O WORLD FUEL SERVICES CORPORATION 9800 N.W. 41ST STREET</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20" w:type="dxa"/>
            <w:vAlign w:val="bottom"/>
          </w:tcPr>
          <w:p>
            <w:pPr>
              <w:spacing w:after="0"/>
              <w:rPr>
                <w:sz w:val="20"/>
                <w:szCs w:val="20"/>
                <w:color w:val="auto"/>
              </w:rPr>
            </w:pPr>
            <w:r>
              <w:rPr>
                <w:rFonts w:ascii="Arial" w:cs="Arial" w:eastAsia="Arial" w:hAnsi="Arial"/>
                <w:sz w:val="18"/>
                <w:szCs w:val="18"/>
                <w:color w:val="0000FF"/>
              </w:rPr>
              <w:t>MIAMI</w:t>
            </w:r>
          </w:p>
        </w:tc>
        <w:tc>
          <w:tcPr>
            <w:tcW w:w="1200" w:type="dxa"/>
            <w:vAlign w:val="bottom"/>
          </w:tcPr>
          <w:p>
            <w:pPr>
              <w:ind w:left="360"/>
              <w:spacing w:after="0"/>
              <w:rPr>
                <w:sz w:val="20"/>
                <w:szCs w:val="20"/>
                <w:color w:val="auto"/>
              </w:rPr>
            </w:pPr>
            <w:r>
              <w:rPr>
                <w:rFonts w:ascii="Arial" w:cs="Arial" w:eastAsia="Arial" w:hAnsi="Arial"/>
                <w:sz w:val="18"/>
                <w:szCs w:val="18"/>
                <w:color w:val="0000FF"/>
              </w:rPr>
              <w:t>FL</w:t>
            </w:r>
          </w:p>
        </w:tc>
        <w:tc>
          <w:tcPr>
            <w:tcW w:w="1680" w:type="dxa"/>
            <w:vAlign w:val="bottom"/>
          </w:tcPr>
          <w:p>
            <w:pPr>
              <w:ind w:left="420"/>
              <w:spacing w:after="0"/>
              <w:rPr>
                <w:sz w:val="20"/>
                <w:szCs w:val="20"/>
                <w:color w:val="auto"/>
              </w:rPr>
            </w:pPr>
            <w:r>
              <w:rPr>
                <w:rFonts w:ascii="Arial" w:cs="Arial" w:eastAsia="Arial" w:hAnsi="Arial"/>
                <w:sz w:val="18"/>
                <w:szCs w:val="18"/>
                <w:color w:val="0000FF"/>
              </w:rPr>
              <w:t>33178</w:t>
            </w:r>
          </w:p>
        </w:tc>
      </w:tr>
      <w:tr>
        <w:trPr>
          <w:trHeight w:val="158"/>
        </w:trPr>
        <w:tc>
          <w:tcPr>
            <w:tcW w:w="4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2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3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WORLD FUEL SERVICES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INT</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40" w:type="dxa"/>
            <w:vAlign w:val="bottom"/>
            <w:tcBorders>
              <w:bottom w:val="single" w:sz="8" w:color="0000EE"/>
            </w:tcBorders>
          </w:tcPr>
          <w:p>
            <w:pPr>
              <w:spacing w:after="0"/>
              <w:rPr>
                <w:sz w:val="3"/>
                <w:szCs w:val="3"/>
                <w:color w:val="auto"/>
              </w:rPr>
            </w:pPr>
          </w:p>
        </w:tc>
        <w:tc>
          <w:tcPr>
            <w:tcW w:w="8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720" w:type="dxa"/>
            <w:vAlign w:val="bottom"/>
            <w:vMerge w:val="restart"/>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vMerge w:val="continue"/>
          </w:tcPr>
          <w:p>
            <w:pPr>
              <w:spacing w:after="0"/>
              <w:rPr>
                <w:sz w:val="15"/>
                <w:szCs w:val="15"/>
                <w:color w:val="auto"/>
              </w:rPr>
            </w:pPr>
          </w:p>
        </w:tc>
        <w:tc>
          <w:tcPr>
            <w:tcW w:w="1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94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200" w:type="dxa"/>
            <w:vAlign w:val="bottom"/>
          </w:tcPr>
          <w:p>
            <w:pPr>
              <w:spacing w:after="0"/>
              <w:rPr>
                <w:sz w:val="10"/>
                <w:szCs w:val="10"/>
                <w:color w:val="auto"/>
              </w:rPr>
            </w:pPr>
          </w:p>
        </w:tc>
        <w:tc>
          <w:tcPr>
            <w:tcW w:w="1720" w:type="dxa"/>
            <w:vAlign w:val="bottom"/>
            <w:vMerge w:val="restart"/>
          </w:tcPr>
          <w:p>
            <w:pPr>
              <w:ind w:left="42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67"/>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5"/>
                <w:szCs w:val="5"/>
                <w:color w:val="auto"/>
              </w:rPr>
            </w:pPr>
          </w:p>
        </w:tc>
        <w:tc>
          <w:tcPr>
            <w:tcW w:w="172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0" w:type="dxa"/>
            <w:vAlign w:val="bottom"/>
            <w:gridSpan w:val="2"/>
            <w:vMerge w:val="continue"/>
          </w:tcPr>
          <w:p>
            <w:pPr>
              <w:spacing w:after="0"/>
              <w:rPr>
                <w:sz w:val="11"/>
                <w:szCs w:val="11"/>
                <w:color w:val="auto"/>
              </w:rPr>
            </w:pPr>
          </w:p>
        </w:tc>
        <w:tc>
          <w:tcPr>
            <w:tcW w:w="37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tcPr>
          <w:p>
            <w:pPr>
              <w:ind w:left="420"/>
              <w:spacing w:after="0" w:line="127" w:lineRule="exact"/>
              <w:rPr>
                <w:sz w:val="20"/>
                <w:szCs w:val="20"/>
                <w:color w:val="auto"/>
              </w:rPr>
            </w:pPr>
            <w:r>
              <w:rPr>
                <w:rFonts w:ascii="Arial" w:cs="Arial" w:eastAsia="Arial" w:hAnsi="Arial"/>
                <w:sz w:val="14"/>
                <w:szCs w:val="14"/>
                <w:color w:val="auto"/>
              </w:rPr>
              <w:t>below)</w:t>
            </w:r>
          </w:p>
        </w:tc>
        <w:tc>
          <w:tcPr>
            <w:tcW w:w="1500" w:type="dxa"/>
            <w:vAlign w:val="bottom"/>
          </w:tcPr>
          <w:p>
            <w:pPr>
              <w:ind w:left="340"/>
              <w:spacing w:after="0" w:line="127"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2"/>
        </w:trPr>
        <w:tc>
          <w:tcPr>
            <w:tcW w:w="3140" w:type="dxa"/>
            <w:vAlign w:val="bottom"/>
            <w:gridSpan w:val="3"/>
          </w:tcPr>
          <w:p>
            <w:pPr>
              <w:ind w:left="80"/>
              <w:spacing w:after="0"/>
              <w:rPr>
                <w:sz w:val="20"/>
                <w:szCs w:val="20"/>
                <w:color w:val="auto"/>
              </w:rPr>
            </w:pPr>
            <w:r>
              <w:rPr>
                <w:rFonts w:ascii="Arial" w:cs="Arial" w:eastAsia="Arial" w:hAnsi="Arial"/>
                <w:sz w:val="18"/>
                <w:szCs w:val="18"/>
                <w:color w:val="0000FF"/>
              </w:rPr>
              <w:t>05/22/2018</w:t>
            </w: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82"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00" w:type="dxa"/>
            <w:vAlign w:val="bottom"/>
          </w:tcPr>
          <w:p>
            <w:pPr>
              <w:spacing w:after="0"/>
              <w:rPr>
                <w:sz w:val="14"/>
                <w:szCs w:val="14"/>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3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2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180"/>
              <w:spacing w:after="0" w:line="135" w:lineRule="exact"/>
              <w:rPr>
                <w:sz w:val="20"/>
                <w:szCs w:val="20"/>
                <w:color w:val="auto"/>
              </w:rPr>
            </w:pPr>
            <w:r>
              <w:rPr>
                <w:rFonts w:ascii="Arial" w:cs="Arial" w:eastAsia="Arial" w:hAnsi="Arial"/>
                <w:sz w:val="12"/>
                <w:szCs w:val="12"/>
                <w:b w:val="1"/>
                <w:bCs w:val="1"/>
                <w:color w:val="auto"/>
                <w:w w:val="99"/>
              </w:rPr>
              <w:t>(A) or</w:t>
            </w: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5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580" w:type="dxa"/>
            <w:vAlign w:val="bottom"/>
            <w:vMerge w:val="continue"/>
          </w:tcPr>
          <w:p>
            <w:pPr>
              <w:spacing w:after="0"/>
              <w:rPr>
                <w:sz w:val="8"/>
                <w:szCs w:val="8"/>
                <w:color w:val="auto"/>
              </w:rPr>
            </w:pPr>
          </w:p>
        </w:tc>
        <w:tc>
          <w:tcPr>
            <w:tcW w:w="3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2"/>
          </w:tcPr>
          <w:p>
            <w:pPr>
              <w:ind w:left="720"/>
              <w:spacing w:after="0"/>
              <w:rPr>
                <w:sz w:val="20"/>
                <w:szCs w:val="20"/>
                <w:color w:val="auto"/>
              </w:rPr>
            </w:pPr>
            <w:r>
              <w:rPr>
                <w:rFonts w:ascii="Arial" w:cs="Arial" w:eastAsia="Arial" w:hAnsi="Arial"/>
                <w:sz w:val="18"/>
                <w:szCs w:val="18"/>
                <w:color w:val="0000FF"/>
                <w:w w:val="97"/>
              </w:rPr>
              <w:t>05/22/2018</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P</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5,000</w:t>
            </w:r>
          </w:p>
        </w:tc>
        <w:tc>
          <w:tcPr>
            <w:tcW w:w="52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A</w:t>
            </w:r>
          </w:p>
        </w:tc>
        <w:tc>
          <w:tcPr>
            <w:tcW w:w="880" w:type="dxa"/>
            <w:vAlign w:val="bottom"/>
            <w:tcBorders>
              <w:bottom w:val="single" w:sz="8" w:color="2C2C2C"/>
            </w:tcBorders>
            <w:gridSpan w:val="2"/>
          </w:tcPr>
          <w:p>
            <w:pPr>
              <w:ind w:left="18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22.15</w:t>
            </w:r>
            <w:r>
              <w:rPr>
                <w:rFonts w:ascii="Arial" w:cs="Arial" w:eastAsia="Arial" w:hAnsi="Arial"/>
                <w:sz w:val="22"/>
                <w:szCs w:val="22"/>
                <w:color w:val="008000"/>
                <w:w w:val="93"/>
                <w:vertAlign w:val="superscript"/>
              </w:rPr>
              <w:t>(1)</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jc w:val="right"/>
              <w:ind w:right="334"/>
              <w:spacing w:after="0"/>
              <w:rPr>
                <w:sz w:val="20"/>
                <w:szCs w:val="20"/>
                <w:color w:val="auto"/>
              </w:rPr>
            </w:pPr>
            <w:r>
              <w:rPr>
                <w:rFonts w:ascii="Arial" w:cs="Arial" w:eastAsia="Arial" w:hAnsi="Arial"/>
                <w:sz w:val="18"/>
                <w:szCs w:val="18"/>
                <w:color w:val="0000FF"/>
                <w:w w:val="87"/>
              </w:rPr>
              <w:t>41,942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vMerge w:val="restart"/>
          </w:tcPr>
          <w:p>
            <w:pPr>
              <w:jc w:val="right"/>
              <w:ind w:right="374"/>
              <w:spacing w:after="0"/>
              <w:rPr>
                <w:sz w:val="20"/>
                <w:szCs w:val="20"/>
                <w:color w:val="auto"/>
              </w:rPr>
            </w:pPr>
            <w:r>
              <w:rPr>
                <w:rFonts w:ascii="Arial" w:cs="Arial" w:eastAsia="Arial" w:hAnsi="Arial"/>
                <w:sz w:val="18"/>
                <w:szCs w:val="18"/>
                <w:color w:val="0000FF"/>
                <w:w w:val="97"/>
              </w:rPr>
              <w:t>4,000</w:t>
            </w:r>
          </w:p>
        </w:tc>
        <w:tc>
          <w:tcPr>
            <w:tcW w:w="92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Defined</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480" w:type="dxa"/>
            <w:vAlign w:val="bottom"/>
          </w:tcPr>
          <w:p>
            <w:pPr>
              <w:spacing w:after="0"/>
              <w:rPr>
                <w:sz w:val="9"/>
                <w:szCs w:val="9"/>
                <w:color w:val="auto"/>
              </w:rPr>
            </w:pPr>
          </w:p>
        </w:tc>
        <w:tc>
          <w:tcPr>
            <w:tcW w:w="44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Benefit</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tcPr>
          <w:p>
            <w:pPr>
              <w:spacing w:after="0"/>
              <w:rPr>
                <w:sz w:val="8"/>
                <w:szCs w:val="8"/>
                <w:color w:val="auto"/>
              </w:rPr>
            </w:pPr>
          </w:p>
        </w:tc>
        <w:tc>
          <w:tcPr>
            <w:tcW w:w="7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2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Plan</w:t>
            </w: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6880" w:type="dxa"/>
            <w:vAlign w:val="bottom"/>
            <w:tcBorders>
              <w:bottom w:val="single" w:sz="8" w:color="2C2C2C"/>
            </w:tcBorders>
            <w:gridSpan w:val="10"/>
          </w:tcPr>
          <w:p>
            <w:pPr>
              <w:spacing w:after="0"/>
              <w:rPr>
                <w:sz w:val="8"/>
                <w:szCs w:val="8"/>
                <w:color w:val="auto"/>
              </w:rPr>
            </w:pPr>
          </w:p>
        </w:tc>
        <w:tc>
          <w:tcPr>
            <w:tcW w:w="1240" w:type="dxa"/>
            <w:vAlign w:val="bottom"/>
            <w:tcBorders>
              <w:bottom w:val="single" w:sz="8" w:color="2C2C2C"/>
            </w:tcBorders>
            <w:gridSpan w:val="2"/>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58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80" w:firstLine="9"/>
        <w:spacing w:after="0" w:line="29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price represents the weighted average purchase price for multiple transactions reported on this line. The prices of the transactions ranged from $22.12 to $22.20, inclusive. The reporting person undertakes to provide the issuer and will provide any security holder of the issuer or the SEC staff, upon request, information regarding the number of shares purchased at each separate price within the range.</w:t>
      </w: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Amy A. Quintana,</w:t>
            </w:r>
          </w:p>
        </w:tc>
        <w:tc>
          <w:tcPr>
            <w:tcW w:w="60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05/24/2018</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24986"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2019-12-24T03:57:10Z</dcterms:created>
  <dcterms:modified xsi:type="dcterms:W3CDTF">2019-12-24T03:57:10Z</dcterms:modified>
</cp:coreProperties>
</file>